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i w:val="0"/>
          <w:color w:val="16324F"/>
          <w:sz w:val="48"/>
        </w:rPr>
        <w:t>PHASE 3 — BUILD THE KNOWLEDGE FOUNDATION</w:t>
      </w:r>
    </w:p>
    <w:p>
      <w:pPr>
        <w:spacing w:after="80"/>
        <w:jc w:val="center"/>
      </w:pPr>
      <w:r>
        <w:rPr>
          <w:b w:val="0"/>
          <w:i/>
        </w:rPr>
        <w:t>Granular KB Implementation Plan — ESP APM Agentic Architecture</w:t>
      </w:r>
    </w:p>
    <w:p>
      <w:pPr>
        <w:spacing w:after="80"/>
        <w:jc w:val="center"/>
      </w:pPr>
      <w:r>
        <w:rPr>
          <w:b w:val="0"/>
          <w:i w:val="0"/>
        </w:rPr>
        <w:t>Basis: established ESP APM KB architecture + ADVAIT ESP APM AI Agent Development Guideline Rev 1.1.</w:t>
      </w:r>
    </w:p>
    <w:p>
      <w:pPr>
        <w:pStyle w:val="Heading1"/>
      </w:pPr>
      <w:r>
        <w:t>1. Phase 3 Objective</w:t>
      </w:r>
    </w:p>
    <w:p>
      <w:pPr>
        <w:spacing w:after="80"/>
        <w:jc w:val="left"/>
      </w:pPr>
      <w:r>
        <w:rPr>
          <w:b w:val="0"/>
          <w:i w:val="0"/>
        </w:rPr>
        <w:t>Build the production-grade Knowledge Foundation that allows the Agent to retrieve authoritative ESP knowledge, structured fault signatures, historical cases, procedures and equipment references with provenance, tenant scope, authority precedence and hybrid retrieval.</w:t>
      </w:r>
    </w:p>
    <w:p>
      <w:pPr>
        <w:spacing w:after="80"/>
        <w:jc w:val="left"/>
      </w:pPr>
      <w:r>
        <w:rPr>
          <w:b w:val="0"/>
          <w:i w:val="0"/>
        </w:rPr>
        <w:t>Phase 3 builds the KB subsystem that later Objective, Tool, LangGraph, Evidence Pack and Specialist-Agent phases consume.</w:t>
      </w:r>
    </w:p>
    <w:p>
      <w:pPr>
        <w:spacing w:after="80"/>
        <w:jc w:val="left"/>
      </w:pPr>
      <w:r>
        <w:rPr>
          <w:b w:val="0"/>
          <w:i w:val="0"/>
        </w:rPr>
        <w:t>Guidelines.pdf requires the specified KB source categories, hybrid retrieval rather than vector-only search, Knowledge Authority metadata A–F, and troubleshooting knowledge extracted into structured fault objects. [Guidelines.pdf §10.1–§10.4, pp.14–16]</w:t>
      </w:r>
    </w:p>
    <w:p>
      <w:pPr>
        <w:pStyle w:val="Heading1"/>
      </w:pPr>
      <w:r>
        <w:t>2. Scope</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In scope</w:t>
            </w:r>
          </w:p>
        </w:tc>
        <w:tc>
          <w:tcPr>
            <w:tcW w:type="dxa" w:w="5227"/>
            <w:shd w:fill="D9EAF7"/>
          </w:tcPr>
          <w:p>
            <w:r>
              <w:rPr>
                <w:b/>
                <w:sz w:val="14"/>
              </w:rPr>
              <w:t>Out of scope</w:t>
            </w:r>
          </w:p>
        </w:tc>
      </w:tr>
      <w:tr>
        <w:tc>
          <w:tcPr>
            <w:tcW w:type="dxa" w:w="5227"/>
            <w:vAlign w:val="center"/>
          </w:tcPr>
          <w:p>
            <w:r>
              <w:rPr>
                <w:sz w:val="14"/>
              </w:rPr>
              <w:t>KB taxonomy/domain/authority</w:t>
            </w:r>
          </w:p>
        </w:tc>
        <w:tc>
          <w:tcPr>
            <w:tcW w:type="dxa" w:w="5227"/>
            <w:vAlign w:val="center"/>
          </w:tcPr>
          <w:p>
            <w:r>
              <w:rPr>
                <w:sz w:val="14"/>
              </w:rPr>
              <w:t>LangGraph Supervisor implementation</w:t>
            </w:r>
          </w:p>
        </w:tc>
      </w:tr>
      <w:tr>
        <w:tc>
          <w:tcPr>
            <w:tcW w:type="dxa" w:w="5227"/>
            <w:vAlign w:val="center"/>
          </w:tcPr>
          <w:p>
            <w:r>
              <w:rPr>
                <w:sz w:val="14"/>
              </w:rPr>
              <w:t>Source registry/acquisition</w:t>
            </w:r>
          </w:p>
        </w:tc>
        <w:tc>
          <w:tcPr>
            <w:tcW w:type="dxa" w:w="5227"/>
            <w:vAlign w:val="center"/>
          </w:tcPr>
          <w:p>
            <w:r>
              <w:rPr>
                <w:sz w:val="14"/>
              </w:rPr>
              <w:t>ESP model implementation</w:t>
            </w:r>
          </w:p>
        </w:tc>
      </w:tr>
      <w:tr>
        <w:tc>
          <w:tcPr>
            <w:tcW w:type="dxa" w:w="5227"/>
            <w:vAlign w:val="center"/>
          </w:tcPr>
          <w:p>
            <w:r>
              <w:rPr>
                <w:sz w:val="14"/>
              </w:rPr>
              <w:t>Parsing/normalization</w:t>
            </w:r>
          </w:p>
        </w:tc>
        <w:tc>
          <w:tcPr>
            <w:tcW w:type="dxa" w:w="5227"/>
            <w:vAlign w:val="center"/>
          </w:tcPr>
          <w:p>
            <w:r>
              <w:rPr>
                <w:sz w:val="14"/>
              </w:rPr>
              <w:t>Digital Twin implementation</w:t>
            </w:r>
          </w:p>
        </w:tc>
      </w:tr>
      <w:tr>
        <w:tc>
          <w:tcPr>
            <w:tcW w:type="dxa" w:w="5227"/>
            <w:vAlign w:val="center"/>
          </w:tcPr>
          <w:p>
            <w:r>
              <w:rPr>
                <w:sz w:val="14"/>
              </w:rPr>
              <w:t>Metadata/ACL/provenance</w:t>
            </w:r>
          </w:p>
        </w:tc>
        <w:tc>
          <w:tcPr>
            <w:tcW w:type="dxa" w:w="5227"/>
            <w:vAlign w:val="center"/>
          </w:tcPr>
          <w:p>
            <w:r>
              <w:rPr>
                <w:sz w:val="14"/>
              </w:rPr>
              <w:t>Runtime telemetry implementation</w:t>
            </w:r>
          </w:p>
        </w:tc>
      </w:tr>
      <w:tr>
        <w:tc>
          <w:tcPr>
            <w:tcW w:type="dxa" w:w="5227"/>
            <w:vAlign w:val="center"/>
          </w:tcPr>
          <w:p>
            <w:r>
              <w:rPr>
                <w:sz w:val="14"/>
              </w:rPr>
              <w:t>Chunking/embeddings/indexing</w:t>
            </w:r>
          </w:p>
        </w:tc>
        <w:tc>
          <w:tcPr>
            <w:tcW w:type="dxa" w:w="5227"/>
            <w:vAlign w:val="center"/>
          </w:tcPr>
          <w:p>
            <w:r>
              <w:rPr>
                <w:sz w:val="14"/>
              </w:rPr>
              <w:t>Autonomous control</w:t>
            </w:r>
          </w:p>
        </w:tc>
      </w:tr>
      <w:tr>
        <w:tc>
          <w:tcPr>
            <w:tcW w:type="dxa" w:w="5227"/>
            <w:vAlign w:val="center"/>
          </w:tcPr>
          <w:p>
            <w:r>
              <w:rPr>
                <w:sz w:val="14"/>
              </w:rPr>
              <w:t>Fault objects</w:t>
            </w:r>
          </w:p>
        </w:tc>
        <w:tc>
          <w:tcPr>
            <w:tcW w:type="dxa" w:w="5227"/>
            <w:vAlign w:val="center"/>
          </w:tcPr>
          <w:p>
            <w:r>
              <w:rPr>
                <w:sz w:val="14"/>
              </w:rPr>
              <w:t>LLM fine-tuning</w:t>
            </w:r>
          </w:p>
        </w:tc>
      </w:tr>
      <w:tr>
        <w:tc>
          <w:tcPr>
            <w:tcW w:type="dxa" w:w="5227"/>
            <w:vAlign w:val="center"/>
          </w:tcPr>
          <w:p>
            <w:r>
              <w:rPr>
                <w:sz w:val="14"/>
              </w:rPr>
              <w:t>Historical cases</w:t>
            </w:r>
          </w:p>
        </w:tc>
        <w:tc>
          <w:tcPr>
            <w:tcW w:type="dxa" w:w="5227"/>
            <w:vAlign w:val="center"/>
          </w:tcPr>
          <w:p>
            <w:r>
              <w:rPr>
                <w:sz w:val="14"/>
              </w:rPr>
              <w:t>Full dashboard</w:t>
            </w:r>
          </w:p>
        </w:tc>
      </w:tr>
      <w:tr>
        <w:tc>
          <w:tcPr>
            <w:tcW w:type="dxa" w:w="5227"/>
            <w:vAlign w:val="center"/>
          </w:tcPr>
          <w:p>
            <w:r>
              <w:rPr>
                <w:sz w:val="14"/>
              </w:rPr>
              <w:t>Hybrid retrieval/reranking</w:t>
            </w:r>
          </w:p>
        </w:tc>
        <w:tc>
          <w:tcPr>
            <w:tcW w:type="dxa" w:w="5227"/>
            <w:vAlign w:val="center"/>
          </w:tcPr>
          <w:p>
            <w:r>
              <w:rPr>
                <w:sz w:val="14"/>
              </w:rPr>
              <w:t>Fleet rollout</w:t>
            </w:r>
          </w:p>
        </w:tc>
      </w:tr>
      <w:tr>
        <w:tc>
          <w:tcPr>
            <w:tcW w:type="dxa" w:w="5227"/>
            <w:vAlign w:val="center"/>
          </w:tcPr>
          <w:p>
            <w:r>
              <w:rPr>
                <w:sz w:val="14"/>
              </w:rPr>
              <w:t>Knowledge Service + tools</w:t>
            </w:r>
          </w:p>
        </w:tc>
        <w:tc>
          <w:tcPr>
            <w:tcW w:type="dxa" w:w="5227"/>
            <w:vAlign w:val="center"/>
          </w:tcPr>
          <w:p>
            <w:r>
              <w:rPr>
                <w:sz w:val="14"/>
              </w:rPr>
              <w:t>Changing model/engineering algorithms</w:t>
            </w:r>
          </w:p>
        </w:tc>
      </w:tr>
      <w:tr>
        <w:tc>
          <w:tcPr>
            <w:tcW w:type="dxa" w:w="5227"/>
            <w:vAlign w:val="center"/>
          </w:tcPr>
          <w:p>
            <w:r>
              <w:rPr>
                <w:sz w:val="14"/>
              </w:rPr>
              <w:t>Evaluation/governance</w:t>
            </w:r>
          </w:p>
        </w:tc>
        <w:tc>
          <w:tcPr>
            <w:tcW w:type="dxa" w:w="5227"/>
            <w:vAlign w:val="center"/>
          </w:tcPr>
          <w:p>
            <w:r>
              <w:rPr>
                <w:sz w:val="14"/>
              </w:rPr>
              <w:t>Production ML deployment</w:t>
            </w:r>
          </w:p>
        </w:tc>
      </w:tr>
    </w:tbl>
    <w:p/>
    <w:p>
      <w:pPr>
        <w:pStyle w:val="Heading1"/>
      </w:pPr>
      <w:r>
        <w:t>3. Target KB Flow</w:t>
      </w:r>
    </w:p>
    <w:p>
      <w:pPr>
        <w:ind w:left="259" w:right="259"/>
      </w:pPr>
      <w:r>
        <w:rPr>
          <w:rFonts w:ascii="Consolas" w:hAnsi="Consolas"/>
          <w:sz w:val="14"/>
        </w:rPr>
        <w:t>APPROVED SOURCES</w:t>
        <w:br/>
      </w:r>
      <w:r>
        <w:rPr>
          <w:rFonts w:ascii="Consolas" w:hAnsi="Consolas"/>
          <w:sz w:val="14"/>
        </w:rPr>
        <w:t xml:space="preserve">      ↓</w:t>
        <w:br/>
      </w:r>
      <w:r>
        <w:rPr>
          <w:rFonts w:ascii="Consolas" w:hAnsi="Consolas"/>
          <w:sz w:val="14"/>
        </w:rPr>
        <w:t>SOURCE REGISTRY</w:t>
        <w:br/>
      </w:r>
      <w:r>
        <w:rPr>
          <w:rFonts w:ascii="Consolas" w:hAnsi="Consolas"/>
          <w:sz w:val="14"/>
        </w:rPr>
        <w:t xml:space="preserve">      ↓</w:t>
        <w:br/>
      </w:r>
      <w:r>
        <w:rPr>
          <w:rFonts w:ascii="Consolas" w:hAnsi="Consolas"/>
          <w:sz w:val="14"/>
        </w:rPr>
        <w:t>INGESTION</w:t>
        <w:br/>
      </w:r>
      <w:r>
        <w:rPr>
          <w:rFonts w:ascii="Consolas" w:hAnsi="Consolas"/>
          <w:sz w:val="14"/>
        </w:rPr>
        <w:t xml:space="preserve">      ↓</w:t>
        <w:br/>
      </w:r>
      <w:r>
        <w:rPr>
          <w:rFonts w:ascii="Consolas" w:hAnsi="Consolas"/>
          <w:sz w:val="14"/>
        </w:rPr>
        <w:t>PARSING / NORMALIZATION</w:t>
        <w:br/>
      </w:r>
      <w:r>
        <w:rPr>
          <w:rFonts w:ascii="Consolas" w:hAnsi="Consolas"/>
          <w:sz w:val="14"/>
        </w:rPr>
        <w:t xml:space="preserve">      ↓</w:t>
        <w:br/>
      </w:r>
      <w:r>
        <w:rPr>
          <w:rFonts w:ascii="Consolas" w:hAnsi="Consolas"/>
          <w:sz w:val="14"/>
        </w:rPr>
        <w:t>CLASSIFICATION</w:t>
        <w:br/>
      </w:r>
      <w:r>
        <w:rPr>
          <w:rFonts w:ascii="Consolas" w:hAnsi="Consolas"/>
          <w:sz w:val="14"/>
        </w:rPr>
        <w:t xml:space="preserve">  ├─ KB type</w:t>
        <w:br/>
      </w:r>
      <w:r>
        <w:rPr>
          <w:rFonts w:ascii="Consolas" w:hAnsi="Consolas"/>
          <w:sz w:val="14"/>
        </w:rPr>
        <w:t xml:space="preserve">  ├─ Domain</w:t>
        <w:br/>
      </w:r>
      <w:r>
        <w:rPr>
          <w:rFonts w:ascii="Consolas" w:hAnsi="Consolas"/>
          <w:sz w:val="14"/>
        </w:rPr>
        <w:t xml:space="preserve">  ├─ Authority</w:t>
        <w:br/>
      </w:r>
      <w:r>
        <w:rPr>
          <w:rFonts w:ascii="Consolas" w:hAnsi="Consolas"/>
          <w:sz w:val="14"/>
        </w:rPr>
        <w:t xml:space="preserve">  ├─ Tenant/asset scope</w:t>
        <w:br/>
      </w:r>
      <w:r>
        <w:rPr>
          <w:rFonts w:ascii="Consolas" w:hAnsi="Consolas"/>
          <w:sz w:val="14"/>
        </w:rPr>
        <w:t xml:space="preserve">  └─ Lifecycle</w:t>
        <w:br/>
      </w:r>
      <w:r>
        <w:rPr>
          <w:rFonts w:ascii="Consolas" w:hAnsi="Consolas"/>
          <w:sz w:val="14"/>
        </w:rPr>
        <w:t xml:space="preserve">      ↓</w:t>
        <w:br/>
      </w:r>
      <w:r>
        <w:rPr>
          <w:rFonts w:ascii="Consolas" w:hAnsi="Consolas"/>
          <w:sz w:val="14"/>
        </w:rPr>
        <w:t>+---------------------+----------------------+</w:t>
        <w:br/>
      </w:r>
      <w:r>
        <w:rPr>
          <w:rFonts w:ascii="Consolas" w:hAnsi="Consolas"/>
          <w:sz w:val="14"/>
        </w:rPr>
        <w:t>| DOCUMENT KNOWLEDGE  | STRUCTURED KNOWLEDGE |</w:t>
        <w:br/>
      </w:r>
      <w:r>
        <w:rPr>
          <w:rFonts w:ascii="Consolas" w:hAnsi="Consolas"/>
          <w:sz w:val="14"/>
        </w:rPr>
        <w:t>| chunks              | fault objects        |</w:t>
        <w:br/>
      </w:r>
      <w:r>
        <w:rPr>
          <w:rFonts w:ascii="Consolas" w:hAnsi="Consolas"/>
          <w:sz w:val="14"/>
        </w:rPr>
        <w:t>| embeddings          | historical cases     |</w:t>
        <w:br/>
      </w:r>
      <w:r>
        <w:rPr>
          <w:rFonts w:ascii="Consolas" w:hAnsi="Consolas"/>
          <w:sz w:val="14"/>
        </w:rPr>
        <w:t>| BM25                | pump/curve refs      |</w:t>
        <w:br/>
      </w:r>
      <w:r>
        <w:rPr>
          <w:rFonts w:ascii="Consolas" w:hAnsi="Consolas"/>
          <w:sz w:val="14"/>
        </w:rPr>
        <w:t>+----------+----------+ glossary/semantics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HYBRID RETRIEVAL</w:t>
        <w:br/>
      </w:r>
      <w:r>
        <w:rPr>
          <w:rFonts w:ascii="Consolas" w:hAnsi="Consolas"/>
          <w:sz w:val="14"/>
        </w:rPr>
        <w:t xml:space="preserve">          metadata + BM25 + dense + case</w:t>
        <w:br/>
      </w:r>
      <w:r>
        <w:rPr>
          <w:rFonts w:ascii="Consolas" w:hAnsi="Consolas"/>
          <w:sz w:val="14"/>
        </w:rPr>
        <w:t xml:space="preserve">                     ↓</w:t>
        <w:br/>
      </w:r>
      <w:r>
        <w:rPr>
          <w:rFonts w:ascii="Consolas" w:hAnsi="Consolas"/>
          <w:sz w:val="14"/>
        </w:rPr>
        <w:t xml:space="preserve">                  RERANK</w:t>
        <w:br/>
      </w:r>
      <w:r>
        <w:rPr>
          <w:rFonts w:ascii="Consolas" w:hAnsi="Consolas"/>
          <w:sz w:val="14"/>
        </w:rPr>
        <w:t xml:space="preserve">                     ↓</w:t>
        <w:br/>
      </w:r>
      <w:r>
        <w:rPr>
          <w:rFonts w:ascii="Consolas" w:hAnsi="Consolas"/>
          <w:sz w:val="14"/>
        </w:rPr>
        <w:t xml:space="preserve">              AUTHORITY / ACL</w:t>
        <w:br/>
      </w:r>
      <w:r>
        <w:rPr>
          <w:rFonts w:ascii="Consolas" w:hAnsi="Consolas"/>
          <w:sz w:val="14"/>
        </w:rPr>
        <w:t xml:space="preserve">                     ↓</w:t>
        <w:br/>
      </w:r>
      <w:r>
        <w:rPr>
          <w:rFonts w:ascii="Consolas" w:hAnsi="Consolas"/>
          <w:sz w:val="14"/>
        </w:rPr>
        <w:t xml:space="preserve">              KNOWLEDGE SERVICE</w:t>
        <w:br/>
      </w:r>
      <w:r>
        <w:rPr>
          <w:rFonts w:ascii="Consolas" w:hAnsi="Consolas"/>
          <w:sz w:val="14"/>
        </w:rPr>
        <w:t xml:space="preserve">                     ↓</w:t>
        <w:br/>
      </w:r>
      <w:r>
        <w:rPr>
          <w:rFonts w:ascii="Consolas" w:hAnsi="Consolas"/>
          <w:sz w:val="14"/>
        </w:rPr>
        <w:t xml:space="preserve">                AGENT TOOL</w:t>
        <w:br/>
      </w:r>
    </w:p>
    <w:p/>
    <w:p>
      <w:pPr>
        <w:spacing w:after="80"/>
        <w:jc w:val="left"/>
      </w:pPr>
      <w:r>
        <w:rPr>
          <w:b w:val="0"/>
          <w:i w:val="0"/>
        </w:rPr>
        <w:t>Guidelines.pdf §10.2 requires asset/metadata filtering + dense semantic + sparse/BM25 + past-case similarity followed by reranking. [Guidelines.pdf §10.2, p.15]</w:t>
      </w:r>
    </w:p>
    <w:p>
      <w:pPr>
        <w:pStyle w:val="Heading1"/>
      </w:pPr>
      <w:r>
        <w:t>4. KB Categories to Freeze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KB type</w:t>
            </w:r>
          </w:p>
        </w:tc>
        <w:tc>
          <w:tcPr>
            <w:tcW w:type="dxa" w:w="3485"/>
            <w:shd w:fill="D9EAF7"/>
          </w:tcPr>
          <w:p>
            <w:r>
              <w:rPr>
                <w:b/>
                <w:sz w:val="14"/>
              </w:rPr>
              <w:t>Core content</w:t>
            </w:r>
          </w:p>
        </w:tc>
        <w:tc>
          <w:tcPr>
            <w:tcW w:type="dxa" w:w="3485"/>
            <w:shd w:fill="D9EAF7"/>
          </w:tcPr>
          <w:p>
            <w:r>
              <w:rPr>
                <w:b/>
                <w:sz w:val="14"/>
              </w:rPr>
              <w:t>Priority</w:t>
            </w:r>
          </w:p>
        </w:tc>
      </w:tr>
      <w:tr>
        <w:tc>
          <w:tcPr>
            <w:tcW w:type="dxa" w:w="3485"/>
            <w:vAlign w:val="center"/>
          </w:tcPr>
          <w:p>
            <w:r>
              <w:rPr>
                <w:sz w:val="14"/>
              </w:rPr>
              <w:t>Fundamental ESP</w:t>
            </w:r>
          </w:p>
        </w:tc>
        <w:tc>
          <w:tcPr>
            <w:tcW w:type="dxa" w:w="3485"/>
            <w:vAlign w:val="center"/>
          </w:tcPr>
          <w:p>
            <w:r>
              <w:rPr>
                <w:sz w:val="14"/>
              </w:rPr>
              <w:t>ESP architecture, hydraulic/electrical/thermal concepts</w:t>
            </w:r>
          </w:p>
        </w:tc>
        <w:tc>
          <w:tcPr>
            <w:tcW w:type="dxa" w:w="3485"/>
            <w:vAlign w:val="center"/>
          </w:tcPr>
          <w:p>
            <w:r>
              <w:rPr>
                <w:sz w:val="14"/>
              </w:rPr>
              <w:t>P0</w:t>
            </w:r>
          </w:p>
        </w:tc>
      </w:tr>
      <w:tr>
        <w:tc>
          <w:tcPr>
            <w:tcW w:type="dxa" w:w="3485"/>
            <w:vAlign w:val="center"/>
          </w:tcPr>
          <w:p>
            <w:r>
              <w:rPr>
                <w:sz w:val="14"/>
              </w:rPr>
              <w:t>OEM</w:t>
            </w:r>
          </w:p>
        </w:tc>
        <w:tc>
          <w:tcPr>
            <w:tcW w:type="dxa" w:w="3485"/>
            <w:vAlign w:val="center"/>
          </w:tcPr>
          <w:p>
            <w:r>
              <w:rPr>
                <w:sz w:val="14"/>
              </w:rPr>
              <w:t>Pump/motor/protector/intake/VSD manuals/specifications</w:t>
            </w:r>
          </w:p>
        </w:tc>
        <w:tc>
          <w:tcPr>
            <w:tcW w:type="dxa" w:w="3485"/>
            <w:vAlign w:val="center"/>
          </w:tcPr>
          <w:p>
            <w:r>
              <w:rPr>
                <w:sz w:val="14"/>
              </w:rPr>
              <w:t>P0</w:t>
            </w:r>
          </w:p>
        </w:tc>
      </w:tr>
      <w:tr>
        <w:tc>
          <w:tcPr>
            <w:tcW w:type="dxa" w:w="3485"/>
            <w:vAlign w:val="center"/>
          </w:tcPr>
          <w:p>
            <w:r>
              <w:rPr>
                <w:sz w:val="14"/>
              </w:rPr>
              <w:t>Pump catalogue/curves</w:t>
            </w:r>
          </w:p>
        </w:tc>
        <w:tc>
          <w:tcPr>
            <w:tcW w:type="dxa" w:w="3485"/>
            <w:vAlign w:val="center"/>
          </w:tcPr>
          <w:p>
            <w:r>
              <w:rPr>
                <w:sz w:val="14"/>
              </w:rPr>
              <w:t>Pump models, stages, performance curves</w:t>
            </w:r>
          </w:p>
        </w:tc>
        <w:tc>
          <w:tcPr>
            <w:tcW w:type="dxa" w:w="3485"/>
            <w:vAlign w:val="center"/>
          </w:tcPr>
          <w:p>
            <w:r>
              <w:rPr>
                <w:sz w:val="14"/>
              </w:rPr>
              <w:t>P0</w:t>
            </w:r>
          </w:p>
        </w:tc>
      </w:tr>
      <w:tr>
        <w:tc>
          <w:tcPr>
            <w:tcW w:type="dxa" w:w="3485"/>
            <w:vAlign w:val="center"/>
          </w:tcPr>
          <w:p>
            <w:r>
              <w:rPr>
                <w:sz w:val="14"/>
              </w:rPr>
              <w:t>Sizing/design</w:t>
            </w:r>
          </w:p>
        </w:tc>
        <w:tc>
          <w:tcPr>
            <w:tcW w:type="dxa" w:w="3485"/>
            <w:vAlign w:val="center"/>
          </w:tcPr>
          <w:p>
            <w:r>
              <w:rPr>
                <w:sz w:val="14"/>
              </w:rPr>
              <w:t>Sizing and design procedures</w:t>
            </w:r>
          </w:p>
        </w:tc>
        <w:tc>
          <w:tcPr>
            <w:tcW w:type="dxa" w:w="3485"/>
            <w:vAlign w:val="center"/>
          </w:tcPr>
          <w:p>
            <w:r>
              <w:rPr>
                <w:sz w:val="14"/>
              </w:rPr>
              <w:t>P1</w:t>
            </w:r>
          </w:p>
        </w:tc>
      </w:tr>
      <w:tr>
        <w:tc>
          <w:tcPr>
            <w:tcW w:type="dxa" w:w="3485"/>
            <w:vAlign w:val="center"/>
          </w:tcPr>
          <w:p>
            <w:r>
              <w:rPr>
                <w:sz w:val="14"/>
              </w:rPr>
              <w:t>Operations/commissioning</w:t>
            </w:r>
          </w:p>
        </w:tc>
        <w:tc>
          <w:tcPr>
            <w:tcW w:type="dxa" w:w="3485"/>
            <w:vAlign w:val="center"/>
          </w:tcPr>
          <w:p>
            <w:r>
              <w:rPr>
                <w:sz w:val="14"/>
              </w:rPr>
              <w:t>Startup/shutdown/operating procedures</w:t>
            </w:r>
          </w:p>
        </w:tc>
        <w:tc>
          <w:tcPr>
            <w:tcW w:type="dxa" w:w="3485"/>
            <w:vAlign w:val="center"/>
          </w:tcPr>
          <w:p>
            <w:r>
              <w:rPr>
                <w:sz w:val="14"/>
              </w:rPr>
              <w:t>P0</w:t>
            </w:r>
          </w:p>
        </w:tc>
      </w:tr>
      <w:tr>
        <w:tc>
          <w:tcPr>
            <w:tcW w:type="dxa" w:w="3485"/>
            <w:vAlign w:val="center"/>
          </w:tcPr>
          <w:p>
            <w:r>
              <w:rPr>
                <w:sz w:val="14"/>
              </w:rPr>
              <w:t>Troubleshooting</w:t>
            </w:r>
          </w:p>
        </w:tc>
        <w:tc>
          <w:tcPr>
            <w:tcW w:type="dxa" w:w="3485"/>
            <w:vAlign w:val="center"/>
          </w:tcPr>
          <w:p>
            <w:r>
              <w:rPr>
                <w:sz w:val="14"/>
              </w:rPr>
              <w:t>Guides, symptoms, causes, checks</w:t>
            </w:r>
          </w:p>
        </w:tc>
        <w:tc>
          <w:tcPr>
            <w:tcW w:type="dxa" w:w="3485"/>
            <w:vAlign w:val="center"/>
          </w:tcPr>
          <w:p>
            <w:r>
              <w:rPr>
                <w:sz w:val="14"/>
              </w:rPr>
              <w:t>P0</w:t>
            </w:r>
          </w:p>
        </w:tc>
      </w:tr>
      <w:tr>
        <w:tc>
          <w:tcPr>
            <w:tcW w:type="dxa" w:w="3485"/>
            <w:vAlign w:val="center"/>
          </w:tcPr>
          <w:p>
            <w:r>
              <w:rPr>
                <w:sz w:val="14"/>
              </w:rPr>
              <w:t>Reliability/run-life</w:t>
            </w:r>
          </w:p>
        </w:tc>
        <w:tc>
          <w:tcPr>
            <w:tcW w:type="dxa" w:w="3485"/>
            <w:vAlign w:val="center"/>
          </w:tcPr>
          <w:p>
            <w:r>
              <w:rPr>
                <w:sz w:val="14"/>
              </w:rPr>
              <w:t>Reliability and degradation studies</w:t>
            </w:r>
          </w:p>
        </w:tc>
        <w:tc>
          <w:tcPr>
            <w:tcW w:type="dxa" w:w="3485"/>
            <w:vAlign w:val="center"/>
          </w:tcPr>
          <w:p>
            <w:r>
              <w:rPr>
                <w:sz w:val="14"/>
              </w:rPr>
              <w:t>P1</w:t>
            </w:r>
          </w:p>
        </w:tc>
      </w:tr>
      <w:tr>
        <w:tc>
          <w:tcPr>
            <w:tcW w:type="dxa" w:w="3485"/>
            <w:vAlign w:val="center"/>
          </w:tcPr>
          <w:p>
            <w:r>
              <w:rPr>
                <w:sz w:val="14"/>
              </w:rPr>
              <w:t>Well/surveillance</w:t>
            </w:r>
          </w:p>
        </w:tc>
        <w:tc>
          <w:tcPr>
            <w:tcW w:type="dxa" w:w="3485"/>
            <w:vAlign w:val="center"/>
          </w:tcPr>
          <w:p>
            <w:r>
              <w:rPr>
                <w:sz w:val="14"/>
              </w:rPr>
              <w:t>Well/daily surveillance reports</w:t>
            </w:r>
          </w:p>
        </w:tc>
        <w:tc>
          <w:tcPr>
            <w:tcW w:type="dxa" w:w="3485"/>
            <w:vAlign w:val="center"/>
          </w:tcPr>
          <w:p>
            <w:r>
              <w:rPr>
                <w:sz w:val="14"/>
              </w:rPr>
              <w:t>P1</w:t>
            </w:r>
          </w:p>
        </w:tc>
      </w:tr>
      <w:tr>
        <w:tc>
          <w:tcPr>
            <w:tcW w:type="dxa" w:w="3485"/>
            <w:vAlign w:val="center"/>
          </w:tcPr>
          <w:p>
            <w:r>
              <w:rPr>
                <w:sz w:val="14"/>
              </w:rPr>
              <w:t>Workover/teardown/RCA</w:t>
            </w:r>
          </w:p>
        </w:tc>
        <w:tc>
          <w:tcPr>
            <w:tcW w:type="dxa" w:w="3485"/>
            <w:vAlign w:val="center"/>
          </w:tcPr>
          <w:p>
            <w:r>
              <w:rPr>
                <w:sz w:val="14"/>
              </w:rPr>
              <w:t>Intervention and RCA reports</w:t>
            </w:r>
          </w:p>
        </w:tc>
        <w:tc>
          <w:tcPr>
            <w:tcW w:type="dxa" w:w="3485"/>
            <w:vAlign w:val="center"/>
          </w:tcPr>
          <w:p>
            <w:r>
              <w:rPr>
                <w:sz w:val="14"/>
              </w:rPr>
              <w:t>P0</w:t>
            </w:r>
          </w:p>
        </w:tc>
      </w:tr>
      <w:tr>
        <w:tc>
          <w:tcPr>
            <w:tcW w:type="dxa" w:w="3485"/>
            <w:vAlign w:val="center"/>
          </w:tcPr>
          <w:p>
            <w:r>
              <w:rPr>
                <w:sz w:val="14"/>
              </w:rPr>
              <w:t>Lessons/confirmed cases</w:t>
            </w:r>
          </w:p>
        </w:tc>
        <w:tc>
          <w:tcPr>
            <w:tcW w:type="dxa" w:w="3485"/>
            <w:vAlign w:val="center"/>
          </w:tcPr>
          <w:p>
            <w:r>
              <w:rPr>
                <w:sz w:val="14"/>
              </w:rPr>
              <w:t>Approved historical outcomes</w:t>
            </w:r>
          </w:p>
        </w:tc>
        <w:tc>
          <w:tcPr>
            <w:tcW w:type="dxa" w:w="3485"/>
            <w:vAlign w:val="center"/>
          </w:tcPr>
          <w:p>
            <w:r>
              <w:rPr>
                <w:sz w:val="14"/>
              </w:rPr>
              <w:t>P0</w:t>
            </w:r>
          </w:p>
        </w:tc>
      </w:tr>
      <w:tr>
        <w:tc>
          <w:tcPr>
            <w:tcW w:type="dxa" w:w="3485"/>
            <w:vAlign w:val="center"/>
          </w:tcPr>
          <w:p>
            <w:r>
              <w:rPr>
                <w:sz w:val="14"/>
              </w:rPr>
              <w:t>Standards/industry</w:t>
            </w:r>
          </w:p>
        </w:tc>
        <w:tc>
          <w:tcPr>
            <w:tcW w:type="dxa" w:w="3485"/>
            <w:vAlign w:val="center"/>
          </w:tcPr>
          <w:p>
            <w:r>
              <w:rPr>
                <w:sz w:val="14"/>
              </w:rPr>
              <w:t>Standards, SPE, technical literature</w:t>
            </w:r>
          </w:p>
        </w:tc>
        <w:tc>
          <w:tcPr>
            <w:tcW w:type="dxa" w:w="3485"/>
            <w:vAlign w:val="center"/>
          </w:tcPr>
          <w:p>
            <w:r>
              <w:rPr>
                <w:sz w:val="14"/>
              </w:rPr>
              <w:t>P2</w:t>
            </w:r>
          </w:p>
        </w:tc>
      </w:tr>
      <w:tr>
        <w:tc>
          <w:tcPr>
            <w:tcW w:type="dxa" w:w="3485"/>
            <w:vAlign w:val="center"/>
          </w:tcPr>
          <w:p>
            <w:r>
              <w:rPr>
                <w:sz w:val="14"/>
              </w:rPr>
              <w:t>Client/tenant</w:t>
            </w:r>
          </w:p>
        </w:tc>
        <w:tc>
          <w:tcPr>
            <w:tcW w:type="dxa" w:w="3485"/>
            <w:vAlign w:val="center"/>
          </w:tcPr>
          <w:p>
            <w:r>
              <w:rPr>
                <w:sz w:val="14"/>
              </w:rPr>
              <w:t>Client SOPs, terminology, procedures</w:t>
            </w:r>
          </w:p>
        </w:tc>
        <w:tc>
          <w:tcPr>
            <w:tcW w:type="dxa" w:w="3485"/>
            <w:vAlign w:val="center"/>
          </w:tcPr>
          <w:p>
            <w:r>
              <w:rPr>
                <w:sz w:val="14"/>
              </w:rPr>
              <w:t>P0 when available</w:t>
            </w:r>
          </w:p>
        </w:tc>
      </w:tr>
      <w:tr>
        <w:tc>
          <w:tcPr>
            <w:tcW w:type="dxa" w:w="3485"/>
            <w:vAlign w:val="center"/>
          </w:tcPr>
          <w:p>
            <w:r>
              <w:rPr>
                <w:sz w:val="14"/>
              </w:rPr>
              <w:t>Model semantics</w:t>
            </w:r>
          </w:p>
        </w:tc>
        <w:tc>
          <w:tcPr>
            <w:tcW w:type="dxa" w:w="3485"/>
            <w:vAlign w:val="center"/>
          </w:tcPr>
          <w:p>
            <w:r>
              <w:rPr>
                <w:sz w:val="14"/>
              </w:rPr>
              <w:t>Output definitions, limitations, versions</w:t>
            </w:r>
          </w:p>
        </w:tc>
        <w:tc>
          <w:tcPr>
            <w:tcW w:type="dxa" w:w="3485"/>
            <w:vAlign w:val="center"/>
          </w:tcPr>
          <w:p>
            <w:r>
              <w:rPr>
                <w:sz w:val="14"/>
              </w:rPr>
              <w:t>P1</w:t>
            </w:r>
          </w:p>
        </w:tc>
      </w:tr>
      <w:tr>
        <w:tc>
          <w:tcPr>
            <w:tcW w:type="dxa" w:w="3485"/>
            <w:vAlign w:val="center"/>
          </w:tcPr>
          <w:p>
            <w:r>
              <w:rPr>
                <w:sz w:val="14"/>
              </w:rPr>
              <w:t>ML methodology</w:t>
            </w:r>
          </w:p>
        </w:tc>
        <w:tc>
          <w:tcPr>
            <w:tcW w:type="dxa" w:w="3485"/>
            <w:vAlign w:val="center"/>
          </w:tcPr>
          <w:p>
            <w:r>
              <w:rPr>
                <w:sz w:val="14"/>
              </w:rPr>
              <w:t>Anomaly/RUL/forecast concepts</w:t>
            </w:r>
          </w:p>
        </w:tc>
        <w:tc>
          <w:tcPr>
            <w:tcW w:type="dxa" w:w="3485"/>
            <w:vAlign w:val="center"/>
          </w:tcPr>
          <w:p>
            <w:r>
              <w:rPr>
                <w:sz w:val="14"/>
              </w:rPr>
              <w:t>P2</w:t>
            </w:r>
          </w:p>
        </w:tc>
      </w:tr>
      <w:tr>
        <w:tc>
          <w:tcPr>
            <w:tcW w:type="dxa" w:w="3485"/>
            <w:vAlign w:val="center"/>
          </w:tcPr>
          <w:p>
            <w:r>
              <w:rPr>
                <w:sz w:val="14"/>
              </w:rPr>
              <w:t>Agent/objectives</w:t>
            </w:r>
          </w:p>
        </w:tc>
        <w:tc>
          <w:tcPr>
            <w:tcW w:type="dxa" w:w="3485"/>
            <w:vAlign w:val="center"/>
          </w:tcPr>
          <w:p>
            <w:r>
              <w:rPr>
                <w:sz w:val="14"/>
              </w:rPr>
              <w:t>Objective/workflow definitions</w:t>
            </w:r>
          </w:p>
        </w:tc>
        <w:tc>
          <w:tcPr>
            <w:tcW w:type="dxa" w:w="3485"/>
            <w:vAlign w:val="center"/>
          </w:tcPr>
          <w:p>
            <w:r>
              <w:rPr>
                <w:sz w:val="14"/>
              </w:rPr>
              <w:t>P1</w:t>
            </w:r>
          </w:p>
        </w:tc>
      </w:tr>
    </w:tbl>
    <w:p/>
    <w:p>
      <w:pPr>
        <w:spacing w:after="80"/>
        <w:jc w:val="left"/>
      </w:pPr>
      <w:r>
        <w:rPr>
          <w:b w:val="0"/>
          <w:i w:val="0"/>
        </w:rPr>
        <w:t>Guidelines.pdf §10.1 provides the core KB category list. [Guidelines.pdf §10.1, pp.14–15]</w:t>
      </w:r>
    </w:p>
    <w:p>
      <w:pPr>
        <w:pStyle w:val="Heading1"/>
      </w:pPr>
      <w:r>
        <w:t>5. Authority Hierarchy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Level</w:t>
            </w:r>
          </w:p>
        </w:tc>
        <w:tc>
          <w:tcPr>
            <w:tcW w:type="dxa" w:w="2613"/>
            <w:shd w:fill="D9EAF7"/>
          </w:tcPr>
          <w:p>
            <w:r>
              <w:rPr>
                <w:b/>
                <w:sz w:val="14"/>
              </w:rPr>
              <w:t>Authority</w:t>
            </w:r>
          </w:p>
        </w:tc>
        <w:tc>
          <w:tcPr>
            <w:tcW w:type="dxa" w:w="2613"/>
            <w:shd w:fill="D9EAF7"/>
          </w:tcPr>
          <w:p>
            <w:r>
              <w:rPr>
                <w:b/>
                <w:sz w:val="14"/>
              </w:rPr>
              <w:t>Examples</w:t>
            </w:r>
          </w:p>
        </w:tc>
        <w:tc>
          <w:tcPr>
            <w:tcW w:type="dxa" w:w="2613"/>
            <w:shd w:fill="D9EAF7"/>
          </w:tcPr>
          <w:p>
            <w:r>
              <w:rPr>
                <w:b/>
                <w:sz w:val="14"/>
              </w:rPr>
              <w:t>Behavior</w:t>
            </w:r>
          </w:p>
        </w:tc>
      </w:tr>
      <w:tr>
        <w:tc>
          <w:tcPr>
            <w:tcW w:type="dxa" w:w="2613"/>
            <w:vAlign w:val="center"/>
          </w:tcPr>
          <w:p>
            <w:r>
              <w:rPr>
                <w:sz w:val="14"/>
              </w:rPr>
              <w:t>A</w:t>
            </w:r>
          </w:p>
        </w:tc>
        <w:tc>
          <w:tcPr>
            <w:tcW w:type="dxa" w:w="2613"/>
            <w:vAlign w:val="center"/>
          </w:tcPr>
          <w:p>
            <w:r>
              <w:rPr>
                <w:sz w:val="14"/>
              </w:rPr>
              <w:t>Installed / Approved</w:t>
            </w:r>
          </w:p>
        </w:tc>
        <w:tc>
          <w:tcPr>
            <w:tcW w:type="dxa" w:w="2613"/>
            <w:vAlign w:val="center"/>
          </w:tcPr>
          <w:p>
            <w:r>
              <w:rPr>
                <w:sz w:val="14"/>
              </w:rPr>
              <w:t>Installed equipment, current limits, approved design data</w:t>
            </w:r>
          </w:p>
        </w:tc>
        <w:tc>
          <w:tcPr>
            <w:tcW w:type="dxa" w:w="2613"/>
            <w:vAlign w:val="center"/>
          </w:tcPr>
          <w:p>
            <w:r>
              <w:rPr>
                <w:sz w:val="14"/>
              </w:rPr>
              <w:t>Highest for asset-specific claims</w:t>
            </w:r>
          </w:p>
        </w:tc>
      </w:tr>
      <w:tr>
        <w:tc>
          <w:tcPr>
            <w:tcW w:type="dxa" w:w="2613"/>
            <w:vAlign w:val="center"/>
          </w:tcPr>
          <w:p>
            <w:r>
              <w:rPr>
                <w:sz w:val="14"/>
              </w:rPr>
              <w:t>B</w:t>
            </w:r>
          </w:p>
        </w:tc>
        <w:tc>
          <w:tcPr>
            <w:tcW w:type="dxa" w:w="2613"/>
            <w:vAlign w:val="center"/>
          </w:tcPr>
          <w:p>
            <w:r>
              <w:rPr>
                <w:sz w:val="14"/>
              </w:rPr>
              <w:t>OEM</w:t>
            </w:r>
          </w:p>
        </w:tc>
        <w:tc>
          <w:tcPr>
            <w:tcW w:type="dxa" w:w="2613"/>
            <w:vAlign w:val="center"/>
          </w:tcPr>
          <w:p>
            <w:r>
              <w:rPr>
                <w:sz w:val="14"/>
              </w:rPr>
              <w:t>Pump curves, manuals, specs</w:t>
            </w:r>
          </w:p>
        </w:tc>
        <w:tc>
          <w:tcPr>
            <w:tcW w:type="dxa" w:w="2613"/>
            <w:vAlign w:val="center"/>
          </w:tcPr>
          <w:p>
            <w:r>
              <w:rPr>
                <w:sz w:val="14"/>
              </w:rPr>
              <w:t>Component performance/limits</w:t>
            </w:r>
          </w:p>
        </w:tc>
      </w:tr>
      <w:tr>
        <w:tc>
          <w:tcPr>
            <w:tcW w:type="dxa" w:w="2613"/>
            <w:vAlign w:val="center"/>
          </w:tcPr>
          <w:p>
            <w:r>
              <w:rPr>
                <w:sz w:val="14"/>
              </w:rPr>
              <w:t>C</w:t>
            </w:r>
          </w:p>
        </w:tc>
        <w:tc>
          <w:tcPr>
            <w:tcW w:type="dxa" w:w="2613"/>
            <w:vAlign w:val="center"/>
          </w:tcPr>
          <w:p>
            <w:r>
              <w:rPr>
                <w:sz w:val="14"/>
              </w:rPr>
              <w:t>Customer Engineering</w:t>
            </w:r>
          </w:p>
        </w:tc>
        <w:tc>
          <w:tcPr>
            <w:tcW w:type="dxa" w:w="2613"/>
            <w:vAlign w:val="center"/>
          </w:tcPr>
          <w:p>
            <w:r>
              <w:rPr>
                <w:sz w:val="14"/>
              </w:rPr>
              <w:t>Approved standards, procedures, operating envelopes</w:t>
            </w:r>
          </w:p>
        </w:tc>
        <w:tc>
          <w:tcPr>
            <w:tcW w:type="dxa" w:w="2613"/>
            <w:vAlign w:val="center"/>
          </w:tcPr>
          <w:p>
            <w:r>
              <w:rPr>
                <w:sz w:val="14"/>
              </w:rPr>
              <w:t>Site-specific operation</w:t>
            </w:r>
          </w:p>
        </w:tc>
      </w:tr>
      <w:tr>
        <w:tc>
          <w:tcPr>
            <w:tcW w:type="dxa" w:w="2613"/>
            <w:vAlign w:val="center"/>
          </w:tcPr>
          <w:p>
            <w:r>
              <w:rPr>
                <w:sz w:val="14"/>
              </w:rPr>
              <w:t>D</w:t>
            </w:r>
          </w:p>
        </w:tc>
        <w:tc>
          <w:tcPr>
            <w:tcW w:type="dxa" w:w="2613"/>
            <w:vAlign w:val="center"/>
          </w:tcPr>
          <w:p>
            <w:r>
              <w:rPr>
                <w:sz w:val="14"/>
              </w:rPr>
              <w:t>Site History</w:t>
            </w:r>
          </w:p>
        </w:tc>
        <w:tc>
          <w:tcPr>
            <w:tcW w:type="dxa" w:w="2613"/>
            <w:vAlign w:val="center"/>
          </w:tcPr>
          <w:p>
            <w:r>
              <w:rPr>
                <w:sz w:val="14"/>
              </w:rPr>
              <w:t>RCA, teardown, workover, surveillance</w:t>
            </w:r>
          </w:p>
        </w:tc>
        <w:tc>
          <w:tcPr>
            <w:tcW w:type="dxa" w:w="2613"/>
            <w:vAlign w:val="center"/>
          </w:tcPr>
          <w:p>
            <w:r>
              <w:rPr>
                <w:sz w:val="14"/>
              </w:rPr>
              <w:t>Similarity/evidence</w:t>
            </w:r>
          </w:p>
        </w:tc>
      </w:tr>
      <w:tr>
        <w:tc>
          <w:tcPr>
            <w:tcW w:type="dxa" w:w="2613"/>
            <w:vAlign w:val="center"/>
          </w:tcPr>
          <w:p>
            <w:r>
              <w:rPr>
                <w:sz w:val="14"/>
              </w:rPr>
              <w:t>E</w:t>
            </w:r>
          </w:p>
        </w:tc>
        <w:tc>
          <w:tcPr>
            <w:tcW w:type="dxa" w:w="2613"/>
            <w:vAlign w:val="center"/>
          </w:tcPr>
          <w:p>
            <w:r>
              <w:rPr>
                <w:sz w:val="14"/>
              </w:rPr>
              <w:t>Industry</w:t>
            </w:r>
          </w:p>
        </w:tc>
        <w:tc>
          <w:tcPr>
            <w:tcW w:type="dxa" w:w="2613"/>
            <w:vAlign w:val="center"/>
          </w:tcPr>
          <w:p>
            <w:r>
              <w:rPr>
                <w:sz w:val="14"/>
              </w:rPr>
              <w:t>SPE, textbooks, literature</w:t>
            </w:r>
          </w:p>
        </w:tc>
        <w:tc>
          <w:tcPr>
            <w:tcW w:type="dxa" w:w="2613"/>
            <w:vAlign w:val="center"/>
          </w:tcPr>
          <w:p>
            <w:r>
              <w:rPr>
                <w:sz w:val="14"/>
              </w:rPr>
              <w:t>General guidance</w:t>
            </w:r>
          </w:p>
        </w:tc>
      </w:tr>
      <w:tr>
        <w:tc>
          <w:tcPr>
            <w:tcW w:type="dxa" w:w="2613"/>
            <w:vAlign w:val="center"/>
          </w:tcPr>
          <w:p>
            <w:r>
              <w:rPr>
                <w:sz w:val="14"/>
              </w:rPr>
              <w:t>F</w:t>
            </w:r>
          </w:p>
        </w:tc>
        <w:tc>
          <w:tcPr>
            <w:tcW w:type="dxa" w:w="2613"/>
            <w:vAlign w:val="center"/>
          </w:tcPr>
          <w:p>
            <w:r>
              <w:rPr>
                <w:sz w:val="14"/>
              </w:rPr>
              <w:t>LLM Prior</w:t>
            </w:r>
          </w:p>
        </w:tc>
        <w:tc>
          <w:tcPr>
            <w:tcW w:type="dxa" w:w="2613"/>
            <w:vAlign w:val="center"/>
          </w:tcPr>
          <w:p>
            <w:r>
              <w:rPr>
                <w:sz w:val="14"/>
              </w:rPr>
              <w:t>Generic model knowledge</w:t>
            </w:r>
          </w:p>
        </w:tc>
        <w:tc>
          <w:tcPr>
            <w:tcW w:type="dxa" w:w="2613"/>
            <w:vAlign w:val="center"/>
          </w:tcPr>
          <w:p>
            <w:r>
              <w:rPr>
                <w:sz w:val="14"/>
              </w:rPr>
              <w:t>Lowest; never override higher</w:t>
            </w:r>
          </w:p>
        </w:tc>
      </w:tr>
    </w:tbl>
    <w:p/>
    <w:p>
      <w:pPr>
        <w:spacing w:after="80"/>
        <w:jc w:val="left"/>
      </w:pPr>
      <w:r>
        <w:rPr>
          <w:b w:val="0"/>
          <w:i w:val="0"/>
        </w:rPr>
        <w:t>Guidelines.pdf §3.1 defines this order and requires conflicts to be reported rather than silently reconciled. [Guidelines.pdf §3.1, pp.6–7]</w:t>
      </w:r>
    </w:p>
    <w:p>
      <w:pPr>
        <w:pStyle w:val="Heading1"/>
      </w:pPr>
      <w:r>
        <w:t>6. Prerequisites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Dependency</w:t>
            </w:r>
          </w:p>
        </w:tc>
        <w:tc>
          <w:tcPr>
            <w:tcW w:type="dxa" w:w="3485"/>
            <w:shd w:fill="D9EAF7"/>
          </w:tcPr>
          <w:p>
            <w:r>
              <w:rPr>
                <w:b/>
                <w:sz w:val="14"/>
              </w:rPr>
              <w:t>Required input</w:t>
            </w:r>
          </w:p>
        </w:tc>
        <w:tc>
          <w:tcPr>
            <w:tcW w:type="dxa" w:w="3485"/>
            <w:shd w:fill="D9EAF7"/>
          </w:tcPr>
          <w:p>
            <w:r>
              <w:rPr>
                <w:b/>
                <w:sz w:val="14"/>
              </w:rPr>
              <w:t>Ready condition</w:t>
            </w:r>
          </w:p>
        </w:tc>
      </w:tr>
      <w:tr>
        <w:tc>
          <w:tcPr>
            <w:tcW w:type="dxa" w:w="3485"/>
            <w:vAlign w:val="center"/>
          </w:tcPr>
          <w:p>
            <w:r>
              <w:rPr>
                <w:sz w:val="14"/>
              </w:rPr>
              <w:t>Source inventory</w:t>
            </w:r>
          </w:p>
        </w:tc>
        <w:tc>
          <w:tcPr>
            <w:tcW w:type="dxa" w:w="3485"/>
            <w:vAlign w:val="center"/>
          </w:tcPr>
          <w:p>
            <w:r>
              <w:rPr>
                <w:sz w:val="14"/>
              </w:rPr>
              <w:t>Known documents/exports</w:t>
            </w:r>
          </w:p>
        </w:tc>
        <w:tc>
          <w:tcPr>
            <w:tcW w:type="dxa" w:w="3485"/>
            <w:vAlign w:val="center"/>
          </w:tcPr>
          <w:p>
            <w:r>
              <w:rPr>
                <w:sz w:val="14"/>
              </w:rPr>
              <w:t>Source registry can be populated</w:t>
            </w:r>
          </w:p>
        </w:tc>
      </w:tr>
      <w:tr>
        <w:tc>
          <w:tcPr>
            <w:tcW w:type="dxa" w:w="3485"/>
            <w:vAlign w:val="center"/>
          </w:tcPr>
          <w:p>
            <w:r>
              <w:rPr>
                <w:sz w:val="14"/>
              </w:rPr>
              <w:t>Taxonomy</w:t>
            </w:r>
          </w:p>
        </w:tc>
        <w:tc>
          <w:tcPr>
            <w:tcW w:type="dxa" w:w="3485"/>
            <w:vAlign w:val="center"/>
          </w:tcPr>
          <w:p>
            <w:r>
              <w:rPr>
                <w:sz w:val="14"/>
              </w:rPr>
              <w:t>KB types/domains/authority</w:t>
            </w:r>
          </w:p>
        </w:tc>
        <w:tc>
          <w:tcPr>
            <w:tcW w:type="dxa" w:w="3485"/>
            <w:vAlign w:val="center"/>
          </w:tcPr>
          <w:p>
            <w:r>
              <w:rPr>
                <w:sz w:val="14"/>
              </w:rPr>
              <w:t>Metadata schema stable</w:t>
            </w:r>
          </w:p>
        </w:tc>
      </w:tr>
      <w:tr>
        <w:tc>
          <w:tcPr>
            <w:tcW w:type="dxa" w:w="3485"/>
            <w:vAlign w:val="center"/>
          </w:tcPr>
          <w:p>
            <w:r>
              <w:rPr>
                <w:sz w:val="14"/>
              </w:rPr>
              <w:t>Tenant policy</w:t>
            </w:r>
          </w:p>
        </w:tc>
        <w:tc>
          <w:tcPr>
            <w:tcW w:type="dxa" w:w="3485"/>
            <w:vAlign w:val="center"/>
          </w:tcPr>
          <w:p>
            <w:r>
              <w:rPr>
                <w:sz w:val="14"/>
              </w:rPr>
              <w:t>ACL and scope</w:t>
            </w:r>
          </w:p>
        </w:tc>
        <w:tc>
          <w:tcPr>
            <w:tcW w:type="dxa" w:w="3485"/>
            <w:vAlign w:val="center"/>
          </w:tcPr>
          <w:p>
            <w:r>
              <w:rPr>
                <w:sz w:val="14"/>
              </w:rPr>
              <w:t>Client sources can be isolated</w:t>
            </w:r>
          </w:p>
        </w:tc>
      </w:tr>
      <w:tr>
        <w:tc>
          <w:tcPr>
            <w:tcW w:type="dxa" w:w="3485"/>
            <w:vAlign w:val="center"/>
          </w:tcPr>
          <w:p>
            <w:r>
              <w:rPr>
                <w:sz w:val="14"/>
              </w:rPr>
              <w:t>Storage</w:t>
            </w:r>
          </w:p>
        </w:tc>
        <w:tc>
          <w:tcPr>
            <w:tcW w:type="dxa" w:w="3485"/>
            <w:vAlign w:val="center"/>
          </w:tcPr>
          <w:p>
            <w:r>
              <w:rPr>
                <w:sz w:val="14"/>
              </w:rPr>
              <w:t>PostgreSQL/object/vector choices</w:t>
            </w:r>
          </w:p>
        </w:tc>
        <w:tc>
          <w:tcPr>
            <w:tcW w:type="dxa" w:w="3485"/>
            <w:vAlign w:val="center"/>
          </w:tcPr>
          <w:p>
            <w:r>
              <w:rPr>
                <w:sz w:val="14"/>
              </w:rPr>
              <w:t>Environment provisioned</w:t>
            </w:r>
          </w:p>
        </w:tc>
      </w:tr>
      <w:tr>
        <w:tc>
          <w:tcPr>
            <w:tcW w:type="dxa" w:w="3485"/>
            <w:vAlign w:val="center"/>
          </w:tcPr>
          <w:p>
            <w:r>
              <w:rPr>
                <w:sz w:val="14"/>
              </w:rPr>
              <w:t>Parser</w:t>
            </w:r>
          </w:p>
        </w:tc>
        <w:tc>
          <w:tcPr>
            <w:tcW w:type="dxa" w:w="3485"/>
            <w:vAlign w:val="center"/>
          </w:tcPr>
          <w:p>
            <w:r>
              <w:rPr>
                <w:sz w:val="14"/>
              </w:rPr>
              <w:t>Primary + fallback parser</w:t>
            </w:r>
          </w:p>
        </w:tc>
        <w:tc>
          <w:tcPr>
            <w:tcW w:type="dxa" w:w="3485"/>
            <w:vAlign w:val="center"/>
          </w:tcPr>
          <w:p>
            <w:r>
              <w:rPr>
                <w:sz w:val="14"/>
              </w:rPr>
              <w:t>Pilot docs parse</w:t>
            </w:r>
          </w:p>
        </w:tc>
      </w:tr>
      <w:tr>
        <w:tc>
          <w:tcPr>
            <w:tcW w:type="dxa" w:w="3485"/>
            <w:vAlign w:val="center"/>
          </w:tcPr>
          <w:p>
            <w:r>
              <w:rPr>
                <w:sz w:val="14"/>
              </w:rPr>
              <w:t>Embeddings</w:t>
            </w:r>
          </w:p>
        </w:tc>
        <w:tc>
          <w:tcPr>
            <w:tcW w:type="dxa" w:w="3485"/>
            <w:vAlign w:val="center"/>
          </w:tcPr>
          <w:p>
            <w:r>
              <w:rPr>
                <w:sz w:val="14"/>
              </w:rPr>
              <w:t>Local embedding model</w:t>
            </w:r>
          </w:p>
        </w:tc>
        <w:tc>
          <w:tcPr>
            <w:tcW w:type="dxa" w:w="3485"/>
            <w:vAlign w:val="center"/>
          </w:tcPr>
          <w:p>
            <w:r>
              <w:rPr>
                <w:sz w:val="14"/>
              </w:rPr>
              <w:t>Offline embeddings work</w:t>
            </w:r>
          </w:p>
        </w:tc>
      </w:tr>
      <w:tr>
        <w:tc>
          <w:tcPr>
            <w:tcW w:type="dxa" w:w="3485"/>
            <w:vAlign w:val="center"/>
          </w:tcPr>
          <w:p>
            <w:r>
              <w:rPr>
                <w:sz w:val="14"/>
              </w:rPr>
              <w:t>Reranker</w:t>
            </w:r>
          </w:p>
        </w:tc>
        <w:tc>
          <w:tcPr>
            <w:tcW w:type="dxa" w:w="3485"/>
            <w:vAlign w:val="center"/>
          </w:tcPr>
          <w:p>
            <w:r>
              <w:rPr>
                <w:sz w:val="14"/>
              </w:rPr>
              <w:t>Local reranker</w:t>
            </w:r>
          </w:p>
        </w:tc>
        <w:tc>
          <w:tcPr>
            <w:tcW w:type="dxa" w:w="3485"/>
            <w:vAlign w:val="center"/>
          </w:tcPr>
          <w:p>
            <w:r>
              <w:rPr>
                <w:sz w:val="14"/>
              </w:rPr>
              <w:t>Candidates can be reranked</w:t>
            </w:r>
          </w:p>
        </w:tc>
      </w:tr>
      <w:tr>
        <w:tc>
          <w:tcPr>
            <w:tcW w:type="dxa" w:w="3485"/>
            <w:vAlign w:val="center"/>
          </w:tcPr>
          <w:p>
            <w:r>
              <w:rPr>
                <w:sz w:val="14"/>
              </w:rPr>
              <w:t>Fault schema</w:t>
            </w:r>
          </w:p>
        </w:tc>
        <w:tc>
          <w:tcPr>
            <w:tcW w:type="dxa" w:w="3485"/>
            <w:vAlign w:val="center"/>
          </w:tcPr>
          <w:p>
            <w:r>
              <w:rPr>
                <w:sz w:val="14"/>
              </w:rPr>
              <w:t>Structured fault object</w:t>
            </w:r>
          </w:p>
        </w:tc>
        <w:tc>
          <w:tcPr>
            <w:tcW w:type="dxa" w:w="3485"/>
            <w:vAlign w:val="center"/>
          </w:tcPr>
          <w:p>
            <w:r>
              <w:rPr>
                <w:sz w:val="14"/>
              </w:rPr>
              <w:t>Extraction can start</w:t>
            </w:r>
          </w:p>
        </w:tc>
      </w:tr>
      <w:tr>
        <w:tc>
          <w:tcPr>
            <w:tcW w:type="dxa" w:w="3485"/>
            <w:vAlign w:val="center"/>
          </w:tcPr>
          <w:p>
            <w:r>
              <w:rPr>
                <w:sz w:val="14"/>
              </w:rPr>
              <w:t>Case schema</w:t>
            </w:r>
          </w:p>
        </w:tc>
        <w:tc>
          <w:tcPr>
            <w:tcW w:type="dxa" w:w="3485"/>
            <w:vAlign w:val="center"/>
          </w:tcPr>
          <w:p>
            <w:r>
              <w:rPr>
                <w:sz w:val="14"/>
              </w:rPr>
              <w:t>Historical case object</w:t>
            </w:r>
          </w:p>
        </w:tc>
        <w:tc>
          <w:tcPr>
            <w:tcW w:type="dxa" w:w="3485"/>
            <w:vAlign w:val="center"/>
          </w:tcPr>
          <w:p>
            <w:r>
              <w:rPr>
                <w:sz w:val="14"/>
              </w:rPr>
              <w:t>RCA extraction can start</w:t>
            </w:r>
          </w:p>
        </w:tc>
      </w:tr>
    </w:tbl>
    <w:p/>
    <w:p>
      <w:pPr>
        <w:pStyle w:val="Heading1"/>
      </w:pPr>
      <w:r>
        <w:t>7. Sprint 3.1 — KB Governance &amp; Taxonomy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Task</w:t>
            </w:r>
          </w:p>
        </w:tc>
        <w:tc>
          <w:tcPr>
            <w:tcW w:type="dxa" w:w="2613"/>
            <w:shd w:fill="D9EAF7"/>
          </w:tcPr>
          <w:p>
            <w:r>
              <w:rPr>
                <w:b/>
                <w:sz w:val="14"/>
              </w:rPr>
              <w:t>Subtasks</w:t>
            </w:r>
          </w:p>
        </w:tc>
        <w:tc>
          <w:tcPr>
            <w:tcW w:type="dxa" w:w="2613"/>
            <w:shd w:fill="D9EAF7"/>
          </w:tcPr>
          <w:p>
            <w:r>
              <w:rPr>
                <w:b/>
                <w:sz w:val="14"/>
              </w:rPr>
              <w:t>Output</w:t>
            </w:r>
          </w:p>
        </w:tc>
        <w:tc>
          <w:tcPr>
            <w:tcW w:type="dxa" w:w="2613"/>
            <w:shd w:fill="D9EAF7"/>
          </w:tcPr>
          <w:p>
            <w:r>
              <w:rPr>
                <w:b/>
                <w:sz w:val="14"/>
              </w:rPr>
              <w:t>Exit</w:t>
            </w:r>
          </w:p>
        </w:tc>
      </w:tr>
      <w:tr>
        <w:tc>
          <w:tcPr>
            <w:tcW w:type="dxa" w:w="2613"/>
            <w:vAlign w:val="center"/>
          </w:tcPr>
          <w:p>
            <w:r>
              <w:rPr>
                <w:sz w:val="14"/>
              </w:rPr>
              <w:t>3.1.1</w:t>
            </w:r>
          </w:p>
        </w:tc>
        <w:tc>
          <w:tcPr>
            <w:tcW w:type="dxa" w:w="2613"/>
            <w:vAlign w:val="center"/>
          </w:tcPr>
          <w:p>
            <w:r>
              <w:rPr>
                <w:sz w:val="14"/>
              </w:rPr>
              <w:t>Freeze KB categories</w:t>
            </w:r>
          </w:p>
        </w:tc>
        <w:tc>
          <w:tcPr>
            <w:tcW w:type="dxa" w:w="2613"/>
            <w:vAlign w:val="center"/>
          </w:tcPr>
          <w:p>
            <w:r>
              <w:rPr>
                <w:sz w:val="14"/>
              </w:rPr>
              <w:t>Taxonomy v1</w:t>
            </w:r>
          </w:p>
        </w:tc>
        <w:tc>
          <w:tcPr>
            <w:tcW w:type="dxa" w:w="2613"/>
            <w:vAlign w:val="center"/>
          </w:tcPr>
          <w:p>
            <w:r>
              <w:rPr>
                <w:sz w:val="14"/>
              </w:rPr>
              <w:t>All pilot sources map</w:t>
            </w:r>
          </w:p>
        </w:tc>
      </w:tr>
      <w:tr>
        <w:tc>
          <w:tcPr>
            <w:tcW w:type="dxa" w:w="2613"/>
            <w:vAlign w:val="center"/>
          </w:tcPr>
          <w:p>
            <w:r>
              <w:rPr>
                <w:sz w:val="14"/>
              </w:rPr>
              <w:t>3.1.2</w:t>
            </w:r>
          </w:p>
        </w:tc>
        <w:tc>
          <w:tcPr>
            <w:tcW w:type="dxa" w:w="2613"/>
            <w:vAlign w:val="center"/>
          </w:tcPr>
          <w:p>
            <w:r>
              <w:rPr>
                <w:sz w:val="14"/>
              </w:rPr>
              <w:t>Freeze domains</w:t>
            </w:r>
          </w:p>
        </w:tc>
        <w:tc>
          <w:tcPr>
            <w:tcW w:type="dxa" w:w="2613"/>
            <w:vAlign w:val="center"/>
          </w:tcPr>
          <w:p>
            <w:r>
              <w:rPr>
                <w:sz w:val="14"/>
              </w:rPr>
              <w:t>ESP/equipment/fault/etc.</w:t>
            </w:r>
          </w:p>
        </w:tc>
        <w:tc>
          <w:tcPr>
            <w:tcW w:type="dxa" w:w="2613"/>
            <w:vAlign w:val="center"/>
          </w:tcPr>
          <w:p>
            <w:r>
              <w:rPr>
                <w:sz w:val="14"/>
              </w:rPr>
              <w:t>No uncategorized pilot source</w:t>
            </w:r>
          </w:p>
        </w:tc>
      </w:tr>
      <w:tr>
        <w:tc>
          <w:tcPr>
            <w:tcW w:type="dxa" w:w="2613"/>
            <w:vAlign w:val="center"/>
          </w:tcPr>
          <w:p>
            <w:r>
              <w:rPr>
                <w:sz w:val="14"/>
              </w:rPr>
              <w:t>3.1.3</w:t>
            </w:r>
          </w:p>
        </w:tc>
        <w:tc>
          <w:tcPr>
            <w:tcW w:type="dxa" w:w="2613"/>
            <w:vAlign w:val="center"/>
          </w:tcPr>
          <w:p>
            <w:r>
              <w:rPr>
                <w:sz w:val="14"/>
              </w:rPr>
              <w:t>Freeze authority</w:t>
            </w:r>
          </w:p>
        </w:tc>
        <w:tc>
          <w:tcPr>
            <w:tcW w:type="dxa" w:w="2613"/>
            <w:vAlign w:val="center"/>
          </w:tcPr>
          <w:p>
            <w:r>
              <w:rPr>
                <w:sz w:val="14"/>
              </w:rPr>
              <w:t>A–F matrix</w:t>
            </w:r>
          </w:p>
        </w:tc>
        <w:tc>
          <w:tcPr>
            <w:tcW w:type="dxa" w:w="2613"/>
            <w:vAlign w:val="center"/>
          </w:tcPr>
          <w:p>
            <w:r>
              <w:rPr>
                <w:sz w:val="14"/>
              </w:rPr>
              <w:t>Conflict rule approved</w:t>
            </w:r>
          </w:p>
        </w:tc>
      </w:tr>
      <w:tr>
        <w:tc>
          <w:tcPr>
            <w:tcW w:type="dxa" w:w="2613"/>
            <w:vAlign w:val="center"/>
          </w:tcPr>
          <w:p>
            <w:r>
              <w:rPr>
                <w:sz w:val="14"/>
              </w:rPr>
              <w:t>3.1.4</w:t>
            </w:r>
          </w:p>
        </w:tc>
        <w:tc>
          <w:tcPr>
            <w:tcW w:type="dxa" w:w="2613"/>
            <w:vAlign w:val="center"/>
          </w:tcPr>
          <w:p>
            <w:r>
              <w:rPr>
                <w:sz w:val="14"/>
              </w:rPr>
              <w:t>Freeze scope</w:t>
            </w:r>
          </w:p>
        </w:tc>
        <w:tc>
          <w:tcPr>
            <w:tcW w:type="dxa" w:w="2613"/>
            <w:vAlign w:val="center"/>
          </w:tcPr>
          <w:p>
            <w:r>
              <w:rPr>
                <w:sz w:val="14"/>
              </w:rPr>
              <w:t>Global/client/asset/equipment</w:t>
            </w:r>
          </w:p>
        </w:tc>
        <w:tc>
          <w:tcPr>
            <w:tcW w:type="dxa" w:w="2613"/>
            <w:vAlign w:val="center"/>
          </w:tcPr>
          <w:p>
            <w:r>
              <w:rPr>
                <w:sz w:val="14"/>
              </w:rPr>
              <w:t>Scope rules</w:t>
            </w:r>
          </w:p>
        </w:tc>
      </w:tr>
      <w:tr>
        <w:tc>
          <w:tcPr>
            <w:tcW w:type="dxa" w:w="2613"/>
            <w:vAlign w:val="center"/>
          </w:tcPr>
          <w:p>
            <w:r>
              <w:rPr>
                <w:sz w:val="14"/>
              </w:rPr>
              <w:t>3.1.5</w:t>
            </w:r>
          </w:p>
        </w:tc>
        <w:tc>
          <w:tcPr>
            <w:tcW w:type="dxa" w:w="2613"/>
            <w:vAlign w:val="center"/>
          </w:tcPr>
          <w:p>
            <w:r>
              <w:rPr>
                <w:sz w:val="14"/>
              </w:rPr>
              <w:t>Freeze lifecycle</w:t>
            </w:r>
          </w:p>
        </w:tc>
        <w:tc>
          <w:tcPr>
            <w:tcW w:type="dxa" w:w="2613"/>
            <w:vAlign w:val="center"/>
          </w:tcPr>
          <w:p>
            <w:r>
              <w:rPr>
                <w:sz w:val="14"/>
              </w:rPr>
              <w:t>Ingested→QA→Approved→Published→Deprecated</w:t>
            </w:r>
          </w:p>
        </w:tc>
        <w:tc>
          <w:tcPr>
            <w:tcW w:type="dxa" w:w="2613"/>
            <w:vAlign w:val="center"/>
          </w:tcPr>
          <w:p>
            <w:r>
              <w:rPr>
                <w:sz w:val="14"/>
              </w:rPr>
              <w:t>State transitions</w:t>
            </w:r>
          </w:p>
        </w:tc>
      </w:tr>
      <w:tr>
        <w:tc>
          <w:tcPr>
            <w:tcW w:type="dxa" w:w="2613"/>
            <w:vAlign w:val="center"/>
          </w:tcPr>
          <w:p>
            <w:r>
              <w:rPr>
                <w:sz w:val="14"/>
              </w:rPr>
              <w:t>3.1.6</w:t>
            </w:r>
          </w:p>
        </w:tc>
        <w:tc>
          <w:tcPr>
            <w:tcW w:type="dxa" w:w="2613"/>
            <w:vAlign w:val="center"/>
          </w:tcPr>
          <w:p>
            <w:r>
              <w:rPr>
                <w:sz w:val="14"/>
              </w:rPr>
              <w:t>Freeze provenance</w:t>
            </w:r>
          </w:p>
        </w:tc>
        <w:tc>
          <w:tcPr>
            <w:tcW w:type="dxa" w:w="2613"/>
            <w:vAlign w:val="center"/>
          </w:tcPr>
          <w:p>
            <w:r>
              <w:rPr>
                <w:sz w:val="14"/>
              </w:rPr>
              <w:t>source/revision/page/hash/parser</w:t>
            </w:r>
          </w:p>
        </w:tc>
        <w:tc>
          <w:tcPr>
            <w:tcW w:type="dxa" w:w="2613"/>
            <w:vAlign w:val="center"/>
          </w:tcPr>
          <w:p>
            <w:r>
              <w:rPr>
                <w:sz w:val="14"/>
              </w:rPr>
              <w:t>Mandatory fields</w:t>
            </w:r>
          </w:p>
        </w:tc>
      </w:tr>
    </w:tbl>
    <w:p/>
    <w:p>
      <w:pPr>
        <w:spacing w:after="80"/>
        <w:jc w:val="left"/>
      </w:pPr>
      <w:r>
        <w:rPr>
          <w:b w:val="0"/>
          <w:i w:val="0"/>
        </w:rPr>
        <w:t>Source: Guidelines.pdf §3.1 and §10.3. [Guidelines.pdf §3.1, pp.6–7; §10.3, p.15]</w:t>
      </w:r>
    </w:p>
    <w:p>
      <w:pPr>
        <w:pStyle w:val="Heading1"/>
      </w:pPr>
      <w:r>
        <w:t>8. Sprint 3.2 — Source Registry &amp; Acquisition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Task</w:t>
            </w:r>
          </w:p>
        </w:tc>
        <w:tc>
          <w:tcPr>
            <w:tcW w:type="dxa" w:w="2613"/>
            <w:shd w:fill="D9EAF7"/>
          </w:tcPr>
          <w:p>
            <w:r>
              <w:rPr>
                <w:b/>
                <w:sz w:val="14"/>
              </w:rPr>
              <w:t>Subtasks</w:t>
            </w:r>
          </w:p>
        </w:tc>
        <w:tc>
          <w:tcPr>
            <w:tcW w:type="dxa" w:w="2613"/>
            <w:shd w:fill="D9EAF7"/>
          </w:tcPr>
          <w:p>
            <w:r>
              <w:rPr>
                <w:b/>
                <w:sz w:val="14"/>
              </w:rPr>
              <w:t>Output</w:t>
            </w:r>
          </w:p>
        </w:tc>
        <w:tc>
          <w:tcPr>
            <w:tcW w:type="dxa" w:w="2613"/>
            <w:shd w:fill="D9EAF7"/>
          </w:tcPr>
          <w:p>
            <w:r>
              <w:rPr>
                <w:b/>
                <w:sz w:val="14"/>
              </w:rPr>
              <w:t>Exit</w:t>
            </w:r>
          </w:p>
        </w:tc>
      </w:tr>
      <w:tr>
        <w:tc>
          <w:tcPr>
            <w:tcW w:type="dxa" w:w="2613"/>
            <w:vAlign w:val="center"/>
          </w:tcPr>
          <w:p>
            <w:r>
              <w:rPr>
                <w:sz w:val="14"/>
              </w:rPr>
              <w:t>3.2.1</w:t>
            </w:r>
          </w:p>
        </w:tc>
        <w:tc>
          <w:tcPr>
            <w:tcW w:type="dxa" w:w="2613"/>
            <w:vAlign w:val="center"/>
          </w:tcPr>
          <w:p>
            <w:r>
              <w:rPr>
                <w:sz w:val="14"/>
              </w:rPr>
              <w:t>Source registry</w:t>
            </w:r>
          </w:p>
        </w:tc>
        <w:tc>
          <w:tcPr>
            <w:tcW w:type="dxa" w:w="2613"/>
            <w:vAlign w:val="center"/>
          </w:tcPr>
          <w:p>
            <w:r>
              <w:rPr>
                <w:sz w:val="14"/>
              </w:rPr>
              <w:t>source_id/title/owner/type/authority/status</w:t>
            </w:r>
          </w:p>
        </w:tc>
        <w:tc>
          <w:tcPr>
            <w:tcW w:type="dxa" w:w="2613"/>
            <w:vAlign w:val="center"/>
          </w:tcPr>
          <w:p>
            <w:r>
              <w:rPr>
                <w:sz w:val="14"/>
              </w:rPr>
              <w:t>All pilot sources registered</w:t>
            </w:r>
          </w:p>
        </w:tc>
      </w:tr>
      <w:tr>
        <w:tc>
          <w:tcPr>
            <w:tcW w:type="dxa" w:w="2613"/>
            <w:vAlign w:val="center"/>
          </w:tcPr>
          <w:p>
            <w:r>
              <w:rPr>
                <w:sz w:val="14"/>
              </w:rPr>
              <w:t>3.2.2</w:t>
            </w:r>
          </w:p>
        </w:tc>
        <w:tc>
          <w:tcPr>
            <w:tcW w:type="dxa" w:w="2613"/>
            <w:vAlign w:val="center"/>
          </w:tcPr>
          <w:p>
            <w:r>
              <w:rPr>
                <w:sz w:val="14"/>
              </w:rPr>
              <w:t>Authority check</w:t>
            </w:r>
          </w:p>
        </w:tc>
        <w:tc>
          <w:tcPr>
            <w:tcW w:type="dxa" w:w="2613"/>
            <w:vAlign w:val="center"/>
          </w:tcPr>
          <w:p>
            <w:r>
              <w:rPr>
                <w:sz w:val="14"/>
              </w:rPr>
              <w:t>A–F classification + rationale</w:t>
            </w:r>
          </w:p>
        </w:tc>
        <w:tc>
          <w:tcPr>
            <w:tcW w:type="dxa" w:w="2613"/>
            <w:vAlign w:val="center"/>
          </w:tcPr>
          <w:p>
            <w:r>
              <w:rPr>
                <w:sz w:val="14"/>
              </w:rPr>
              <w:t>No unknown authority</w:t>
            </w:r>
          </w:p>
        </w:tc>
      </w:tr>
      <w:tr>
        <w:tc>
          <w:tcPr>
            <w:tcW w:type="dxa" w:w="2613"/>
            <w:vAlign w:val="center"/>
          </w:tcPr>
          <w:p>
            <w:r>
              <w:rPr>
                <w:sz w:val="14"/>
              </w:rPr>
              <w:t>3.2.3</w:t>
            </w:r>
          </w:p>
        </w:tc>
        <w:tc>
          <w:tcPr>
            <w:tcW w:type="dxa" w:w="2613"/>
            <w:vAlign w:val="center"/>
          </w:tcPr>
          <w:p>
            <w:r>
              <w:rPr>
                <w:sz w:val="14"/>
              </w:rPr>
              <w:t>Version capture</w:t>
            </w:r>
          </w:p>
        </w:tc>
        <w:tc>
          <w:tcPr>
            <w:tcW w:type="dxa" w:w="2613"/>
            <w:vAlign w:val="center"/>
          </w:tcPr>
          <w:p>
            <w:r>
              <w:rPr>
                <w:sz w:val="14"/>
              </w:rPr>
              <w:t>edition/revision/effective date</w:t>
            </w:r>
          </w:p>
        </w:tc>
        <w:tc>
          <w:tcPr>
            <w:tcW w:type="dxa" w:w="2613"/>
            <w:vAlign w:val="center"/>
          </w:tcPr>
          <w:p>
            <w:r>
              <w:rPr>
                <w:sz w:val="14"/>
              </w:rPr>
              <w:t>Versioned</w:t>
            </w:r>
          </w:p>
        </w:tc>
      </w:tr>
      <w:tr>
        <w:tc>
          <w:tcPr>
            <w:tcW w:type="dxa" w:w="2613"/>
            <w:vAlign w:val="center"/>
          </w:tcPr>
          <w:p>
            <w:r>
              <w:rPr>
                <w:sz w:val="14"/>
              </w:rPr>
              <w:t>3.2.4</w:t>
            </w:r>
          </w:p>
        </w:tc>
        <w:tc>
          <w:tcPr>
            <w:tcW w:type="dxa" w:w="2613"/>
            <w:vAlign w:val="center"/>
          </w:tcPr>
          <w:p>
            <w:r>
              <w:rPr>
                <w:sz w:val="14"/>
              </w:rPr>
              <w:t>Acquisition</w:t>
            </w:r>
          </w:p>
        </w:tc>
        <w:tc>
          <w:tcPr>
            <w:tcW w:type="dxa" w:w="2613"/>
            <w:vAlign w:val="center"/>
          </w:tcPr>
          <w:p>
            <w:r>
              <w:rPr>
                <w:sz w:val="14"/>
              </w:rPr>
              <w:t>Collect raw PDFs/docs/exports</w:t>
            </w:r>
          </w:p>
        </w:tc>
        <w:tc>
          <w:tcPr>
            <w:tcW w:type="dxa" w:w="2613"/>
            <w:vAlign w:val="center"/>
          </w:tcPr>
          <w:p>
            <w:r>
              <w:rPr>
                <w:sz w:val="14"/>
              </w:rPr>
              <w:t>Immutable originals</w:t>
            </w:r>
          </w:p>
        </w:tc>
      </w:tr>
      <w:tr>
        <w:tc>
          <w:tcPr>
            <w:tcW w:type="dxa" w:w="2613"/>
            <w:vAlign w:val="center"/>
          </w:tcPr>
          <w:p>
            <w:r>
              <w:rPr>
                <w:sz w:val="14"/>
              </w:rPr>
              <w:t>3.2.5</w:t>
            </w:r>
          </w:p>
        </w:tc>
        <w:tc>
          <w:tcPr>
            <w:tcW w:type="dxa" w:w="2613"/>
            <w:vAlign w:val="center"/>
          </w:tcPr>
          <w:p>
            <w:r>
              <w:rPr>
                <w:sz w:val="14"/>
              </w:rPr>
              <w:t>Duplicate detection</w:t>
            </w:r>
          </w:p>
        </w:tc>
        <w:tc>
          <w:tcPr>
            <w:tcW w:type="dxa" w:w="2613"/>
            <w:vAlign w:val="center"/>
          </w:tcPr>
          <w:p>
            <w:r>
              <w:rPr>
                <w:sz w:val="14"/>
              </w:rPr>
              <w:t>hash/content comparison</w:t>
            </w:r>
          </w:p>
        </w:tc>
        <w:tc>
          <w:tcPr>
            <w:tcW w:type="dxa" w:w="2613"/>
            <w:vAlign w:val="center"/>
          </w:tcPr>
          <w:p>
            <w:r>
              <w:rPr>
                <w:sz w:val="14"/>
              </w:rPr>
              <w:t>Duplicates identified</w:t>
            </w:r>
          </w:p>
        </w:tc>
      </w:tr>
      <w:tr>
        <w:tc>
          <w:tcPr>
            <w:tcW w:type="dxa" w:w="2613"/>
            <w:vAlign w:val="center"/>
          </w:tcPr>
          <w:p>
            <w:r>
              <w:rPr>
                <w:sz w:val="14"/>
              </w:rPr>
              <w:t>3.2.6</w:t>
            </w:r>
          </w:p>
        </w:tc>
        <w:tc>
          <w:tcPr>
            <w:tcW w:type="dxa" w:w="2613"/>
            <w:vAlign w:val="center"/>
          </w:tcPr>
          <w:p>
            <w:r>
              <w:rPr>
                <w:sz w:val="14"/>
              </w:rPr>
              <w:t>Usage/license</w:t>
            </w:r>
          </w:p>
        </w:tc>
        <w:tc>
          <w:tcPr>
            <w:tcW w:type="dxa" w:w="2613"/>
            <w:vAlign w:val="center"/>
          </w:tcPr>
          <w:p>
            <w:r>
              <w:rPr>
                <w:sz w:val="14"/>
              </w:rPr>
              <w:t>Access conditions</w:t>
            </w:r>
          </w:p>
        </w:tc>
        <w:tc>
          <w:tcPr>
            <w:tcW w:type="dxa" w:w="2613"/>
            <w:vAlign w:val="center"/>
          </w:tcPr>
          <w:p>
            <w:r>
              <w:rPr>
                <w:sz w:val="14"/>
              </w:rPr>
              <w:t>No unknown restricted source</w:t>
            </w:r>
          </w:p>
        </w:tc>
      </w:tr>
    </w:tbl>
    <w:p/>
    <w:p>
      <w:pPr>
        <w:pStyle w:val="Heading2"/>
      </w:pPr>
      <w:r>
        <w:t>Initial corpus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Priority</w:t>
            </w:r>
          </w:p>
        </w:tc>
        <w:tc>
          <w:tcPr>
            <w:tcW w:type="dxa" w:w="5227"/>
            <w:shd w:fill="D9EAF7"/>
          </w:tcPr>
          <w:p>
            <w:r>
              <w:rPr>
                <w:b/>
                <w:sz w:val="14"/>
              </w:rPr>
              <w:t>Source</w:t>
            </w:r>
          </w:p>
        </w:tc>
      </w:tr>
      <w:tr>
        <w:tc>
          <w:tcPr>
            <w:tcW w:type="dxa" w:w="5227"/>
            <w:vAlign w:val="center"/>
          </w:tcPr>
          <w:p>
            <w:r>
              <w:rPr>
                <w:sz w:val="14"/>
              </w:rPr>
              <w:t>P0</w:t>
            </w:r>
          </w:p>
        </w:tc>
        <w:tc>
          <w:tcPr>
            <w:tcW w:type="dxa" w:w="5227"/>
            <w:vAlign w:val="center"/>
          </w:tcPr>
          <w:p>
            <w:r>
              <w:rPr>
                <w:sz w:val="14"/>
              </w:rPr>
              <w:t>Project ESP engineering documents</w:t>
            </w:r>
          </w:p>
        </w:tc>
      </w:tr>
      <w:tr>
        <w:tc>
          <w:tcPr>
            <w:tcW w:type="dxa" w:w="5227"/>
            <w:vAlign w:val="center"/>
          </w:tcPr>
          <w:p>
            <w:r>
              <w:rPr>
                <w:sz w:val="14"/>
              </w:rPr>
              <w:t>P0</w:t>
            </w:r>
          </w:p>
        </w:tc>
        <w:tc>
          <w:tcPr>
            <w:tcW w:type="dxa" w:w="5227"/>
            <w:vAlign w:val="center"/>
          </w:tcPr>
          <w:p>
            <w:r>
              <w:rPr>
                <w:sz w:val="14"/>
              </w:rPr>
              <w:t>ChampionX troubleshooting/fault material already identified</w:t>
            </w:r>
          </w:p>
        </w:tc>
      </w:tr>
      <w:tr>
        <w:tc>
          <w:tcPr>
            <w:tcW w:type="dxa" w:w="5227"/>
            <w:vAlign w:val="center"/>
          </w:tcPr>
          <w:p>
            <w:r>
              <w:rPr>
                <w:sz w:val="14"/>
              </w:rPr>
              <w:t>P0</w:t>
            </w:r>
          </w:p>
        </w:tc>
        <w:tc>
          <w:tcPr>
            <w:tcW w:type="dxa" w:w="5227"/>
            <w:vAlign w:val="center"/>
          </w:tcPr>
          <w:p>
            <w:r>
              <w:rPr>
                <w:sz w:val="14"/>
              </w:rPr>
              <w:t>Target OEM manuals and pump curves</w:t>
            </w:r>
          </w:p>
        </w:tc>
      </w:tr>
      <w:tr>
        <w:tc>
          <w:tcPr>
            <w:tcW w:type="dxa" w:w="5227"/>
            <w:vAlign w:val="center"/>
          </w:tcPr>
          <w:p>
            <w:r>
              <w:rPr>
                <w:sz w:val="14"/>
              </w:rPr>
              <w:t>P0</w:t>
            </w:r>
          </w:p>
        </w:tc>
        <w:tc>
          <w:tcPr>
            <w:tcW w:type="dxa" w:w="5227"/>
            <w:vAlign w:val="center"/>
          </w:tcPr>
          <w:p>
            <w:r>
              <w:rPr>
                <w:sz w:val="14"/>
              </w:rPr>
              <w:t>Approved client SOPs/procedures</w:t>
            </w:r>
          </w:p>
        </w:tc>
      </w:tr>
      <w:tr>
        <w:tc>
          <w:tcPr>
            <w:tcW w:type="dxa" w:w="5227"/>
            <w:vAlign w:val="center"/>
          </w:tcPr>
          <w:p>
            <w:r>
              <w:rPr>
                <w:sz w:val="14"/>
              </w:rPr>
              <w:t>P1</w:t>
            </w:r>
          </w:p>
        </w:tc>
        <w:tc>
          <w:tcPr>
            <w:tcW w:type="dxa" w:w="5227"/>
            <w:vAlign w:val="center"/>
          </w:tcPr>
          <w:p>
            <w:r>
              <w:rPr>
                <w:sz w:val="14"/>
              </w:rPr>
              <w:t>RCA/workover/teardown/surveillance</w:t>
            </w:r>
          </w:p>
        </w:tc>
      </w:tr>
      <w:tr>
        <w:tc>
          <w:tcPr>
            <w:tcW w:type="dxa" w:w="5227"/>
            <w:vAlign w:val="center"/>
          </w:tcPr>
          <w:p>
            <w:r>
              <w:rPr>
                <w:sz w:val="14"/>
              </w:rPr>
              <w:t>P1</w:t>
            </w:r>
          </w:p>
        </w:tc>
        <w:tc>
          <w:tcPr>
            <w:tcW w:type="dxa" w:w="5227"/>
            <w:vAlign w:val="center"/>
          </w:tcPr>
          <w:p>
            <w:r>
              <w:rPr>
                <w:sz w:val="14"/>
              </w:rPr>
              <w:t>Sizing/design/reliability material</w:t>
            </w:r>
          </w:p>
        </w:tc>
      </w:tr>
      <w:tr>
        <w:tc>
          <w:tcPr>
            <w:tcW w:type="dxa" w:w="5227"/>
            <w:vAlign w:val="center"/>
          </w:tcPr>
          <w:p>
            <w:r>
              <w:rPr>
                <w:sz w:val="14"/>
              </w:rPr>
              <w:t>P2</w:t>
            </w:r>
          </w:p>
        </w:tc>
        <w:tc>
          <w:tcPr>
            <w:tcW w:type="dxa" w:w="5227"/>
            <w:vAlign w:val="center"/>
          </w:tcPr>
          <w:p>
            <w:r>
              <w:rPr>
                <w:sz w:val="14"/>
              </w:rPr>
              <w:t>Standards/SPE/textbooks</w:t>
            </w:r>
          </w:p>
        </w:tc>
      </w:tr>
      <w:tr>
        <w:tc>
          <w:tcPr>
            <w:tcW w:type="dxa" w:w="5227"/>
            <w:vAlign w:val="center"/>
          </w:tcPr>
          <w:p>
            <w:r>
              <w:rPr>
                <w:sz w:val="14"/>
              </w:rPr>
              <w:t>P2</w:t>
            </w:r>
          </w:p>
        </w:tc>
        <w:tc>
          <w:tcPr>
            <w:tcW w:type="dxa" w:w="5227"/>
            <w:vAlign w:val="center"/>
          </w:tcPr>
          <w:p>
            <w:r>
              <w:rPr>
                <w:sz w:val="14"/>
              </w:rPr>
              <w:t>Targeted ML methodology references</w:t>
            </w:r>
          </w:p>
        </w:tc>
      </w:tr>
    </w:tbl>
    <w:p/>
    <w:p>
      <w:pPr>
        <w:pStyle w:val="Heading1"/>
      </w:pPr>
      <w:r>
        <w:t>9. Sprint 3.3 — Ingestion &amp; Parsing</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Task</w:t>
            </w:r>
          </w:p>
        </w:tc>
        <w:tc>
          <w:tcPr>
            <w:tcW w:type="dxa" w:w="2613"/>
            <w:shd w:fill="D9EAF7"/>
          </w:tcPr>
          <w:p>
            <w:r>
              <w:rPr>
                <w:b/>
                <w:sz w:val="14"/>
              </w:rPr>
              <w:t>Subtasks</w:t>
            </w:r>
          </w:p>
        </w:tc>
        <w:tc>
          <w:tcPr>
            <w:tcW w:type="dxa" w:w="2613"/>
            <w:shd w:fill="D9EAF7"/>
          </w:tcPr>
          <w:p>
            <w:r>
              <w:rPr>
                <w:b/>
                <w:sz w:val="14"/>
              </w:rPr>
              <w:t>Recommended implementation</w:t>
            </w:r>
          </w:p>
        </w:tc>
        <w:tc>
          <w:tcPr>
            <w:tcW w:type="dxa" w:w="2613"/>
            <w:shd w:fill="D9EAF7"/>
          </w:tcPr>
          <w:p>
            <w:r>
              <w:rPr>
                <w:b/>
                <w:sz w:val="14"/>
              </w:rPr>
              <w:t>Exit</w:t>
            </w:r>
          </w:p>
        </w:tc>
      </w:tr>
      <w:tr>
        <w:tc>
          <w:tcPr>
            <w:tcW w:type="dxa" w:w="2613"/>
            <w:vAlign w:val="center"/>
          </w:tcPr>
          <w:p>
            <w:r>
              <w:rPr>
                <w:sz w:val="14"/>
              </w:rPr>
              <w:t>3.3.1</w:t>
            </w:r>
          </w:p>
        </w:tc>
        <w:tc>
          <w:tcPr>
            <w:tcW w:type="dxa" w:w="2613"/>
            <w:vAlign w:val="center"/>
          </w:tcPr>
          <w:p>
            <w:r>
              <w:rPr>
                <w:sz w:val="14"/>
              </w:rPr>
              <w:t>Ingestion worker</w:t>
            </w:r>
          </w:p>
        </w:tc>
        <w:tc>
          <w:tcPr>
            <w:tcW w:type="dxa" w:w="2613"/>
            <w:vAlign w:val="center"/>
          </w:tcPr>
          <w:p>
            <w:r>
              <w:rPr>
                <w:sz w:val="14"/>
              </w:rPr>
              <w:t>Python + queue</w:t>
            </w:r>
          </w:p>
        </w:tc>
        <w:tc>
          <w:tcPr>
            <w:tcW w:type="dxa" w:w="2613"/>
            <w:vAlign w:val="center"/>
          </w:tcPr>
          <w:p>
            <w:r>
              <w:rPr>
                <w:sz w:val="14"/>
              </w:rPr>
              <w:t>Reproducible intake</w:t>
            </w:r>
          </w:p>
        </w:tc>
      </w:tr>
      <w:tr>
        <w:tc>
          <w:tcPr>
            <w:tcW w:type="dxa" w:w="2613"/>
            <w:vAlign w:val="center"/>
          </w:tcPr>
          <w:p>
            <w:r>
              <w:rPr>
                <w:sz w:val="14"/>
              </w:rPr>
              <w:t>3.3.2</w:t>
            </w:r>
          </w:p>
        </w:tc>
        <w:tc>
          <w:tcPr>
            <w:tcW w:type="dxa" w:w="2613"/>
            <w:vAlign w:val="center"/>
          </w:tcPr>
          <w:p>
            <w:r>
              <w:rPr>
                <w:sz w:val="14"/>
              </w:rPr>
              <w:t>Primary parser</w:t>
            </w:r>
          </w:p>
        </w:tc>
        <w:tc>
          <w:tcPr>
            <w:tcW w:type="dxa" w:w="2613"/>
            <w:vAlign w:val="center"/>
          </w:tcPr>
          <w:p>
            <w:r>
              <w:rPr>
                <w:sz w:val="14"/>
              </w:rPr>
              <w:t>Docling</w:t>
            </w:r>
          </w:p>
        </w:tc>
        <w:tc>
          <w:tcPr>
            <w:tcW w:type="dxa" w:w="2613"/>
            <w:vAlign w:val="center"/>
          </w:tcPr>
          <w:p>
            <w:r>
              <w:rPr>
                <w:sz w:val="14"/>
              </w:rPr>
              <w:t>Representative docs parse</w:t>
            </w:r>
          </w:p>
        </w:tc>
      </w:tr>
      <w:tr>
        <w:tc>
          <w:tcPr>
            <w:tcW w:type="dxa" w:w="2613"/>
            <w:vAlign w:val="center"/>
          </w:tcPr>
          <w:p>
            <w:r>
              <w:rPr>
                <w:sz w:val="14"/>
              </w:rPr>
              <w:t>3.3.3</w:t>
            </w:r>
          </w:p>
        </w:tc>
        <w:tc>
          <w:tcPr>
            <w:tcW w:type="dxa" w:w="2613"/>
            <w:vAlign w:val="center"/>
          </w:tcPr>
          <w:p>
            <w:r>
              <w:rPr>
                <w:sz w:val="14"/>
              </w:rPr>
              <w:t>PDF fallback</w:t>
            </w:r>
          </w:p>
        </w:tc>
        <w:tc>
          <w:tcPr>
            <w:tcW w:type="dxa" w:w="2613"/>
            <w:vAlign w:val="center"/>
          </w:tcPr>
          <w:p>
            <w:r>
              <w:rPr>
                <w:sz w:val="14"/>
              </w:rPr>
              <w:t>PyMuPDF</w:t>
            </w:r>
          </w:p>
        </w:tc>
        <w:tc>
          <w:tcPr>
            <w:tcW w:type="dxa" w:w="2613"/>
            <w:vAlign w:val="center"/>
          </w:tcPr>
          <w:p>
            <w:r>
              <w:rPr>
                <w:sz w:val="14"/>
              </w:rPr>
              <w:t>Fallback tested</w:t>
            </w:r>
          </w:p>
        </w:tc>
      </w:tr>
      <w:tr>
        <w:tc>
          <w:tcPr>
            <w:tcW w:type="dxa" w:w="2613"/>
            <w:vAlign w:val="center"/>
          </w:tcPr>
          <w:p>
            <w:r>
              <w:rPr>
                <w:sz w:val="14"/>
              </w:rPr>
              <w:t>3.3.4</w:t>
            </w:r>
          </w:p>
        </w:tc>
        <w:tc>
          <w:tcPr>
            <w:tcW w:type="dxa" w:w="2613"/>
            <w:vAlign w:val="center"/>
          </w:tcPr>
          <w:p>
            <w:r>
              <w:rPr>
                <w:sz w:val="14"/>
              </w:rPr>
              <w:t>Tables</w:t>
            </w:r>
          </w:p>
        </w:tc>
        <w:tc>
          <w:tcPr>
            <w:tcW w:type="dxa" w:w="2613"/>
            <w:vAlign w:val="center"/>
          </w:tcPr>
          <w:p>
            <w:r>
              <w:rPr>
                <w:sz w:val="14"/>
              </w:rPr>
              <w:t>Structure + QA</w:t>
            </w:r>
          </w:p>
        </w:tc>
        <w:tc>
          <w:tcPr>
            <w:tcW w:type="dxa" w:w="2613"/>
            <w:vAlign w:val="center"/>
          </w:tcPr>
          <w:p>
            <w:r>
              <w:rPr>
                <w:sz w:val="14"/>
              </w:rPr>
              <w:t>Tables preserved</w:t>
            </w:r>
          </w:p>
        </w:tc>
      </w:tr>
      <w:tr>
        <w:tc>
          <w:tcPr>
            <w:tcW w:type="dxa" w:w="2613"/>
            <w:vAlign w:val="center"/>
          </w:tcPr>
          <w:p>
            <w:r>
              <w:rPr>
                <w:sz w:val="14"/>
              </w:rPr>
              <w:t>3.3.5</w:t>
            </w:r>
          </w:p>
        </w:tc>
        <w:tc>
          <w:tcPr>
            <w:tcW w:type="dxa" w:w="2613"/>
            <w:vAlign w:val="center"/>
          </w:tcPr>
          <w:p>
            <w:r>
              <w:rPr>
                <w:sz w:val="14"/>
              </w:rPr>
              <w:t>Sections</w:t>
            </w:r>
          </w:p>
        </w:tc>
        <w:tc>
          <w:tcPr>
            <w:tcW w:type="dxa" w:w="2613"/>
            <w:vAlign w:val="center"/>
          </w:tcPr>
          <w:p>
            <w:r>
              <w:rPr>
                <w:sz w:val="14"/>
              </w:rPr>
              <w:t>Heading/page hierarchy</w:t>
            </w:r>
          </w:p>
        </w:tc>
        <w:tc>
          <w:tcPr>
            <w:tcW w:type="dxa" w:w="2613"/>
            <w:vAlign w:val="center"/>
          </w:tcPr>
          <w:p>
            <w:r>
              <w:rPr>
                <w:sz w:val="14"/>
              </w:rPr>
              <w:t>Sections preserved</w:t>
            </w:r>
          </w:p>
        </w:tc>
      </w:tr>
      <w:tr>
        <w:tc>
          <w:tcPr>
            <w:tcW w:type="dxa" w:w="2613"/>
            <w:vAlign w:val="center"/>
          </w:tcPr>
          <w:p>
            <w:r>
              <w:rPr>
                <w:sz w:val="14"/>
              </w:rPr>
              <w:t>3.3.6</w:t>
            </w:r>
          </w:p>
        </w:tc>
        <w:tc>
          <w:tcPr>
            <w:tcW w:type="dxa" w:w="2613"/>
            <w:vAlign w:val="center"/>
          </w:tcPr>
          <w:p>
            <w:r>
              <w:rPr>
                <w:sz w:val="14"/>
              </w:rPr>
              <w:t>Images/diagrams</w:t>
            </w:r>
          </w:p>
        </w:tc>
        <w:tc>
          <w:tcPr>
            <w:tcW w:type="dxa" w:w="2613"/>
            <w:vAlign w:val="center"/>
          </w:tcPr>
          <w:p>
            <w:r>
              <w:rPr>
                <w:sz w:val="14"/>
              </w:rPr>
              <w:t>Store page/image refs</w:t>
            </w:r>
          </w:p>
        </w:tc>
        <w:tc>
          <w:tcPr>
            <w:tcW w:type="dxa" w:w="2613"/>
            <w:vAlign w:val="center"/>
          </w:tcPr>
          <w:p>
            <w:r>
              <w:rPr>
                <w:sz w:val="14"/>
              </w:rPr>
              <w:t>No critical evidence lost</w:t>
            </w:r>
          </w:p>
        </w:tc>
      </w:tr>
      <w:tr>
        <w:tc>
          <w:tcPr>
            <w:tcW w:type="dxa" w:w="2613"/>
            <w:vAlign w:val="center"/>
          </w:tcPr>
          <w:p>
            <w:r>
              <w:rPr>
                <w:sz w:val="14"/>
              </w:rPr>
              <w:t>3.3.7</w:t>
            </w:r>
          </w:p>
        </w:tc>
        <w:tc>
          <w:tcPr>
            <w:tcW w:type="dxa" w:w="2613"/>
            <w:vAlign w:val="center"/>
          </w:tcPr>
          <w:p>
            <w:r>
              <w:rPr>
                <w:sz w:val="14"/>
              </w:rPr>
              <w:t>Parse QA</w:t>
            </w:r>
          </w:p>
        </w:tc>
        <w:tc>
          <w:tcPr>
            <w:tcW w:type="dxa" w:w="2613"/>
            <w:vAlign w:val="center"/>
          </w:tcPr>
          <w:p>
            <w:r>
              <w:rPr>
                <w:sz w:val="14"/>
              </w:rPr>
              <w:t>Sample review</w:t>
            </w:r>
          </w:p>
        </w:tc>
        <w:tc>
          <w:tcPr>
            <w:tcW w:type="dxa" w:w="2613"/>
            <w:vAlign w:val="center"/>
          </w:tcPr>
          <w:p>
            <w:r>
              <w:rPr>
                <w:sz w:val="14"/>
              </w:rPr>
              <w:t>Pilot accepted</w:t>
            </w:r>
          </w:p>
        </w:tc>
      </w:tr>
    </w:tbl>
    <w:p/>
    <w:p>
      <w:pPr>
        <w:spacing w:after="80"/>
        <w:jc w:val="left"/>
      </w:pPr>
      <w:r>
        <w:rPr>
          <w:b w:val="0"/>
          <w:i w:val="0"/>
        </w:rPr>
        <w:t>Docling/PyMuPDF are implementation recommendations; Guidelines.pdf specifies the KB behavior, not these parser products.</w:t>
      </w:r>
    </w:p>
    <w:p>
      <w:pPr>
        <w:pStyle w:val="Heading1"/>
      </w:pPr>
      <w:r>
        <w:t>10. Sprint 3.4 — Normalization, Metadata, Authority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Task</w:t>
            </w:r>
          </w:p>
        </w:tc>
        <w:tc>
          <w:tcPr>
            <w:tcW w:type="dxa" w:w="3485"/>
            <w:shd w:fill="D9EAF7"/>
          </w:tcPr>
          <w:p>
            <w:r>
              <w:rPr>
                <w:b/>
                <w:sz w:val="14"/>
              </w:rPr>
              <w:t>Subtasks</w:t>
            </w:r>
          </w:p>
        </w:tc>
        <w:tc>
          <w:tcPr>
            <w:tcW w:type="dxa" w:w="3485"/>
            <w:shd w:fill="D9EAF7"/>
          </w:tcPr>
          <w:p>
            <w:r>
              <w:rPr>
                <w:b/>
                <w:sz w:val="14"/>
              </w:rPr>
              <w:t>Exit</w:t>
            </w:r>
          </w:p>
        </w:tc>
      </w:tr>
      <w:tr>
        <w:tc>
          <w:tcPr>
            <w:tcW w:type="dxa" w:w="3485"/>
            <w:vAlign w:val="center"/>
          </w:tcPr>
          <w:p>
            <w:r>
              <w:rPr>
                <w:sz w:val="14"/>
              </w:rPr>
              <w:t>3.4.1</w:t>
            </w:r>
          </w:p>
        </w:tc>
        <w:tc>
          <w:tcPr>
            <w:tcW w:type="dxa" w:w="3485"/>
            <w:vAlign w:val="center"/>
          </w:tcPr>
          <w:p>
            <w:r>
              <w:rPr>
                <w:sz w:val="14"/>
              </w:rPr>
              <w:t>Text normalization</w:t>
            </w:r>
          </w:p>
        </w:tc>
        <w:tc>
          <w:tcPr>
            <w:tcW w:type="dxa" w:w="3485"/>
            <w:vAlign w:val="center"/>
          </w:tcPr>
          <w:p>
            <w:r>
              <w:rPr>
                <w:sz w:val="14"/>
              </w:rPr>
              <w:t>Clean content</w:t>
            </w:r>
          </w:p>
        </w:tc>
      </w:tr>
      <w:tr>
        <w:tc>
          <w:tcPr>
            <w:tcW w:type="dxa" w:w="3485"/>
            <w:vAlign w:val="center"/>
          </w:tcPr>
          <w:p>
            <w:r>
              <w:rPr>
                <w:sz w:val="14"/>
              </w:rPr>
              <w:t>3.4.2</w:t>
            </w:r>
          </w:p>
        </w:tc>
        <w:tc>
          <w:tcPr>
            <w:tcW w:type="dxa" w:w="3485"/>
            <w:vAlign w:val="center"/>
          </w:tcPr>
          <w:p>
            <w:r>
              <w:rPr>
                <w:sz w:val="14"/>
              </w:rPr>
              <w:t>Units</w:t>
            </w:r>
          </w:p>
        </w:tc>
        <w:tc>
          <w:tcPr>
            <w:tcW w:type="dxa" w:w="3485"/>
            <w:vAlign w:val="center"/>
          </w:tcPr>
          <w:p>
            <w:r>
              <w:rPr>
                <w:sz w:val="14"/>
              </w:rPr>
              <w:t>Normalize + retain original</w:t>
            </w:r>
          </w:p>
        </w:tc>
      </w:tr>
      <w:tr>
        <w:tc>
          <w:tcPr>
            <w:tcW w:type="dxa" w:w="3485"/>
            <w:vAlign w:val="center"/>
          </w:tcPr>
          <w:p>
            <w:r>
              <w:rPr>
                <w:sz w:val="14"/>
              </w:rPr>
              <w:t>3.4.3</w:t>
            </w:r>
          </w:p>
        </w:tc>
        <w:tc>
          <w:tcPr>
            <w:tcW w:type="dxa" w:w="3485"/>
            <w:vAlign w:val="center"/>
          </w:tcPr>
          <w:p>
            <w:r>
              <w:rPr>
                <w:sz w:val="14"/>
              </w:rPr>
              <w:t>Provenance</w:t>
            </w:r>
          </w:p>
        </w:tc>
        <w:tc>
          <w:tcPr>
            <w:tcW w:type="dxa" w:w="3485"/>
            <w:vAlign w:val="center"/>
          </w:tcPr>
          <w:p>
            <w:r>
              <w:rPr>
                <w:sz w:val="14"/>
              </w:rPr>
              <w:t>Source/revision/page complete</w:t>
            </w:r>
          </w:p>
        </w:tc>
      </w:tr>
      <w:tr>
        <w:tc>
          <w:tcPr>
            <w:tcW w:type="dxa" w:w="3485"/>
            <w:vAlign w:val="center"/>
          </w:tcPr>
          <w:p>
            <w:r>
              <w:rPr>
                <w:sz w:val="14"/>
              </w:rPr>
              <w:t>3.4.4</w:t>
            </w:r>
          </w:p>
        </w:tc>
        <w:tc>
          <w:tcPr>
            <w:tcW w:type="dxa" w:w="3485"/>
            <w:vAlign w:val="center"/>
          </w:tcPr>
          <w:p>
            <w:r>
              <w:rPr>
                <w:sz w:val="14"/>
              </w:rPr>
              <w:t>Classification</w:t>
            </w:r>
          </w:p>
        </w:tc>
        <w:tc>
          <w:tcPr>
            <w:tcW w:type="dxa" w:w="3485"/>
            <w:vAlign w:val="center"/>
          </w:tcPr>
          <w:p>
            <w:r>
              <w:rPr>
                <w:sz w:val="14"/>
              </w:rPr>
              <w:t>Type/domain/subdomain</w:t>
            </w:r>
          </w:p>
        </w:tc>
      </w:tr>
      <w:tr>
        <w:tc>
          <w:tcPr>
            <w:tcW w:type="dxa" w:w="3485"/>
            <w:vAlign w:val="center"/>
          </w:tcPr>
          <w:p>
            <w:r>
              <w:rPr>
                <w:sz w:val="14"/>
              </w:rPr>
              <w:t>3.4.5</w:t>
            </w:r>
          </w:p>
        </w:tc>
        <w:tc>
          <w:tcPr>
            <w:tcW w:type="dxa" w:w="3485"/>
            <w:vAlign w:val="center"/>
          </w:tcPr>
          <w:p>
            <w:r>
              <w:rPr>
                <w:sz w:val="14"/>
              </w:rPr>
              <w:t>Authority</w:t>
            </w:r>
          </w:p>
        </w:tc>
        <w:tc>
          <w:tcPr>
            <w:tcW w:type="dxa" w:w="3485"/>
            <w:vAlign w:val="center"/>
          </w:tcPr>
          <w:p>
            <w:r>
              <w:rPr>
                <w:sz w:val="14"/>
              </w:rPr>
              <w:t>A–F assigned</w:t>
            </w:r>
          </w:p>
        </w:tc>
      </w:tr>
      <w:tr>
        <w:tc>
          <w:tcPr>
            <w:tcW w:type="dxa" w:w="3485"/>
            <w:vAlign w:val="center"/>
          </w:tcPr>
          <w:p>
            <w:r>
              <w:rPr>
                <w:sz w:val="14"/>
              </w:rPr>
              <w:t>3.4.6</w:t>
            </w:r>
          </w:p>
        </w:tc>
        <w:tc>
          <w:tcPr>
            <w:tcW w:type="dxa" w:w="3485"/>
            <w:vAlign w:val="center"/>
          </w:tcPr>
          <w:p>
            <w:r>
              <w:rPr>
                <w:sz w:val="14"/>
              </w:rPr>
              <w:t>Tenant/asset scope</w:t>
            </w:r>
          </w:p>
        </w:tc>
        <w:tc>
          <w:tcPr>
            <w:tcW w:type="dxa" w:w="3485"/>
            <w:vAlign w:val="center"/>
          </w:tcPr>
          <w:p>
            <w:r>
              <w:rPr>
                <w:sz w:val="14"/>
              </w:rPr>
              <w:t>ACL filters</w:t>
            </w:r>
          </w:p>
        </w:tc>
      </w:tr>
      <w:tr>
        <w:tc>
          <w:tcPr>
            <w:tcW w:type="dxa" w:w="3485"/>
            <w:vAlign w:val="center"/>
          </w:tcPr>
          <w:p>
            <w:r>
              <w:rPr>
                <w:sz w:val="14"/>
              </w:rPr>
              <w:t>3.4.7</w:t>
            </w:r>
          </w:p>
        </w:tc>
        <w:tc>
          <w:tcPr>
            <w:tcW w:type="dxa" w:w="3485"/>
            <w:vAlign w:val="center"/>
          </w:tcPr>
          <w:p>
            <w:r>
              <w:rPr>
                <w:sz w:val="14"/>
              </w:rPr>
              <w:t>Validity</w:t>
            </w:r>
          </w:p>
        </w:tc>
        <w:tc>
          <w:tcPr>
            <w:tcW w:type="dxa" w:w="3485"/>
            <w:vAlign w:val="center"/>
          </w:tcPr>
          <w:p>
            <w:r>
              <w:rPr>
                <w:sz w:val="14"/>
              </w:rPr>
              <w:t>Effective dates/status</w:t>
            </w:r>
          </w:p>
        </w:tc>
      </w:tr>
    </w:tbl>
    <w:p/>
    <w:p>
      <w:pPr>
        <w:spacing w:after="80"/>
        <w:jc w:val="left"/>
      </w:pPr>
      <w:r>
        <w:rPr>
          <w:b w:val="0"/>
          <w:i w:val="0"/>
        </w:rPr>
        <w:t>Guidelines.pdf requires authority metadata and source-aware evidence handling. [Guidelines.pdf §3.1 and §10.3]</w:t>
      </w:r>
    </w:p>
    <w:p>
      <w:pPr>
        <w:pStyle w:val="Heading1"/>
      </w:pPr>
      <w:r>
        <w:t>11. Sprint 3.5 — Chunking &amp; Indexing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Task</w:t>
            </w:r>
          </w:p>
        </w:tc>
        <w:tc>
          <w:tcPr>
            <w:tcW w:type="dxa" w:w="3485"/>
            <w:shd w:fill="D9EAF7"/>
          </w:tcPr>
          <w:p>
            <w:r>
              <w:rPr>
                <w:b/>
                <w:sz w:val="14"/>
              </w:rPr>
              <w:t>Subtask</w:t>
            </w:r>
          </w:p>
        </w:tc>
        <w:tc>
          <w:tcPr>
            <w:tcW w:type="dxa" w:w="3485"/>
            <w:shd w:fill="D9EAF7"/>
          </w:tcPr>
          <w:p>
            <w:r>
              <w:rPr>
                <w:b/>
                <w:sz w:val="14"/>
              </w:rPr>
              <w:t>Exit</w:t>
            </w:r>
          </w:p>
        </w:tc>
      </w:tr>
      <w:tr>
        <w:tc>
          <w:tcPr>
            <w:tcW w:type="dxa" w:w="3485"/>
            <w:vAlign w:val="center"/>
          </w:tcPr>
          <w:p>
            <w:r>
              <w:rPr>
                <w:sz w:val="14"/>
              </w:rPr>
              <w:t>3.5.1</w:t>
            </w:r>
          </w:p>
        </w:tc>
        <w:tc>
          <w:tcPr>
            <w:tcW w:type="dxa" w:w="3485"/>
            <w:vAlign w:val="center"/>
          </w:tcPr>
          <w:p>
            <w:r>
              <w:rPr>
                <w:sz w:val="14"/>
              </w:rPr>
              <w:t>Heading-aware chunks</w:t>
            </w:r>
          </w:p>
        </w:tc>
        <w:tc>
          <w:tcPr>
            <w:tcW w:type="dxa" w:w="3485"/>
            <w:vAlign w:val="center"/>
          </w:tcPr>
          <w:p>
            <w:r>
              <w:rPr>
                <w:sz w:val="14"/>
              </w:rPr>
              <w:t>Coherent sections</w:t>
            </w:r>
          </w:p>
        </w:tc>
      </w:tr>
      <w:tr>
        <w:tc>
          <w:tcPr>
            <w:tcW w:type="dxa" w:w="3485"/>
            <w:vAlign w:val="center"/>
          </w:tcPr>
          <w:p>
            <w:r>
              <w:rPr>
                <w:sz w:val="14"/>
              </w:rPr>
              <w:t>3.5.2</w:t>
            </w:r>
          </w:p>
        </w:tc>
        <w:tc>
          <w:tcPr>
            <w:tcW w:type="dxa" w:w="3485"/>
            <w:vAlign w:val="center"/>
          </w:tcPr>
          <w:p>
            <w:r>
              <w:rPr>
                <w:sz w:val="14"/>
              </w:rPr>
              <w:t>Procedure chunks</w:t>
            </w:r>
          </w:p>
        </w:tc>
        <w:tc>
          <w:tcPr>
            <w:tcW w:type="dxa" w:w="3485"/>
            <w:vAlign w:val="center"/>
          </w:tcPr>
          <w:p>
            <w:r>
              <w:rPr>
                <w:sz w:val="14"/>
              </w:rPr>
              <w:t>Steps remain together</w:t>
            </w:r>
          </w:p>
        </w:tc>
      </w:tr>
      <w:tr>
        <w:tc>
          <w:tcPr>
            <w:tcW w:type="dxa" w:w="3485"/>
            <w:vAlign w:val="center"/>
          </w:tcPr>
          <w:p>
            <w:r>
              <w:rPr>
                <w:sz w:val="14"/>
              </w:rPr>
              <w:t>3.5.3</w:t>
            </w:r>
          </w:p>
        </w:tc>
        <w:tc>
          <w:tcPr>
            <w:tcW w:type="dxa" w:w="3485"/>
            <w:vAlign w:val="center"/>
          </w:tcPr>
          <w:p>
            <w:r>
              <w:rPr>
                <w:sz w:val="14"/>
              </w:rPr>
              <w:t>Table chunks</w:t>
            </w:r>
          </w:p>
        </w:tc>
        <w:tc>
          <w:tcPr>
            <w:tcW w:type="dxa" w:w="3485"/>
            <w:vAlign w:val="center"/>
          </w:tcPr>
          <w:p>
            <w:r>
              <w:rPr>
                <w:sz w:val="14"/>
              </w:rPr>
              <w:t>Header + table + context retained</w:t>
            </w:r>
          </w:p>
        </w:tc>
      </w:tr>
      <w:tr>
        <w:tc>
          <w:tcPr>
            <w:tcW w:type="dxa" w:w="3485"/>
            <w:vAlign w:val="center"/>
          </w:tcPr>
          <w:p>
            <w:r>
              <w:rPr>
                <w:sz w:val="14"/>
              </w:rPr>
              <w:t>3.5.4</w:t>
            </w:r>
          </w:p>
        </w:tc>
        <w:tc>
          <w:tcPr>
            <w:tcW w:type="dxa" w:w="3485"/>
            <w:vAlign w:val="center"/>
          </w:tcPr>
          <w:p>
            <w:r>
              <w:rPr>
                <w:sz w:val="14"/>
              </w:rPr>
              <w:t>Equipment chunks</w:t>
            </w:r>
          </w:p>
        </w:tc>
        <w:tc>
          <w:tcPr>
            <w:tcW w:type="dxa" w:w="3485"/>
            <w:vAlign w:val="center"/>
          </w:tcPr>
          <w:p>
            <w:r>
              <w:rPr>
                <w:sz w:val="14"/>
              </w:rPr>
              <w:t>Model/part/version retained</w:t>
            </w:r>
          </w:p>
        </w:tc>
      </w:tr>
      <w:tr>
        <w:tc>
          <w:tcPr>
            <w:tcW w:type="dxa" w:w="3485"/>
            <w:vAlign w:val="center"/>
          </w:tcPr>
          <w:p>
            <w:r>
              <w:rPr>
                <w:sz w:val="14"/>
              </w:rPr>
              <w:t>3.5.5</w:t>
            </w:r>
          </w:p>
        </w:tc>
        <w:tc>
          <w:tcPr>
            <w:tcW w:type="dxa" w:w="3485"/>
            <w:vAlign w:val="center"/>
          </w:tcPr>
          <w:p>
            <w:r>
              <w:rPr>
                <w:sz w:val="14"/>
              </w:rPr>
              <w:t>Citation metadata</w:t>
            </w:r>
          </w:p>
        </w:tc>
        <w:tc>
          <w:tcPr>
            <w:tcW w:type="dxa" w:w="3485"/>
            <w:vAlign w:val="center"/>
          </w:tcPr>
          <w:p>
            <w:r>
              <w:rPr>
                <w:sz w:val="14"/>
              </w:rPr>
              <w:t>Page/section/source attached</w:t>
            </w:r>
          </w:p>
        </w:tc>
      </w:tr>
      <w:tr>
        <w:tc>
          <w:tcPr>
            <w:tcW w:type="dxa" w:w="3485"/>
            <w:vAlign w:val="center"/>
          </w:tcPr>
          <w:p>
            <w:r>
              <w:rPr>
                <w:sz w:val="14"/>
              </w:rPr>
              <w:t>3.5.6</w:t>
            </w:r>
          </w:p>
        </w:tc>
        <w:tc>
          <w:tcPr>
            <w:tcW w:type="dxa" w:w="3485"/>
            <w:vAlign w:val="center"/>
          </w:tcPr>
          <w:p>
            <w:r>
              <w:rPr>
                <w:sz w:val="14"/>
              </w:rPr>
              <w:t>Embeddings</w:t>
            </w:r>
          </w:p>
        </w:tc>
        <w:tc>
          <w:tcPr>
            <w:tcW w:type="dxa" w:w="3485"/>
            <w:vAlign w:val="center"/>
          </w:tcPr>
          <w:p>
            <w:r>
              <w:rPr>
                <w:sz w:val="14"/>
              </w:rPr>
              <w:t>Vector index built</w:t>
            </w:r>
          </w:p>
        </w:tc>
      </w:tr>
      <w:tr>
        <w:tc>
          <w:tcPr>
            <w:tcW w:type="dxa" w:w="3485"/>
            <w:vAlign w:val="center"/>
          </w:tcPr>
          <w:p>
            <w:r>
              <w:rPr>
                <w:sz w:val="14"/>
              </w:rPr>
              <w:t>3.5.7</w:t>
            </w:r>
          </w:p>
        </w:tc>
        <w:tc>
          <w:tcPr>
            <w:tcW w:type="dxa" w:w="3485"/>
            <w:vAlign w:val="center"/>
          </w:tcPr>
          <w:p>
            <w:r>
              <w:rPr>
                <w:sz w:val="14"/>
              </w:rPr>
              <w:t>Lexical index</w:t>
            </w:r>
          </w:p>
        </w:tc>
        <w:tc>
          <w:tcPr>
            <w:tcW w:type="dxa" w:w="3485"/>
            <w:vAlign w:val="center"/>
          </w:tcPr>
          <w:p>
            <w:r>
              <w:rPr>
                <w:sz w:val="14"/>
              </w:rPr>
              <w:t>BM25/FTS works</w:t>
            </w:r>
          </w:p>
        </w:tc>
      </w:tr>
    </w:tbl>
    <w:p/>
    <w:p>
      <w:pPr>
        <w:pStyle w:val="Heading1"/>
      </w:pPr>
      <w:r>
        <w:t>12. Sprint 3.6 — Structured Fault Objects</w:t>
      </w:r>
    </w:p>
    <w:p>
      <w:pPr>
        <w:spacing w:after="80"/>
        <w:jc w:val="left"/>
      </w:pPr>
      <w:r>
        <w:rPr>
          <w:b w:val="0"/>
          <w:i w:val="0"/>
        </w:rPr>
        <w:t>Mandatory because the guideline requires troubleshooting knowledge to be extracted into structured fault objects rather than left only in document prose. [Guidelines.pdf §10.4, p.16]</w:t>
      </w:r>
    </w:p>
    <w:p>
      <w:pPr>
        <w:ind w:left="259" w:right="259"/>
      </w:pPr>
      <w:r>
        <w:rPr>
          <w:rFonts w:ascii="Consolas" w:hAnsi="Consolas"/>
          <w:sz w:val="14"/>
        </w:rPr>
        <w:t>fault_id</w:t>
        <w:br/>
      </w:r>
      <w:r>
        <w:rPr>
          <w:rFonts w:ascii="Consolas" w:hAnsi="Consolas"/>
          <w:sz w:val="14"/>
        </w:rPr>
        <w:t>fault_name</w:t>
        <w:br/>
      </w:r>
      <w:r>
        <w:rPr>
          <w:rFonts w:ascii="Consolas" w:hAnsi="Consolas"/>
          <w:sz w:val="14"/>
        </w:rPr>
        <w:t>fault_version</w:t>
        <w:br/>
      </w:r>
      <w:r>
        <w:rPr>
          <w:rFonts w:ascii="Consolas" w:hAnsi="Consolas"/>
          <w:sz w:val="14"/>
        </w:rPr>
        <w:t>component_scope</w:t>
        <w:br/>
      </w:r>
      <w:r>
        <w:rPr>
          <w:rFonts w:ascii="Consolas" w:hAnsi="Consolas"/>
          <w:sz w:val="14"/>
        </w:rPr>
        <w:t>failure_mode</w:t>
        <w:br/>
      </w:r>
      <w:r>
        <w:rPr>
          <w:rFonts w:ascii="Consolas" w:hAnsi="Consolas"/>
          <w:sz w:val="14"/>
        </w:rPr>
        <w:t>description</w:t>
        <w:br/>
      </w:r>
      <w:r>
        <w:rPr>
          <w:rFonts w:ascii="Consolas" w:hAnsi="Consolas"/>
          <w:sz w:val="14"/>
        </w:rPr>
        <w:t>signal_features[]</w:t>
        <w:br/>
      </w:r>
      <w:r>
        <w:rPr>
          <w:rFonts w:ascii="Consolas" w:hAnsi="Consolas"/>
          <w:sz w:val="14"/>
        </w:rPr>
        <w:t>required_signals[]</w:t>
        <w:br/>
      </w:r>
      <w:r>
        <w:rPr>
          <w:rFonts w:ascii="Consolas" w:hAnsi="Consolas"/>
          <w:sz w:val="14"/>
        </w:rPr>
        <w:t>qualitative_patterns[]</w:t>
        <w:br/>
      </w:r>
      <w:r>
        <w:rPr>
          <w:rFonts w:ascii="Consolas" w:hAnsi="Consolas"/>
          <w:sz w:val="14"/>
        </w:rPr>
        <w:t>quantitative_rules[]</w:t>
        <w:br/>
      </w:r>
      <w:r>
        <w:rPr>
          <w:rFonts w:ascii="Consolas" w:hAnsi="Consolas"/>
          <w:sz w:val="14"/>
        </w:rPr>
        <w:t>common_causes[]</w:t>
        <w:br/>
      </w:r>
      <w:r>
        <w:rPr>
          <w:rFonts w:ascii="Consolas" w:hAnsi="Consolas"/>
          <w:sz w:val="14"/>
        </w:rPr>
        <w:t>confirmation_checks[]</w:t>
        <w:br/>
      </w:r>
      <w:r>
        <w:rPr>
          <w:rFonts w:ascii="Consolas" w:hAnsi="Consolas"/>
          <w:sz w:val="14"/>
        </w:rPr>
        <w:t>contradicting_signals[]</w:t>
        <w:br/>
      </w:r>
      <w:r>
        <w:rPr>
          <w:rFonts w:ascii="Consolas" w:hAnsi="Consolas"/>
          <w:sz w:val="14"/>
        </w:rPr>
        <w:t>risk[]</w:t>
        <w:br/>
      </w:r>
      <w:r>
        <w:rPr>
          <w:rFonts w:ascii="Consolas" w:hAnsi="Consolas"/>
          <w:sz w:val="14"/>
        </w:rPr>
        <w:t>recommended_verification[]</w:t>
        <w:br/>
      </w:r>
      <w:r>
        <w:rPr>
          <w:rFonts w:ascii="Consolas" w:hAnsi="Consolas"/>
          <w:sz w:val="14"/>
        </w:rPr>
        <w:t>approved_actions[]</w:t>
        <w:br/>
      </w:r>
      <w:r>
        <w:rPr>
          <w:rFonts w:ascii="Consolas" w:hAnsi="Consolas"/>
          <w:sz w:val="14"/>
        </w:rPr>
        <w:t>source_refs[]</w:t>
        <w:br/>
      </w:r>
      <w:r>
        <w:rPr>
          <w:rFonts w:ascii="Consolas" w:hAnsi="Consolas"/>
          <w:sz w:val="14"/>
        </w:rPr>
        <w:t>authority_level</w:t>
        <w:br/>
      </w:r>
      <w:r>
        <w:rPr>
          <w:rFonts w:ascii="Consolas" w:hAnsi="Consolas"/>
          <w:sz w:val="14"/>
        </w:rPr>
        <w:t>tenant_scope</w:t>
        <w:br/>
      </w:r>
      <w:r>
        <w:rPr>
          <w:rFonts w:ascii="Consolas" w:hAnsi="Consolas"/>
          <w:sz w:val="14"/>
        </w:rPr>
        <w:t>equipment_scope</w:t>
        <w:br/>
      </w:r>
      <w:r>
        <w:rPr>
          <w:rFonts w:ascii="Consolas" w:hAnsi="Consolas"/>
          <w:sz w:val="14"/>
        </w:rPr>
        <w:t>effective_from</w:t>
        <w:br/>
      </w:r>
      <w:r>
        <w:rPr>
          <w:rFonts w:ascii="Consolas" w:hAnsi="Consolas"/>
          <w:sz w:val="14"/>
        </w:rPr>
        <w:t>effective_to</w:t>
        <w:br/>
      </w:r>
      <w:r>
        <w:rPr>
          <w:rFonts w:ascii="Consolas" w:hAnsi="Consolas"/>
          <w:sz w:val="14"/>
        </w:rPr>
        <w:t>status</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Pilot fault</w:t>
            </w:r>
          </w:p>
        </w:tc>
        <w:tc>
          <w:tcPr>
            <w:tcW w:type="dxa" w:w="5227"/>
            <w:shd w:fill="D9EAF7"/>
          </w:tcPr>
          <w:p>
            <w:r>
              <w:rPr>
                <w:b/>
                <w:sz w:val="14"/>
              </w:rPr>
              <w:t>Required output</w:t>
            </w:r>
          </w:p>
        </w:tc>
      </w:tr>
      <w:tr>
        <w:tc>
          <w:tcPr>
            <w:tcW w:type="dxa" w:w="5227"/>
            <w:vAlign w:val="center"/>
          </w:tcPr>
          <w:p>
            <w:r>
              <w:rPr>
                <w:sz w:val="14"/>
              </w:rPr>
              <w:t>Worn Pump</w:t>
            </w:r>
          </w:p>
        </w:tc>
        <w:tc>
          <w:tcPr>
            <w:tcW w:type="dxa" w:w="5227"/>
            <w:vAlign w:val="center"/>
          </w:tcPr>
          <w:p>
            <w:r>
              <w:rPr>
                <w:sz w:val="14"/>
              </w:rPr>
              <w:t>Pattern + confirmation checks + source refs</w:t>
            </w:r>
          </w:p>
        </w:tc>
      </w:tr>
      <w:tr>
        <w:tc>
          <w:tcPr>
            <w:tcW w:type="dxa" w:w="5227"/>
            <w:vAlign w:val="center"/>
          </w:tcPr>
          <w:p>
            <w:r>
              <w:rPr>
                <w:sz w:val="14"/>
              </w:rPr>
              <w:t>Broken Shaft</w:t>
            </w:r>
          </w:p>
        </w:tc>
        <w:tc>
          <w:tcPr>
            <w:tcW w:type="dxa" w:w="5227"/>
            <w:vAlign w:val="center"/>
          </w:tcPr>
          <w:p>
            <w:r>
              <w:rPr>
                <w:sz w:val="14"/>
              </w:rPr>
              <w:t>Pattern + context-dependent current drop + source</w:t>
            </w:r>
          </w:p>
        </w:tc>
      </w:tr>
      <w:tr>
        <w:tc>
          <w:tcPr>
            <w:tcW w:type="dxa" w:w="5227"/>
            <w:vAlign w:val="center"/>
          </w:tcPr>
          <w:p>
            <w:r>
              <w:rPr>
                <w:sz w:val="14"/>
              </w:rPr>
              <w:t>Tubing Leak / Recirculation</w:t>
            </w:r>
          </w:p>
        </w:tc>
        <w:tc>
          <w:tcPr>
            <w:tcW w:type="dxa" w:w="5227"/>
            <w:vAlign w:val="center"/>
          </w:tcPr>
          <w:p>
            <w:r>
              <w:rPr>
                <w:sz w:val="14"/>
              </w:rPr>
              <w:t>Pattern + confirmation / pressure-integrity check</w:t>
            </w:r>
          </w:p>
        </w:tc>
      </w:tr>
      <w:tr>
        <w:tc>
          <w:tcPr>
            <w:tcW w:type="dxa" w:w="5227"/>
            <w:vAlign w:val="center"/>
          </w:tcPr>
          <w:p>
            <w:r>
              <w:rPr>
                <w:sz w:val="14"/>
              </w:rPr>
              <w:t>Gas Interference</w:t>
            </w:r>
          </w:p>
        </w:tc>
        <w:tc>
          <w:tcPr>
            <w:tcW w:type="dxa" w:w="5227"/>
            <w:vAlign w:val="center"/>
          </w:tcPr>
          <w:p>
            <w:r>
              <w:rPr>
                <w:sz w:val="14"/>
              </w:rPr>
              <w:t>Instability pattern + free-gas confirmation</w:t>
            </w:r>
          </w:p>
        </w:tc>
      </w:tr>
      <w:tr>
        <w:tc>
          <w:tcPr>
            <w:tcW w:type="dxa" w:w="5227"/>
            <w:vAlign w:val="center"/>
          </w:tcPr>
          <w:p>
            <w:r>
              <w:rPr>
                <w:sz w:val="14"/>
              </w:rPr>
              <w:t>Intake / Pump Restriction</w:t>
            </w:r>
          </w:p>
        </w:tc>
        <w:tc>
          <w:tcPr>
            <w:tcW w:type="dxa" w:w="5227"/>
            <w:vAlign w:val="center"/>
          </w:tcPr>
          <w:p>
            <w:r>
              <w:rPr>
                <w:sz w:val="14"/>
              </w:rPr>
              <w:t>Pattern + differentiation checks</w:t>
            </w:r>
          </w:p>
        </w:tc>
      </w:tr>
      <w:tr>
        <w:tc>
          <w:tcPr>
            <w:tcW w:type="dxa" w:w="5227"/>
            <w:vAlign w:val="center"/>
          </w:tcPr>
          <w:p>
            <w:r>
              <w:rPr>
                <w:sz w:val="14"/>
              </w:rPr>
              <w:t>Additional project fault modes</w:t>
            </w:r>
          </w:p>
        </w:tc>
        <w:tc>
          <w:tcPr>
            <w:tcW w:type="dxa" w:w="5227"/>
            <w:vAlign w:val="center"/>
          </w:tcPr>
          <w:p>
            <w:r>
              <w:rPr>
                <w:sz w:val="14"/>
              </w:rPr>
              <w:t>Only after source/taxonomy validation</w:t>
            </w:r>
          </w:p>
        </w:tc>
      </w:tr>
    </w:tbl>
    <w:p/>
    <w:p>
      <w:pPr>
        <w:pStyle w:val="Heading1"/>
      </w:pPr>
      <w:r>
        <w:t>13. Sprint 3.7 — Historical Case Library</w:t>
      </w:r>
    </w:p>
    <w:p>
      <w:pPr>
        <w:spacing w:after="80"/>
        <w:jc w:val="left"/>
      </w:pPr>
      <w:r>
        <w:rPr>
          <w:b w:val="0"/>
          <w:i w:val="0"/>
        </w:rPr>
        <w:t>Guidelines.pdf requires confirmed diagnoses, operator actions, intervention results and RCA outcomes to become an expanding supervised fleet knowledge source. [Guidelines.pdf §16, pp.26–27]</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Field</w:t>
            </w:r>
          </w:p>
        </w:tc>
        <w:tc>
          <w:tcPr>
            <w:tcW w:type="dxa" w:w="5227"/>
            <w:shd w:fill="D9EAF7"/>
          </w:tcPr>
          <w:p>
            <w:r>
              <w:rPr>
                <w:b/>
                <w:sz w:val="14"/>
              </w:rPr>
              <w:t>Purpose</w:t>
            </w:r>
          </w:p>
        </w:tc>
      </w:tr>
      <w:tr>
        <w:tc>
          <w:tcPr>
            <w:tcW w:type="dxa" w:w="5227"/>
            <w:vAlign w:val="center"/>
          </w:tcPr>
          <w:p>
            <w:r>
              <w:rPr>
                <w:sz w:val="14"/>
              </w:rPr>
              <w:t>case_id</w:t>
            </w:r>
          </w:p>
        </w:tc>
        <w:tc>
          <w:tcPr>
            <w:tcW w:type="dxa" w:w="5227"/>
            <w:vAlign w:val="center"/>
          </w:tcPr>
          <w:p>
            <w:r>
              <w:rPr>
                <w:sz w:val="14"/>
              </w:rPr>
              <w:t>Stable identity</w:t>
            </w:r>
          </w:p>
        </w:tc>
      </w:tr>
      <w:tr>
        <w:tc>
          <w:tcPr>
            <w:tcW w:type="dxa" w:w="5227"/>
            <w:vAlign w:val="center"/>
          </w:tcPr>
          <w:p>
            <w:r>
              <w:rPr>
                <w:sz w:val="14"/>
              </w:rPr>
              <w:t>asset_id / well_id / equipment_model</w:t>
            </w:r>
          </w:p>
        </w:tc>
        <w:tc>
          <w:tcPr>
            <w:tcW w:type="dxa" w:w="5227"/>
            <w:vAlign w:val="center"/>
          </w:tcPr>
          <w:p>
            <w:r>
              <w:rPr>
                <w:sz w:val="14"/>
              </w:rPr>
              <w:t>Applicability</w:t>
            </w:r>
          </w:p>
        </w:tc>
      </w:tr>
      <w:tr>
        <w:tc>
          <w:tcPr>
            <w:tcW w:type="dxa" w:w="5227"/>
            <w:vAlign w:val="center"/>
          </w:tcPr>
          <w:p>
            <w:r>
              <w:rPr>
                <w:sz w:val="14"/>
              </w:rPr>
              <w:t>event_time</w:t>
            </w:r>
          </w:p>
        </w:tc>
        <w:tc>
          <w:tcPr>
            <w:tcW w:type="dxa" w:w="5227"/>
            <w:vAlign w:val="center"/>
          </w:tcPr>
          <w:p>
            <w:r>
              <w:rPr>
                <w:sz w:val="14"/>
              </w:rPr>
              <w:t>Temporal context</w:t>
            </w:r>
          </w:p>
        </w:tc>
      </w:tr>
      <w:tr>
        <w:tc>
          <w:tcPr>
            <w:tcW w:type="dxa" w:w="5227"/>
            <w:vAlign w:val="center"/>
          </w:tcPr>
          <w:p>
            <w:r>
              <w:rPr>
                <w:sz w:val="14"/>
              </w:rPr>
              <w:t>symptom_summary</w:t>
            </w:r>
          </w:p>
        </w:tc>
        <w:tc>
          <w:tcPr>
            <w:tcW w:type="dxa" w:w="5227"/>
            <w:vAlign w:val="center"/>
          </w:tcPr>
          <w:p>
            <w:r>
              <w:rPr>
                <w:sz w:val="14"/>
              </w:rPr>
              <w:t>Search</w:t>
            </w:r>
          </w:p>
        </w:tc>
      </w:tr>
      <w:tr>
        <w:tc>
          <w:tcPr>
            <w:tcW w:type="dxa" w:w="5227"/>
            <w:vAlign w:val="center"/>
          </w:tcPr>
          <w:p>
            <w:r>
              <w:rPr>
                <w:sz w:val="14"/>
              </w:rPr>
              <w:t>telemetry_signature</w:t>
            </w:r>
          </w:p>
        </w:tc>
        <w:tc>
          <w:tcPr>
            <w:tcW w:type="dxa" w:w="5227"/>
            <w:vAlign w:val="center"/>
          </w:tcPr>
          <w:p>
            <w:r>
              <w:rPr>
                <w:sz w:val="14"/>
              </w:rPr>
              <w:t>Structured pattern</w:t>
            </w:r>
          </w:p>
        </w:tc>
      </w:tr>
      <w:tr>
        <w:tc>
          <w:tcPr>
            <w:tcW w:type="dxa" w:w="5227"/>
            <w:vAlign w:val="center"/>
          </w:tcPr>
          <w:p>
            <w:r>
              <w:rPr>
                <w:sz w:val="14"/>
              </w:rPr>
              <w:t>event_sequence</w:t>
            </w:r>
          </w:p>
        </w:tc>
        <w:tc>
          <w:tcPr>
            <w:tcW w:type="dxa" w:w="5227"/>
            <w:vAlign w:val="center"/>
          </w:tcPr>
          <w:p>
            <w:r>
              <w:rPr>
                <w:sz w:val="14"/>
              </w:rPr>
              <w:t>Trip/start/stop/maintenance</w:t>
            </w:r>
          </w:p>
        </w:tc>
      </w:tr>
      <w:tr>
        <w:tc>
          <w:tcPr>
            <w:tcW w:type="dxa" w:w="5227"/>
            <w:vAlign w:val="center"/>
          </w:tcPr>
          <w:p>
            <w:r>
              <w:rPr>
                <w:sz w:val="14"/>
              </w:rPr>
              <w:t>engineering_results</w:t>
            </w:r>
          </w:p>
        </w:tc>
        <w:tc>
          <w:tcPr>
            <w:tcW w:type="dxa" w:w="5227"/>
            <w:vAlign w:val="center"/>
          </w:tcPr>
          <w:p>
            <w:r>
              <w:rPr>
                <w:sz w:val="14"/>
              </w:rPr>
              <w:t>Calculated evidence</w:t>
            </w:r>
          </w:p>
        </w:tc>
      </w:tr>
      <w:tr>
        <w:tc>
          <w:tcPr>
            <w:tcW w:type="dxa" w:w="5227"/>
            <w:vAlign w:val="center"/>
          </w:tcPr>
          <w:p>
            <w:r>
              <w:rPr>
                <w:sz w:val="14"/>
              </w:rPr>
              <w:t>model_outputs</w:t>
            </w:r>
          </w:p>
        </w:tc>
        <w:tc>
          <w:tcPr>
            <w:tcW w:type="dxa" w:w="5227"/>
            <w:vAlign w:val="center"/>
          </w:tcPr>
          <w:p>
            <w:r>
              <w:rPr>
                <w:sz w:val="14"/>
              </w:rPr>
              <w:t>ML evidence + version</w:t>
            </w:r>
          </w:p>
        </w:tc>
      </w:tr>
      <w:tr>
        <w:tc>
          <w:tcPr>
            <w:tcW w:type="dxa" w:w="5227"/>
            <w:vAlign w:val="center"/>
          </w:tcPr>
          <w:p>
            <w:r>
              <w:rPr>
                <w:sz w:val="14"/>
              </w:rPr>
              <w:t>candidate_causes</w:t>
            </w:r>
          </w:p>
        </w:tc>
        <w:tc>
          <w:tcPr>
            <w:tcW w:type="dxa" w:w="5227"/>
            <w:vAlign w:val="center"/>
          </w:tcPr>
          <w:p>
            <w:r>
              <w:rPr>
                <w:sz w:val="14"/>
              </w:rPr>
              <w:t>Alternatives</w:t>
            </w:r>
          </w:p>
        </w:tc>
      </w:tr>
      <w:tr>
        <w:tc>
          <w:tcPr>
            <w:tcW w:type="dxa" w:w="5227"/>
            <w:vAlign w:val="center"/>
          </w:tcPr>
          <w:p>
            <w:r>
              <w:rPr>
                <w:sz w:val="14"/>
              </w:rPr>
              <w:t>confirmed_cause</w:t>
            </w:r>
          </w:p>
        </w:tc>
        <w:tc>
          <w:tcPr>
            <w:tcW w:type="dxa" w:w="5227"/>
            <w:vAlign w:val="center"/>
          </w:tcPr>
          <w:p>
            <w:r>
              <w:rPr>
                <w:sz w:val="14"/>
              </w:rPr>
              <w:t>Reviewed outcome</w:t>
            </w:r>
          </w:p>
        </w:tc>
      </w:tr>
      <w:tr>
        <w:tc>
          <w:tcPr>
            <w:tcW w:type="dxa" w:w="5227"/>
            <w:vAlign w:val="center"/>
          </w:tcPr>
          <w:p>
            <w:r>
              <w:rPr>
                <w:sz w:val="14"/>
              </w:rPr>
              <w:t>operator_action</w:t>
            </w:r>
          </w:p>
        </w:tc>
        <w:tc>
          <w:tcPr>
            <w:tcW w:type="dxa" w:w="5227"/>
            <w:vAlign w:val="center"/>
          </w:tcPr>
          <w:p>
            <w:r>
              <w:rPr>
                <w:sz w:val="14"/>
              </w:rPr>
              <w:t>Action</w:t>
            </w:r>
          </w:p>
        </w:tc>
      </w:tr>
      <w:tr>
        <w:tc>
          <w:tcPr>
            <w:tcW w:type="dxa" w:w="5227"/>
            <w:vAlign w:val="center"/>
          </w:tcPr>
          <w:p>
            <w:r>
              <w:rPr>
                <w:sz w:val="14"/>
              </w:rPr>
              <w:t>action_outcome</w:t>
            </w:r>
          </w:p>
        </w:tc>
        <w:tc>
          <w:tcPr>
            <w:tcW w:type="dxa" w:w="5227"/>
            <w:vAlign w:val="center"/>
          </w:tcPr>
          <w:p>
            <w:r>
              <w:rPr>
                <w:sz w:val="14"/>
              </w:rPr>
              <w:t>Result</w:t>
            </w:r>
          </w:p>
        </w:tc>
      </w:tr>
      <w:tr>
        <w:tc>
          <w:tcPr>
            <w:tcW w:type="dxa" w:w="5227"/>
            <w:vAlign w:val="center"/>
          </w:tcPr>
          <w:p>
            <w:r>
              <w:rPr>
                <w:sz w:val="14"/>
              </w:rPr>
              <w:t>production/reliability_impact</w:t>
            </w:r>
          </w:p>
        </w:tc>
        <w:tc>
          <w:tcPr>
            <w:tcW w:type="dxa" w:w="5227"/>
            <w:vAlign w:val="center"/>
          </w:tcPr>
          <w:p>
            <w:r>
              <w:rPr>
                <w:sz w:val="14"/>
              </w:rPr>
              <w:t>Consequence</w:t>
            </w:r>
          </w:p>
        </w:tc>
      </w:tr>
      <w:tr>
        <w:tc>
          <w:tcPr>
            <w:tcW w:type="dxa" w:w="5227"/>
            <w:vAlign w:val="center"/>
          </w:tcPr>
          <w:p>
            <w:r>
              <w:rPr>
                <w:sz w:val="14"/>
              </w:rPr>
              <w:t>source_reports</w:t>
            </w:r>
          </w:p>
        </w:tc>
        <w:tc>
          <w:tcPr>
            <w:tcW w:type="dxa" w:w="5227"/>
            <w:vAlign w:val="center"/>
          </w:tcPr>
          <w:p>
            <w:r>
              <w:rPr>
                <w:sz w:val="14"/>
              </w:rPr>
              <w:t>RCA/workover refs</w:t>
            </w:r>
          </w:p>
        </w:tc>
      </w:tr>
      <w:tr>
        <w:tc>
          <w:tcPr>
            <w:tcW w:type="dxa" w:w="5227"/>
            <w:vAlign w:val="center"/>
          </w:tcPr>
          <w:p>
            <w:r>
              <w:rPr>
                <w:sz w:val="14"/>
              </w:rPr>
              <w:t>approval_status</w:t>
            </w:r>
          </w:p>
        </w:tc>
        <w:tc>
          <w:tcPr>
            <w:tcW w:type="dxa" w:w="5227"/>
            <w:vAlign w:val="center"/>
          </w:tcPr>
          <w:p>
            <w:r>
              <w:rPr>
                <w:sz w:val="14"/>
              </w:rPr>
              <w:t>Governance</w:t>
            </w:r>
          </w:p>
        </w:tc>
      </w:tr>
    </w:tbl>
    <w:p/>
    <w:p>
      <w:pPr>
        <w:pStyle w:val="Heading1"/>
      </w:pPr>
      <w:r>
        <w:t>14. Sprint 3.8 — Pump Curve / Equipment Reference Store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Task</w:t>
            </w:r>
          </w:p>
        </w:tc>
        <w:tc>
          <w:tcPr>
            <w:tcW w:type="dxa" w:w="3485"/>
            <w:shd w:fill="D9EAF7"/>
          </w:tcPr>
          <w:p>
            <w:r>
              <w:rPr>
                <w:b/>
                <w:sz w:val="14"/>
              </w:rPr>
              <w:t>Subtask</w:t>
            </w:r>
          </w:p>
        </w:tc>
        <w:tc>
          <w:tcPr>
            <w:tcW w:type="dxa" w:w="3485"/>
            <w:shd w:fill="D9EAF7"/>
          </w:tcPr>
          <w:p>
            <w:r>
              <w:rPr>
                <w:b/>
                <w:sz w:val="14"/>
              </w:rPr>
              <w:t>Exit</w:t>
            </w:r>
          </w:p>
        </w:tc>
      </w:tr>
      <w:tr>
        <w:tc>
          <w:tcPr>
            <w:tcW w:type="dxa" w:w="3485"/>
            <w:vAlign w:val="center"/>
          </w:tcPr>
          <w:p>
            <w:r>
              <w:rPr>
                <w:sz w:val="14"/>
              </w:rPr>
              <w:t>3.8.1</w:t>
            </w:r>
          </w:p>
        </w:tc>
        <w:tc>
          <w:tcPr>
            <w:tcW w:type="dxa" w:w="3485"/>
            <w:vAlign w:val="center"/>
          </w:tcPr>
          <w:p>
            <w:r>
              <w:rPr>
                <w:sz w:val="14"/>
              </w:rPr>
              <w:t>Pump model registry</w:t>
            </w:r>
          </w:p>
        </w:tc>
        <w:tc>
          <w:tcPr>
            <w:tcW w:type="dxa" w:w="3485"/>
            <w:vAlign w:val="center"/>
          </w:tcPr>
          <w:p>
            <w:r>
              <w:rPr>
                <w:sz w:val="14"/>
              </w:rPr>
              <w:t>Model IDs + manufacturer</w:t>
            </w:r>
          </w:p>
        </w:tc>
      </w:tr>
      <w:tr>
        <w:tc>
          <w:tcPr>
            <w:tcW w:type="dxa" w:w="3485"/>
            <w:vAlign w:val="center"/>
          </w:tcPr>
          <w:p>
            <w:r>
              <w:rPr>
                <w:sz w:val="14"/>
              </w:rPr>
              <w:t>3.8.2</w:t>
            </w:r>
          </w:p>
        </w:tc>
        <w:tc>
          <w:tcPr>
            <w:tcW w:type="dxa" w:w="3485"/>
            <w:vAlign w:val="center"/>
          </w:tcPr>
          <w:p>
            <w:r>
              <w:rPr>
                <w:sz w:val="14"/>
              </w:rPr>
              <w:t>Curve metadata</w:t>
            </w:r>
          </w:p>
        </w:tc>
        <w:tc>
          <w:tcPr>
            <w:tcW w:type="dxa" w:w="3485"/>
            <w:vAlign w:val="center"/>
          </w:tcPr>
          <w:p>
            <w:r>
              <w:rPr>
                <w:sz w:val="14"/>
              </w:rPr>
              <w:t>Curve ID + revision + source</w:t>
            </w:r>
          </w:p>
        </w:tc>
      </w:tr>
      <w:tr>
        <w:tc>
          <w:tcPr>
            <w:tcW w:type="dxa" w:w="3485"/>
            <w:vAlign w:val="center"/>
          </w:tcPr>
          <w:p>
            <w:r>
              <w:rPr>
                <w:sz w:val="14"/>
              </w:rPr>
              <w:t>3.8.3</w:t>
            </w:r>
          </w:p>
        </w:tc>
        <w:tc>
          <w:tcPr>
            <w:tcW w:type="dxa" w:w="3485"/>
            <w:vAlign w:val="center"/>
          </w:tcPr>
          <w:p>
            <w:r>
              <w:rPr>
                <w:sz w:val="14"/>
              </w:rPr>
              <w:t>Curve extraction</w:t>
            </w:r>
          </w:p>
        </w:tc>
        <w:tc>
          <w:tcPr>
            <w:tcW w:type="dxa" w:w="3485"/>
            <w:vAlign w:val="center"/>
          </w:tcPr>
          <w:p>
            <w:r>
              <w:rPr>
                <w:sz w:val="14"/>
              </w:rPr>
              <w:t>Structured points/operating ranges</w:t>
            </w:r>
          </w:p>
        </w:tc>
      </w:tr>
      <w:tr>
        <w:tc>
          <w:tcPr>
            <w:tcW w:type="dxa" w:w="3485"/>
            <w:vAlign w:val="center"/>
          </w:tcPr>
          <w:p>
            <w:r>
              <w:rPr>
                <w:sz w:val="14"/>
              </w:rPr>
              <w:t>3.8.4</w:t>
            </w:r>
          </w:p>
        </w:tc>
        <w:tc>
          <w:tcPr>
            <w:tcW w:type="dxa" w:w="3485"/>
            <w:vAlign w:val="center"/>
          </w:tcPr>
          <w:p>
            <w:r>
              <w:rPr>
                <w:sz w:val="14"/>
              </w:rPr>
              <w:t>Applicability</w:t>
            </w:r>
          </w:p>
        </w:tc>
        <w:tc>
          <w:tcPr>
            <w:tcW w:type="dxa" w:w="3485"/>
            <w:vAlign w:val="center"/>
          </w:tcPr>
          <w:p>
            <w:r>
              <w:rPr>
                <w:sz w:val="14"/>
              </w:rPr>
              <w:t>Model/stages/equipment scope</w:t>
            </w:r>
          </w:p>
        </w:tc>
      </w:tr>
      <w:tr>
        <w:tc>
          <w:tcPr>
            <w:tcW w:type="dxa" w:w="3485"/>
            <w:vAlign w:val="center"/>
          </w:tcPr>
          <w:p>
            <w:r>
              <w:rPr>
                <w:sz w:val="14"/>
              </w:rPr>
              <w:t>3.8.5</w:t>
            </w:r>
          </w:p>
        </w:tc>
        <w:tc>
          <w:tcPr>
            <w:tcW w:type="dxa" w:w="3485"/>
            <w:vAlign w:val="center"/>
          </w:tcPr>
          <w:p>
            <w:r>
              <w:rPr>
                <w:sz w:val="14"/>
              </w:rPr>
              <w:t>Exact lookup</w:t>
            </w:r>
          </w:p>
        </w:tc>
        <w:tc>
          <w:tcPr>
            <w:tcW w:type="dxa" w:w="3485"/>
            <w:vAlign w:val="center"/>
          </w:tcPr>
          <w:p>
            <w:r>
              <w:rPr>
                <w:sz w:val="14"/>
              </w:rPr>
              <w:t>Exact curve revision returned</w:t>
            </w:r>
          </w:p>
        </w:tc>
      </w:tr>
      <w:tr>
        <w:tc>
          <w:tcPr>
            <w:tcW w:type="dxa" w:w="3485"/>
            <w:vAlign w:val="center"/>
          </w:tcPr>
          <w:p>
            <w:r>
              <w:rPr>
                <w:sz w:val="14"/>
              </w:rPr>
              <w:t>3.8.6</w:t>
            </w:r>
          </w:p>
        </w:tc>
        <w:tc>
          <w:tcPr>
            <w:tcW w:type="dxa" w:w="3485"/>
            <w:vAlign w:val="center"/>
          </w:tcPr>
          <w:p>
            <w:r>
              <w:rPr>
                <w:sz w:val="14"/>
              </w:rPr>
              <w:t>Provenance</w:t>
            </w:r>
          </w:p>
        </w:tc>
        <w:tc>
          <w:tcPr>
            <w:tcW w:type="dxa" w:w="3485"/>
            <w:vAlign w:val="center"/>
          </w:tcPr>
          <w:p>
            <w:r>
              <w:rPr>
                <w:sz w:val="14"/>
              </w:rPr>
              <w:t>Source/page/revision</w:t>
            </w:r>
          </w:p>
        </w:tc>
      </w:tr>
    </w:tbl>
    <w:p/>
    <w:p>
      <w:pPr>
        <w:spacing w:after="80"/>
        <w:jc w:val="left"/>
      </w:pPr>
      <w:r>
        <w:rPr>
          <w:b w:val="0"/>
          <w:i w:val="0"/>
        </w:rPr>
        <w:t>Pump catalogues/performance curves are explicit KB inputs, and correct pump-curve selection is part of release acceptance. [Guidelines.pdf §10.1; §21.1]</w:t>
      </w:r>
    </w:p>
    <w:p>
      <w:pPr>
        <w:pStyle w:val="Heading1"/>
      </w:pPr>
      <w:r>
        <w:t>15. Sprint 3.9 — Hybrid Retrieval &amp; Reranking</w:t>
      </w:r>
    </w:p>
    <w:p>
      <w:pPr>
        <w:ind w:left="259" w:right="259"/>
      </w:pPr>
      <w:r>
        <w:rPr>
          <w:rFonts w:ascii="Consolas" w:hAnsi="Consolas"/>
          <w:sz w:val="14"/>
        </w:rPr>
        <w:t>QUERY</w:t>
        <w:br/>
      </w:r>
      <w:r>
        <w:rPr>
          <w:rFonts w:ascii="Consolas" w:hAnsi="Consolas"/>
          <w:sz w:val="14"/>
        </w:rPr>
        <w:t xml:space="preserve"> ↓</w:t>
        <w:br/>
      </w:r>
      <w:r>
        <w:rPr>
          <w:rFonts w:ascii="Consolas" w:hAnsi="Consolas"/>
          <w:sz w:val="14"/>
        </w:rPr>
        <w:t>Tenant / Asset / Equipment filters</w:t>
        <w:br/>
      </w:r>
      <w:r>
        <w:rPr>
          <w:rFonts w:ascii="Consolas" w:hAnsi="Consolas"/>
          <w:sz w:val="14"/>
        </w:rPr>
        <w:t xml:space="preserve"> ↓</w:t>
        <w:br/>
      </w:r>
      <w:r>
        <w:rPr>
          <w:rFonts w:ascii="Consolas" w:hAnsi="Consolas"/>
          <w:sz w:val="14"/>
        </w:rPr>
        <w:t>+--------------+---------------+---------------+</w:t>
        <w:br/>
      </w:r>
      <w:r>
        <w:rPr>
          <w:rFonts w:ascii="Consolas" w:hAnsi="Consolas"/>
          <w:sz w:val="14"/>
        </w:rPr>
        <w:t>| BM25         | Dense Vector  | Case Similar. |</w:t>
        <w:br/>
      </w:r>
      <w:r>
        <w:rPr>
          <w:rFonts w:ascii="Consolas" w:hAnsi="Consolas"/>
          <w:sz w:val="14"/>
        </w:rPr>
        <w:t>+--------------+---------------+---------------+</w:t>
        <w:br/>
      </w:r>
      <w:r>
        <w:rPr>
          <w:rFonts w:ascii="Consolas" w:hAnsi="Consolas"/>
          <w:sz w:val="14"/>
        </w:rPr>
        <w:t xml:space="preserve">                ↓</w:t>
        <w:br/>
      </w:r>
      <w:r>
        <w:rPr>
          <w:rFonts w:ascii="Consolas" w:hAnsi="Consolas"/>
          <w:sz w:val="14"/>
        </w:rPr>
        <w:t xml:space="preserve">          Candidate Fusion</w:t>
        <w:br/>
      </w:r>
      <w:r>
        <w:rPr>
          <w:rFonts w:ascii="Consolas" w:hAnsi="Consolas"/>
          <w:sz w:val="14"/>
        </w:rPr>
        <w:t xml:space="preserve">                ↓</w:t>
        <w:br/>
      </w:r>
      <w:r>
        <w:rPr>
          <w:rFonts w:ascii="Consolas" w:hAnsi="Consolas"/>
          <w:sz w:val="14"/>
        </w:rPr>
        <w:t xml:space="preserve">             Reranker</w:t>
        <w:br/>
      </w:r>
      <w:r>
        <w:rPr>
          <w:rFonts w:ascii="Consolas" w:hAnsi="Consolas"/>
          <w:sz w:val="14"/>
        </w:rPr>
        <w:t xml:space="preserve">                ↓</w:t>
        <w:br/>
      </w:r>
      <w:r>
        <w:rPr>
          <w:rFonts w:ascii="Consolas" w:hAnsi="Consolas"/>
          <w:sz w:val="14"/>
        </w:rPr>
        <w:t xml:space="preserve">          Authority / ACL</w:t>
        <w:br/>
      </w:r>
      <w:r>
        <w:rPr>
          <w:rFonts w:ascii="Consolas" w:hAnsi="Consolas"/>
          <w:sz w:val="14"/>
        </w:rPr>
        <w:t xml:space="preserve">                ↓</w:t>
        <w:br/>
      </w:r>
      <w:r>
        <w:rPr>
          <w:rFonts w:ascii="Consolas" w:hAnsi="Consolas"/>
          <w:sz w:val="14"/>
        </w:rPr>
        <w:t xml:space="preserve">        Evidence + citation</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Task</w:t>
            </w:r>
          </w:p>
        </w:tc>
        <w:tc>
          <w:tcPr>
            <w:tcW w:type="dxa" w:w="5227"/>
            <w:shd w:fill="D9EAF7"/>
          </w:tcPr>
          <w:p>
            <w:r>
              <w:rPr>
                <w:b/>
                <w:sz w:val="14"/>
              </w:rPr>
              <w:t>Exit</w:t>
            </w:r>
          </w:p>
        </w:tc>
      </w:tr>
      <w:tr>
        <w:tc>
          <w:tcPr>
            <w:tcW w:type="dxa" w:w="5227"/>
            <w:vAlign w:val="center"/>
          </w:tcPr>
          <w:p>
            <w:r>
              <w:rPr>
                <w:sz w:val="14"/>
              </w:rPr>
              <w:t>3.9.1 Lexical retrieval</w:t>
            </w:r>
          </w:p>
        </w:tc>
        <w:tc>
          <w:tcPr>
            <w:tcW w:type="dxa" w:w="5227"/>
            <w:vAlign w:val="center"/>
          </w:tcPr>
          <w:p>
            <w:r>
              <w:rPr>
                <w:sz w:val="14"/>
              </w:rPr>
              <w:t>Exact pump model/failure-code queries work</w:t>
            </w:r>
          </w:p>
        </w:tc>
      </w:tr>
      <w:tr>
        <w:tc>
          <w:tcPr>
            <w:tcW w:type="dxa" w:w="5227"/>
            <w:vAlign w:val="center"/>
          </w:tcPr>
          <w:p>
            <w:r>
              <w:rPr>
                <w:sz w:val="14"/>
              </w:rPr>
              <w:t>3.9.2 Dense retrieval</w:t>
            </w:r>
          </w:p>
        </w:tc>
        <w:tc>
          <w:tcPr>
            <w:tcW w:type="dxa" w:w="5227"/>
            <w:vAlign w:val="center"/>
          </w:tcPr>
          <w:p>
            <w:r>
              <w:rPr>
                <w:sz w:val="14"/>
              </w:rPr>
              <w:t>Semantic diagnosis queries work</w:t>
            </w:r>
          </w:p>
        </w:tc>
      </w:tr>
      <w:tr>
        <w:tc>
          <w:tcPr>
            <w:tcW w:type="dxa" w:w="5227"/>
            <w:vAlign w:val="center"/>
          </w:tcPr>
          <w:p>
            <w:r>
              <w:rPr>
                <w:sz w:val="14"/>
              </w:rPr>
              <w:t>3.9.3 Metadata filters</w:t>
            </w:r>
          </w:p>
        </w:tc>
        <w:tc>
          <w:tcPr>
            <w:tcW w:type="dxa" w:w="5227"/>
            <w:vAlign w:val="center"/>
          </w:tcPr>
          <w:p>
            <w:r>
              <w:rPr>
                <w:sz w:val="14"/>
              </w:rPr>
              <w:t>Scope filtering works</w:t>
            </w:r>
          </w:p>
        </w:tc>
      </w:tr>
      <w:tr>
        <w:tc>
          <w:tcPr>
            <w:tcW w:type="dxa" w:w="5227"/>
            <w:vAlign w:val="center"/>
          </w:tcPr>
          <w:p>
            <w:r>
              <w:rPr>
                <w:sz w:val="14"/>
              </w:rPr>
              <w:t>3.9.4 Case similarity</w:t>
            </w:r>
          </w:p>
        </w:tc>
        <w:tc>
          <w:tcPr>
            <w:tcW w:type="dxa" w:w="5227"/>
            <w:vAlign w:val="center"/>
          </w:tcPr>
          <w:p>
            <w:r>
              <w:rPr>
                <w:sz w:val="14"/>
              </w:rPr>
              <w:t>Relevant cases top-k</w:t>
            </w:r>
          </w:p>
        </w:tc>
      </w:tr>
      <w:tr>
        <w:tc>
          <w:tcPr>
            <w:tcW w:type="dxa" w:w="5227"/>
            <w:vAlign w:val="center"/>
          </w:tcPr>
          <w:p>
            <w:r>
              <w:rPr>
                <w:sz w:val="14"/>
              </w:rPr>
              <w:t>3.9.5 Hybrid fusion</w:t>
            </w:r>
          </w:p>
        </w:tc>
        <w:tc>
          <w:tcPr>
            <w:tcW w:type="dxa" w:w="5227"/>
            <w:vAlign w:val="center"/>
          </w:tcPr>
          <w:p>
            <w:r>
              <w:rPr>
                <w:sz w:val="14"/>
              </w:rPr>
              <w:t>Meets agreed improvement vs single method</w:t>
            </w:r>
          </w:p>
        </w:tc>
      </w:tr>
      <w:tr>
        <w:tc>
          <w:tcPr>
            <w:tcW w:type="dxa" w:w="5227"/>
            <w:vAlign w:val="center"/>
          </w:tcPr>
          <w:p>
            <w:r>
              <w:rPr>
                <w:sz w:val="14"/>
              </w:rPr>
              <w:t>3.9.6 Reranking</w:t>
            </w:r>
          </w:p>
        </w:tc>
        <w:tc>
          <w:tcPr>
            <w:tcW w:type="dxa" w:w="5227"/>
            <w:vAlign w:val="center"/>
          </w:tcPr>
          <w:p>
            <w:r>
              <w:rPr>
                <w:sz w:val="14"/>
              </w:rPr>
              <w:t>Measured relevance gain</w:t>
            </w:r>
          </w:p>
        </w:tc>
      </w:tr>
      <w:tr>
        <w:tc>
          <w:tcPr>
            <w:tcW w:type="dxa" w:w="5227"/>
            <w:vAlign w:val="center"/>
          </w:tcPr>
          <w:p>
            <w:r>
              <w:rPr>
                <w:sz w:val="14"/>
              </w:rPr>
              <w:t>3.9.7 Authority</w:t>
            </w:r>
          </w:p>
        </w:tc>
        <w:tc>
          <w:tcPr>
            <w:tcW w:type="dxa" w:w="5227"/>
            <w:vAlign w:val="center"/>
          </w:tcPr>
          <w:p>
            <w:r>
              <w:rPr>
                <w:sz w:val="14"/>
              </w:rPr>
              <w:t>A outranks B...F in conflict tests</w:t>
            </w:r>
          </w:p>
        </w:tc>
      </w:tr>
    </w:tbl>
    <w:p/>
    <w:p>
      <w:pPr>
        <w:spacing w:after="80"/>
        <w:jc w:val="left"/>
      </w:pPr>
      <w:r>
        <w:rPr>
          <w:b w:val="0"/>
          <w:i w:val="0"/>
        </w:rPr>
        <w:t>Source: Guidelines.pdf §10.2, p.15.</w:t>
      </w:r>
    </w:p>
    <w:p>
      <w:pPr>
        <w:pStyle w:val="Heading1"/>
      </w:pPr>
      <w:r>
        <w:t>16. Sprint 3.10 — Knowledge Service &amp; Agent Tools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Service/API</w:t>
            </w:r>
          </w:p>
        </w:tc>
        <w:tc>
          <w:tcPr>
            <w:tcW w:type="dxa" w:w="3485"/>
            <w:shd w:fill="D9EAF7"/>
          </w:tcPr>
          <w:p>
            <w:r>
              <w:rPr>
                <w:b/>
                <w:sz w:val="14"/>
              </w:rPr>
              <w:t>Purpose</w:t>
            </w:r>
          </w:p>
        </w:tc>
        <w:tc>
          <w:tcPr>
            <w:tcW w:type="dxa" w:w="3485"/>
            <w:shd w:fill="D9EAF7"/>
          </w:tcPr>
          <w:p>
            <w:r>
              <w:rPr>
                <w:b/>
                <w:sz w:val="14"/>
              </w:rPr>
              <w:t>Agent tool</w:t>
            </w:r>
          </w:p>
        </w:tc>
      </w:tr>
      <w:tr>
        <w:tc>
          <w:tcPr>
            <w:tcW w:type="dxa" w:w="3485"/>
            <w:vAlign w:val="center"/>
          </w:tcPr>
          <w:p>
            <w:r>
              <w:rPr>
                <w:sz w:val="14"/>
              </w:rPr>
              <w:t>POST /knowledge/search</w:t>
            </w:r>
          </w:p>
        </w:tc>
        <w:tc>
          <w:tcPr>
            <w:tcW w:type="dxa" w:w="3485"/>
            <w:vAlign w:val="center"/>
          </w:tcPr>
          <w:p>
            <w:r>
              <w:rPr>
                <w:sz w:val="14"/>
              </w:rPr>
              <w:t>Hybrid retrieval</w:t>
            </w:r>
          </w:p>
        </w:tc>
        <w:tc>
          <w:tcPr>
            <w:tcW w:type="dxa" w:w="3485"/>
            <w:vAlign w:val="center"/>
          </w:tcPr>
          <w:p>
            <w:r>
              <w:rPr>
                <w:sz w:val="14"/>
              </w:rPr>
              <w:t>knowledge.search()</w:t>
            </w:r>
          </w:p>
        </w:tc>
      </w:tr>
      <w:tr>
        <w:tc>
          <w:tcPr>
            <w:tcW w:type="dxa" w:w="3485"/>
            <w:vAlign w:val="center"/>
          </w:tcPr>
          <w:p>
            <w:r>
              <w:rPr>
                <w:sz w:val="14"/>
              </w:rPr>
              <w:t>POST /knowledge/search-faults</w:t>
            </w:r>
          </w:p>
        </w:tc>
        <w:tc>
          <w:tcPr>
            <w:tcW w:type="dxa" w:w="3485"/>
            <w:vAlign w:val="center"/>
          </w:tcPr>
          <w:p>
            <w:r>
              <w:rPr>
                <w:sz w:val="14"/>
              </w:rPr>
              <w:t>Fault objects</w:t>
            </w:r>
          </w:p>
        </w:tc>
        <w:tc>
          <w:tcPr>
            <w:tcW w:type="dxa" w:w="3485"/>
            <w:vAlign w:val="center"/>
          </w:tcPr>
          <w:p>
            <w:r>
              <w:rPr>
                <w:sz w:val="14"/>
              </w:rPr>
              <w:t>knowledge.search_faults()</w:t>
            </w:r>
          </w:p>
        </w:tc>
      </w:tr>
      <w:tr>
        <w:tc>
          <w:tcPr>
            <w:tcW w:type="dxa" w:w="3485"/>
            <w:vAlign w:val="center"/>
          </w:tcPr>
          <w:p>
            <w:r>
              <w:rPr>
                <w:sz w:val="14"/>
              </w:rPr>
              <w:t>POST /cases/search-similar</w:t>
            </w:r>
          </w:p>
        </w:tc>
        <w:tc>
          <w:tcPr>
            <w:tcW w:type="dxa" w:w="3485"/>
            <w:vAlign w:val="center"/>
          </w:tcPr>
          <w:p>
            <w:r>
              <w:rPr>
                <w:sz w:val="14"/>
              </w:rPr>
              <w:t>Case similarity</w:t>
            </w:r>
          </w:p>
        </w:tc>
        <w:tc>
          <w:tcPr>
            <w:tcW w:type="dxa" w:w="3485"/>
            <w:vAlign w:val="center"/>
          </w:tcPr>
          <w:p>
            <w:r>
              <w:rPr>
                <w:sz w:val="14"/>
              </w:rPr>
              <w:t>case.search_similar()</w:t>
            </w:r>
          </w:p>
        </w:tc>
      </w:tr>
      <w:tr>
        <w:tc>
          <w:tcPr>
            <w:tcW w:type="dxa" w:w="3485"/>
            <w:vAlign w:val="center"/>
          </w:tcPr>
          <w:p>
            <w:r>
              <w:rPr>
                <w:sz w:val="14"/>
              </w:rPr>
              <w:t>GET /knowledge/source/{id}</w:t>
            </w:r>
          </w:p>
        </w:tc>
        <w:tc>
          <w:tcPr>
            <w:tcW w:type="dxa" w:w="3485"/>
            <w:vAlign w:val="center"/>
          </w:tcPr>
          <w:p>
            <w:r>
              <w:rPr>
                <w:sz w:val="14"/>
              </w:rPr>
              <w:t>Exact source</w:t>
            </w:r>
          </w:p>
        </w:tc>
        <w:tc>
          <w:tcPr>
            <w:tcW w:type="dxa" w:w="3485"/>
            <w:vAlign w:val="center"/>
          </w:tcPr>
          <w:p>
            <w:r>
              <w:rPr>
                <w:sz w:val="14"/>
              </w:rPr>
              <w:t>knowledge.get_source()</w:t>
            </w:r>
          </w:p>
        </w:tc>
      </w:tr>
      <w:tr>
        <w:tc>
          <w:tcPr>
            <w:tcW w:type="dxa" w:w="3485"/>
            <w:vAlign w:val="center"/>
          </w:tcPr>
          <w:p>
            <w:r>
              <w:rPr>
                <w:sz w:val="14"/>
              </w:rPr>
              <w:t>GET /knowledge/procedure/{id}</w:t>
            </w:r>
          </w:p>
        </w:tc>
        <w:tc>
          <w:tcPr>
            <w:tcW w:type="dxa" w:w="3485"/>
            <w:vAlign w:val="center"/>
          </w:tcPr>
          <w:p>
            <w:r>
              <w:rPr>
                <w:sz w:val="14"/>
              </w:rPr>
              <w:t>Approved procedure</w:t>
            </w:r>
          </w:p>
        </w:tc>
        <w:tc>
          <w:tcPr>
            <w:tcW w:type="dxa" w:w="3485"/>
            <w:vAlign w:val="center"/>
          </w:tcPr>
          <w:p>
            <w:r>
              <w:rPr>
                <w:sz w:val="14"/>
              </w:rPr>
              <w:t>knowledge.get_procedure()</w:t>
            </w:r>
          </w:p>
        </w:tc>
      </w:tr>
      <w:tr>
        <w:tc>
          <w:tcPr>
            <w:tcW w:type="dxa" w:w="3485"/>
            <w:vAlign w:val="center"/>
          </w:tcPr>
          <w:p>
            <w:r>
              <w:rPr>
                <w:sz w:val="14"/>
              </w:rPr>
              <w:t>GET /knowledge/pump-curve/{id}</w:t>
            </w:r>
          </w:p>
        </w:tc>
        <w:tc>
          <w:tcPr>
            <w:tcW w:type="dxa" w:w="3485"/>
            <w:vAlign w:val="center"/>
          </w:tcPr>
          <w:p>
            <w:r>
              <w:rPr>
                <w:sz w:val="14"/>
              </w:rPr>
              <w:t>Exact curve</w:t>
            </w:r>
          </w:p>
        </w:tc>
        <w:tc>
          <w:tcPr>
            <w:tcW w:type="dxa" w:w="3485"/>
            <w:vAlign w:val="center"/>
          </w:tcPr>
          <w:p>
            <w:r>
              <w:rPr>
                <w:sz w:val="14"/>
              </w:rPr>
              <w:t>knowledge.get_pump_curve()</w:t>
            </w:r>
          </w:p>
        </w:tc>
      </w:tr>
      <w:tr>
        <w:tc>
          <w:tcPr>
            <w:tcW w:type="dxa" w:w="3485"/>
            <w:vAlign w:val="center"/>
          </w:tcPr>
          <w:p>
            <w:r>
              <w:rPr>
                <w:sz w:val="14"/>
              </w:rPr>
              <w:t>GET /knowledge/model-semantics/{id}</w:t>
            </w:r>
          </w:p>
        </w:tc>
        <w:tc>
          <w:tcPr>
            <w:tcW w:type="dxa" w:w="3485"/>
            <w:vAlign w:val="center"/>
          </w:tcPr>
          <w:p>
            <w:r>
              <w:rPr>
                <w:sz w:val="14"/>
              </w:rPr>
              <w:t>Model semantics</w:t>
            </w:r>
          </w:p>
        </w:tc>
        <w:tc>
          <w:tcPr>
            <w:tcW w:type="dxa" w:w="3485"/>
            <w:vAlign w:val="center"/>
          </w:tcPr>
          <w:p>
            <w:r>
              <w:rPr>
                <w:sz w:val="14"/>
              </w:rPr>
              <w:t>knowledge.get_model_semantics()</w:t>
            </w:r>
          </w:p>
        </w:tc>
      </w:tr>
    </w:tbl>
    <w:p/>
    <w:p>
      <w:pPr>
        <w:spacing w:after="80"/>
        <w:jc w:val="left"/>
      </w:pPr>
      <w:r>
        <w:rPr>
          <w:b w:val="0"/>
          <w:i w:val="0"/>
        </w:rPr>
        <w:t>Appendix B provides the corresponding illustrative `knowledge.search` and `case.search_similar` contracts. [Guidelines.pdf Appendix B, p.30]</w:t>
      </w:r>
    </w:p>
    <w:p>
      <w:pPr>
        <w:pStyle w:val="Heading1"/>
      </w:pPr>
      <w:r>
        <w:t>17. Sprint 3.11 — Evaluation, Security &amp; Governance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Area</w:t>
            </w:r>
          </w:p>
        </w:tc>
        <w:tc>
          <w:tcPr>
            <w:tcW w:type="dxa" w:w="3485"/>
            <w:shd w:fill="D9EAF7"/>
          </w:tcPr>
          <w:p>
            <w:r>
              <w:rPr>
                <w:b/>
                <w:sz w:val="14"/>
              </w:rPr>
              <w:t>Test</w:t>
            </w:r>
          </w:p>
        </w:tc>
        <w:tc>
          <w:tcPr>
            <w:tcW w:type="dxa" w:w="3485"/>
            <w:shd w:fill="D9EAF7"/>
          </w:tcPr>
          <w:p>
            <w:r>
              <w:rPr>
                <w:b/>
                <w:sz w:val="14"/>
              </w:rPr>
              <w:t>Exit</w:t>
            </w:r>
          </w:p>
        </w:tc>
      </w:tr>
      <w:tr>
        <w:tc>
          <w:tcPr>
            <w:tcW w:type="dxa" w:w="3485"/>
            <w:vAlign w:val="center"/>
          </w:tcPr>
          <w:p>
            <w:r>
              <w:rPr>
                <w:sz w:val="14"/>
              </w:rPr>
              <w:t>Exact retrieval</w:t>
            </w:r>
          </w:p>
        </w:tc>
        <w:tc>
          <w:tcPr>
            <w:tcW w:type="dxa" w:w="3485"/>
            <w:vAlign w:val="center"/>
          </w:tcPr>
          <w:p>
            <w:r>
              <w:rPr>
                <w:sz w:val="14"/>
              </w:rPr>
              <w:t>Pump model/failure-code queries</w:t>
            </w:r>
          </w:p>
        </w:tc>
        <w:tc>
          <w:tcPr>
            <w:tcW w:type="dxa" w:w="3485"/>
            <w:vAlign w:val="center"/>
          </w:tcPr>
          <w:p>
            <w:r>
              <w:rPr>
                <w:sz w:val="14"/>
              </w:rPr>
              <w:t>Target Precision/Recall</w:t>
            </w:r>
          </w:p>
        </w:tc>
      </w:tr>
      <w:tr>
        <w:tc>
          <w:tcPr>
            <w:tcW w:type="dxa" w:w="3485"/>
            <w:vAlign w:val="center"/>
          </w:tcPr>
          <w:p>
            <w:r>
              <w:rPr>
                <w:sz w:val="14"/>
              </w:rPr>
              <w:t>Semantic retrieval</w:t>
            </w:r>
          </w:p>
        </w:tc>
        <w:tc>
          <w:tcPr>
            <w:tcW w:type="dxa" w:w="3485"/>
            <w:vAlign w:val="center"/>
          </w:tcPr>
          <w:p>
            <w:r>
              <w:rPr>
                <w:sz w:val="14"/>
              </w:rPr>
              <w:t>ESP diagnostic questions</w:t>
            </w:r>
          </w:p>
        </w:tc>
        <w:tc>
          <w:tcPr>
            <w:tcW w:type="dxa" w:w="3485"/>
            <w:vAlign w:val="center"/>
          </w:tcPr>
          <w:p>
            <w:r>
              <w:rPr>
                <w:sz w:val="14"/>
              </w:rPr>
              <w:t>Target Recall/NDCG</w:t>
            </w:r>
          </w:p>
        </w:tc>
      </w:tr>
      <w:tr>
        <w:tc>
          <w:tcPr>
            <w:tcW w:type="dxa" w:w="3485"/>
            <w:vAlign w:val="center"/>
          </w:tcPr>
          <w:p>
            <w:r>
              <w:rPr>
                <w:sz w:val="14"/>
              </w:rPr>
              <w:t>Hybrid</w:t>
            </w:r>
          </w:p>
        </w:tc>
        <w:tc>
          <w:tcPr>
            <w:tcW w:type="dxa" w:w="3485"/>
            <w:vAlign w:val="center"/>
          </w:tcPr>
          <w:p>
            <w:r>
              <w:rPr>
                <w:sz w:val="14"/>
              </w:rPr>
              <w:t>Hybrid vs BM25-only/vector-only</w:t>
            </w:r>
          </w:p>
        </w:tc>
        <w:tc>
          <w:tcPr>
            <w:tcW w:type="dxa" w:w="3485"/>
            <w:vAlign w:val="center"/>
          </w:tcPr>
          <w:p>
            <w:r>
              <w:rPr>
                <w:sz w:val="14"/>
              </w:rPr>
              <w:t>Agreed improvement</w:t>
            </w:r>
          </w:p>
        </w:tc>
      </w:tr>
      <w:tr>
        <w:tc>
          <w:tcPr>
            <w:tcW w:type="dxa" w:w="3485"/>
            <w:vAlign w:val="center"/>
          </w:tcPr>
          <w:p>
            <w:r>
              <w:rPr>
                <w:sz w:val="14"/>
              </w:rPr>
              <w:t>Fault retrieval</w:t>
            </w:r>
          </w:p>
        </w:tc>
        <w:tc>
          <w:tcPr>
            <w:tcW w:type="dxa" w:w="3485"/>
            <w:vAlign w:val="center"/>
          </w:tcPr>
          <w:p>
            <w:r>
              <w:rPr>
                <w:sz w:val="14"/>
              </w:rPr>
              <w:t>Known fault patterns</w:t>
            </w:r>
          </w:p>
        </w:tc>
        <w:tc>
          <w:tcPr>
            <w:tcW w:type="dxa" w:w="3485"/>
            <w:vAlign w:val="center"/>
          </w:tcPr>
          <w:p>
            <w:r>
              <w:rPr>
                <w:sz w:val="14"/>
              </w:rPr>
              <w:t>Correct top-k</w:t>
            </w:r>
          </w:p>
        </w:tc>
      </w:tr>
      <w:tr>
        <w:tc>
          <w:tcPr>
            <w:tcW w:type="dxa" w:w="3485"/>
            <w:vAlign w:val="center"/>
          </w:tcPr>
          <w:p>
            <w:r>
              <w:rPr>
                <w:sz w:val="14"/>
              </w:rPr>
              <w:t>Case retrieval</w:t>
            </w:r>
          </w:p>
        </w:tc>
        <w:tc>
          <w:tcPr>
            <w:tcW w:type="dxa" w:w="3485"/>
            <w:vAlign w:val="center"/>
          </w:tcPr>
          <w:p>
            <w:r>
              <w:rPr>
                <w:sz w:val="14"/>
              </w:rPr>
              <w:t>Known historical cases</w:t>
            </w:r>
          </w:p>
        </w:tc>
        <w:tc>
          <w:tcPr>
            <w:tcW w:type="dxa" w:w="3485"/>
            <w:vAlign w:val="center"/>
          </w:tcPr>
          <w:p>
            <w:r>
              <w:rPr>
                <w:sz w:val="14"/>
              </w:rPr>
              <w:t>Expected case top-k</w:t>
            </w:r>
          </w:p>
        </w:tc>
      </w:tr>
      <w:tr>
        <w:tc>
          <w:tcPr>
            <w:tcW w:type="dxa" w:w="3485"/>
            <w:vAlign w:val="center"/>
          </w:tcPr>
          <w:p>
            <w:r>
              <w:rPr>
                <w:sz w:val="14"/>
              </w:rPr>
              <w:t>Authority</w:t>
            </w:r>
          </w:p>
        </w:tc>
        <w:tc>
          <w:tcPr>
            <w:tcW w:type="dxa" w:w="3485"/>
            <w:vAlign w:val="center"/>
          </w:tcPr>
          <w:p>
            <w:r>
              <w:rPr>
                <w:sz w:val="14"/>
              </w:rPr>
              <w:t>Contradictory sources</w:t>
            </w:r>
          </w:p>
        </w:tc>
        <w:tc>
          <w:tcPr>
            <w:tcW w:type="dxa" w:w="3485"/>
            <w:vAlign w:val="center"/>
          </w:tcPr>
          <w:p>
            <w:r>
              <w:rPr>
                <w:sz w:val="14"/>
              </w:rPr>
              <w:t>A&gt;B&gt;C&gt;D&gt;E&gt;F</w:t>
            </w:r>
          </w:p>
        </w:tc>
      </w:tr>
      <w:tr>
        <w:tc>
          <w:tcPr>
            <w:tcW w:type="dxa" w:w="3485"/>
            <w:vAlign w:val="center"/>
          </w:tcPr>
          <w:p>
            <w:r>
              <w:rPr>
                <w:sz w:val="14"/>
              </w:rPr>
              <w:t>Citation</w:t>
            </w:r>
          </w:p>
        </w:tc>
        <w:tc>
          <w:tcPr>
            <w:tcW w:type="dxa" w:w="3485"/>
            <w:vAlign w:val="center"/>
          </w:tcPr>
          <w:p>
            <w:r>
              <w:rPr>
                <w:sz w:val="14"/>
              </w:rPr>
              <w:t>Source/revision/page</w:t>
            </w:r>
          </w:p>
        </w:tc>
        <w:tc>
          <w:tcPr>
            <w:tcW w:type="dxa" w:w="3485"/>
            <w:vAlign w:val="center"/>
          </w:tcPr>
          <w:p>
            <w:r>
              <w:rPr>
                <w:sz w:val="14"/>
              </w:rPr>
              <w:t>Correct mapping</w:t>
            </w:r>
          </w:p>
        </w:tc>
      </w:tr>
      <w:tr>
        <w:tc>
          <w:tcPr>
            <w:tcW w:type="dxa" w:w="3485"/>
            <w:vAlign w:val="center"/>
          </w:tcPr>
          <w:p>
            <w:r>
              <w:rPr>
                <w:sz w:val="14"/>
              </w:rPr>
              <w:t>Tenant isolation</w:t>
            </w:r>
          </w:p>
        </w:tc>
        <w:tc>
          <w:tcPr>
            <w:tcW w:type="dxa" w:w="3485"/>
            <w:vAlign w:val="center"/>
          </w:tcPr>
          <w:p>
            <w:r>
              <w:rPr>
                <w:sz w:val="14"/>
              </w:rPr>
              <w:t>Cross-tenant attempts</w:t>
            </w:r>
          </w:p>
        </w:tc>
        <w:tc>
          <w:tcPr>
            <w:tcW w:type="dxa" w:w="3485"/>
            <w:vAlign w:val="center"/>
          </w:tcPr>
          <w:p>
            <w:r>
              <w:rPr>
                <w:sz w:val="14"/>
              </w:rPr>
              <w:t>Zero leakage</w:t>
            </w:r>
          </w:p>
        </w:tc>
      </w:tr>
      <w:tr>
        <w:tc>
          <w:tcPr>
            <w:tcW w:type="dxa" w:w="3485"/>
            <w:vAlign w:val="center"/>
          </w:tcPr>
          <w:p>
            <w:r>
              <w:rPr>
                <w:sz w:val="14"/>
              </w:rPr>
              <w:t>ACL</w:t>
            </w:r>
          </w:p>
        </w:tc>
        <w:tc>
          <w:tcPr>
            <w:tcW w:type="dxa" w:w="3485"/>
            <w:vAlign w:val="center"/>
          </w:tcPr>
          <w:p>
            <w:r>
              <w:rPr>
                <w:sz w:val="14"/>
              </w:rPr>
              <w:t>Unauthorized procedure</w:t>
            </w:r>
          </w:p>
        </w:tc>
        <w:tc>
          <w:tcPr>
            <w:tcW w:type="dxa" w:w="3485"/>
            <w:vAlign w:val="center"/>
          </w:tcPr>
          <w:p>
            <w:r>
              <w:rPr>
                <w:sz w:val="14"/>
              </w:rPr>
              <w:t>Blocked</w:t>
            </w:r>
          </w:p>
        </w:tc>
      </w:tr>
      <w:tr>
        <w:tc>
          <w:tcPr>
            <w:tcW w:type="dxa" w:w="3485"/>
            <w:vAlign w:val="center"/>
          </w:tcPr>
          <w:p>
            <w:r>
              <w:rPr>
                <w:sz w:val="14"/>
              </w:rPr>
              <w:t>Prompt injection</w:t>
            </w:r>
          </w:p>
        </w:tc>
        <w:tc>
          <w:tcPr>
            <w:tcW w:type="dxa" w:w="3485"/>
            <w:vAlign w:val="center"/>
          </w:tcPr>
          <w:p>
            <w:r>
              <w:rPr>
                <w:sz w:val="14"/>
              </w:rPr>
              <w:t>Malicious document content</w:t>
            </w:r>
          </w:p>
        </w:tc>
        <w:tc>
          <w:tcPr>
            <w:tcW w:type="dxa" w:w="3485"/>
            <w:vAlign w:val="center"/>
          </w:tcPr>
          <w:p>
            <w:r>
              <w:rPr>
                <w:sz w:val="14"/>
              </w:rPr>
              <w:t>No policy/tool change</w:t>
            </w:r>
          </w:p>
        </w:tc>
      </w:tr>
      <w:tr>
        <w:tc>
          <w:tcPr>
            <w:tcW w:type="dxa" w:w="3485"/>
            <w:vAlign w:val="center"/>
          </w:tcPr>
          <w:p>
            <w:r>
              <w:rPr>
                <w:sz w:val="14"/>
              </w:rPr>
              <w:t>Deprecation</w:t>
            </w:r>
          </w:p>
        </w:tc>
        <w:tc>
          <w:tcPr>
            <w:tcW w:type="dxa" w:w="3485"/>
            <w:vAlign w:val="center"/>
          </w:tcPr>
          <w:p>
            <w:r>
              <w:rPr>
                <w:sz w:val="14"/>
              </w:rPr>
              <w:t>Deprecated source retrieval</w:t>
            </w:r>
          </w:p>
        </w:tc>
        <w:tc>
          <w:tcPr>
            <w:tcW w:type="dxa" w:w="3485"/>
            <w:vAlign w:val="center"/>
          </w:tcPr>
          <w:p>
            <w:r>
              <w:rPr>
                <w:sz w:val="14"/>
              </w:rPr>
              <w:t>Suppressed/flagged</w:t>
            </w:r>
          </w:p>
        </w:tc>
      </w:tr>
    </w:tbl>
    <w:p/>
    <w:p>
      <w:pPr>
        <w:spacing w:after="80"/>
        <w:jc w:val="left"/>
      </w:pPr>
      <w:r>
        <w:rPr>
          <w:b w:val="0"/>
          <w:i w:val="0"/>
        </w:rPr>
        <w:t>Guidelines.pdf §22 requires the mock-question/playbook evaluation approach, including correct tool/evidence selection, numerical correctness, uncertainty and safe boundaries. [Guidelines.pdf §22, pp.30–32]</w:t>
      </w:r>
    </w:p>
    <w:p>
      <w:pPr>
        <w:pStyle w:val="Heading1"/>
      </w:pPr>
      <w:r>
        <w:t>18. Sprint 3.12 — Pilot Release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Task</w:t>
            </w:r>
          </w:p>
        </w:tc>
        <w:tc>
          <w:tcPr>
            <w:tcW w:type="dxa" w:w="3485"/>
            <w:shd w:fill="D9EAF7"/>
          </w:tcPr>
          <w:p>
            <w:r>
              <w:rPr>
                <w:b/>
                <w:sz w:val="14"/>
              </w:rPr>
              <w:t>Subtask</w:t>
            </w:r>
          </w:p>
        </w:tc>
        <w:tc>
          <w:tcPr>
            <w:tcW w:type="dxa" w:w="3485"/>
            <w:shd w:fill="D9EAF7"/>
          </w:tcPr>
          <w:p>
            <w:r>
              <w:rPr>
                <w:b/>
                <w:sz w:val="14"/>
              </w:rPr>
              <w:t>Exit</w:t>
            </w:r>
          </w:p>
        </w:tc>
      </w:tr>
      <w:tr>
        <w:tc>
          <w:tcPr>
            <w:tcW w:type="dxa" w:w="3485"/>
            <w:vAlign w:val="center"/>
          </w:tcPr>
          <w:p>
            <w:r>
              <w:rPr>
                <w:sz w:val="14"/>
              </w:rPr>
              <w:t>3.12.1</w:t>
            </w:r>
          </w:p>
        </w:tc>
        <w:tc>
          <w:tcPr>
            <w:tcW w:type="dxa" w:w="3485"/>
            <w:vAlign w:val="center"/>
          </w:tcPr>
          <w:p>
            <w:r>
              <w:rPr>
                <w:sz w:val="14"/>
              </w:rPr>
              <w:t>Freeze pilot corpus</w:t>
            </w:r>
          </w:p>
        </w:tc>
        <w:tc>
          <w:tcPr>
            <w:tcW w:type="dxa" w:w="3485"/>
            <w:vAlign w:val="center"/>
          </w:tcPr>
          <w:p>
            <w:r>
              <w:rPr>
                <w:sz w:val="14"/>
              </w:rPr>
              <w:t>Versioned manifest</w:t>
            </w:r>
          </w:p>
        </w:tc>
      </w:tr>
      <w:tr>
        <w:tc>
          <w:tcPr>
            <w:tcW w:type="dxa" w:w="3485"/>
            <w:vAlign w:val="center"/>
          </w:tcPr>
          <w:p>
            <w:r>
              <w:rPr>
                <w:sz w:val="14"/>
              </w:rPr>
              <w:t>3.12.2</w:t>
            </w:r>
          </w:p>
        </w:tc>
        <w:tc>
          <w:tcPr>
            <w:tcW w:type="dxa" w:w="3485"/>
            <w:vAlign w:val="center"/>
          </w:tcPr>
          <w:p>
            <w:r>
              <w:rPr>
                <w:sz w:val="14"/>
              </w:rPr>
              <w:t>Build indexes</w:t>
            </w:r>
          </w:p>
        </w:tc>
        <w:tc>
          <w:tcPr>
            <w:tcW w:type="dxa" w:w="3485"/>
            <w:vAlign w:val="center"/>
          </w:tcPr>
          <w:p>
            <w:r>
              <w:rPr>
                <w:sz w:val="14"/>
              </w:rPr>
              <w:t>Reproducible build</w:t>
            </w:r>
          </w:p>
        </w:tc>
      </w:tr>
      <w:tr>
        <w:tc>
          <w:tcPr>
            <w:tcW w:type="dxa" w:w="3485"/>
            <w:vAlign w:val="center"/>
          </w:tcPr>
          <w:p>
            <w:r>
              <w:rPr>
                <w:sz w:val="14"/>
              </w:rPr>
              <w:t>3.12.3</w:t>
            </w:r>
          </w:p>
        </w:tc>
        <w:tc>
          <w:tcPr>
            <w:tcW w:type="dxa" w:w="3485"/>
            <w:vAlign w:val="center"/>
          </w:tcPr>
          <w:p>
            <w:r>
              <w:rPr>
                <w:sz w:val="14"/>
              </w:rPr>
              <w:t>Deploy Knowledge Service</w:t>
            </w:r>
          </w:p>
        </w:tc>
        <w:tc>
          <w:tcPr>
            <w:tcW w:type="dxa" w:w="3485"/>
            <w:vAlign w:val="center"/>
          </w:tcPr>
          <w:p>
            <w:r>
              <w:rPr>
                <w:sz w:val="14"/>
              </w:rPr>
              <w:t>Health/API tests</w:t>
            </w:r>
          </w:p>
        </w:tc>
      </w:tr>
      <w:tr>
        <w:tc>
          <w:tcPr>
            <w:tcW w:type="dxa" w:w="3485"/>
            <w:vAlign w:val="center"/>
          </w:tcPr>
          <w:p>
            <w:r>
              <w:rPr>
                <w:sz w:val="14"/>
              </w:rPr>
              <w:t>3.12.4</w:t>
            </w:r>
          </w:p>
        </w:tc>
        <w:tc>
          <w:tcPr>
            <w:tcW w:type="dxa" w:w="3485"/>
            <w:vAlign w:val="center"/>
          </w:tcPr>
          <w:p>
            <w:r>
              <w:rPr>
                <w:sz w:val="14"/>
              </w:rPr>
              <w:t>Agent integration</w:t>
            </w:r>
          </w:p>
        </w:tc>
        <w:tc>
          <w:tcPr>
            <w:tcW w:type="dxa" w:w="3485"/>
            <w:vAlign w:val="center"/>
          </w:tcPr>
          <w:p>
            <w:r>
              <w:rPr>
                <w:sz w:val="14"/>
              </w:rPr>
              <w:t>At least one diagnostic objective uses KB</w:t>
            </w:r>
          </w:p>
        </w:tc>
      </w:tr>
      <w:tr>
        <w:tc>
          <w:tcPr>
            <w:tcW w:type="dxa" w:w="3485"/>
            <w:vAlign w:val="center"/>
          </w:tcPr>
          <w:p>
            <w:r>
              <w:rPr>
                <w:sz w:val="14"/>
              </w:rPr>
              <w:t>3.12.5</w:t>
            </w:r>
          </w:p>
        </w:tc>
        <w:tc>
          <w:tcPr>
            <w:tcW w:type="dxa" w:w="3485"/>
            <w:vAlign w:val="center"/>
          </w:tcPr>
          <w:p>
            <w:r>
              <w:rPr>
                <w:sz w:val="14"/>
              </w:rPr>
              <w:t>Evidence Pack linkage</w:t>
            </w:r>
          </w:p>
        </w:tc>
        <w:tc>
          <w:tcPr>
            <w:tcW w:type="dxa" w:w="3485"/>
            <w:vAlign w:val="center"/>
          </w:tcPr>
          <w:p>
            <w:r>
              <w:rPr>
                <w:sz w:val="14"/>
              </w:rPr>
              <w:t>Source/provenance retained</w:t>
            </w:r>
          </w:p>
        </w:tc>
      </w:tr>
      <w:tr>
        <w:tc>
          <w:tcPr>
            <w:tcW w:type="dxa" w:w="3485"/>
            <w:vAlign w:val="center"/>
          </w:tcPr>
          <w:p>
            <w:r>
              <w:rPr>
                <w:sz w:val="14"/>
              </w:rPr>
              <w:t>3.12.6</w:t>
            </w:r>
          </w:p>
        </w:tc>
        <w:tc>
          <w:tcPr>
            <w:tcW w:type="dxa" w:w="3485"/>
            <w:vAlign w:val="center"/>
          </w:tcPr>
          <w:p>
            <w:r>
              <w:rPr>
                <w:sz w:val="14"/>
              </w:rPr>
              <w:t>Benchmark report</w:t>
            </w:r>
          </w:p>
        </w:tc>
        <w:tc>
          <w:tcPr>
            <w:tcW w:type="dxa" w:w="3485"/>
            <w:vAlign w:val="center"/>
          </w:tcPr>
          <w:p>
            <w:r>
              <w:rPr>
                <w:sz w:val="14"/>
              </w:rPr>
              <w:t>Retrieval/fault/citation/authority metrics</w:t>
            </w:r>
          </w:p>
        </w:tc>
      </w:tr>
      <w:tr>
        <w:tc>
          <w:tcPr>
            <w:tcW w:type="dxa" w:w="3485"/>
            <w:vAlign w:val="center"/>
          </w:tcPr>
          <w:p>
            <w:r>
              <w:rPr>
                <w:sz w:val="14"/>
              </w:rPr>
              <w:t>3.12.7</w:t>
            </w:r>
          </w:p>
        </w:tc>
        <w:tc>
          <w:tcPr>
            <w:tcW w:type="dxa" w:w="3485"/>
            <w:vAlign w:val="center"/>
          </w:tcPr>
          <w:p>
            <w:r>
              <w:rPr>
                <w:sz w:val="14"/>
              </w:rPr>
              <w:t>Rollback</w:t>
            </w:r>
          </w:p>
        </w:tc>
        <w:tc>
          <w:tcPr>
            <w:tcW w:type="dxa" w:w="3485"/>
            <w:vAlign w:val="center"/>
          </w:tcPr>
          <w:p>
            <w:r>
              <w:rPr>
                <w:sz w:val="14"/>
              </w:rPr>
              <w:t>Previous KB version restorable</w:t>
            </w:r>
          </w:p>
        </w:tc>
      </w:tr>
    </w:tbl>
    <w:p/>
    <w:p>
      <w:pPr>
        <w:pStyle w:val="Heading1"/>
      </w:pPr>
      <w:r>
        <w:t>19. Phase 3 Exit Criteria</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Gate</w:t>
            </w:r>
          </w:p>
        </w:tc>
        <w:tc>
          <w:tcPr>
            <w:tcW w:type="dxa" w:w="5227"/>
            <w:shd w:fill="D9EAF7"/>
          </w:tcPr>
          <w:p>
            <w:r>
              <w:rPr>
                <w:b/>
                <w:sz w:val="14"/>
              </w:rPr>
              <w:t>Pass condition</w:t>
            </w:r>
          </w:p>
        </w:tc>
      </w:tr>
      <w:tr>
        <w:tc>
          <w:tcPr>
            <w:tcW w:type="dxa" w:w="5227"/>
            <w:vAlign w:val="center"/>
          </w:tcPr>
          <w:p>
            <w:r>
              <w:rPr>
                <w:sz w:val="14"/>
              </w:rPr>
              <w:t>Corpus</w:t>
            </w:r>
          </w:p>
        </w:tc>
        <w:tc>
          <w:tcPr>
            <w:tcW w:type="dxa" w:w="5227"/>
            <w:vAlign w:val="center"/>
          </w:tcPr>
          <w:p>
            <w:r>
              <w:rPr>
                <w:sz w:val="14"/>
              </w:rPr>
              <w:t>Approved pilot corpus + source registry</w:t>
            </w:r>
          </w:p>
        </w:tc>
      </w:tr>
      <w:tr>
        <w:tc>
          <w:tcPr>
            <w:tcW w:type="dxa" w:w="5227"/>
            <w:vAlign w:val="center"/>
          </w:tcPr>
          <w:p>
            <w:r>
              <w:rPr>
                <w:sz w:val="14"/>
              </w:rPr>
              <w:t>Taxonomy</w:t>
            </w:r>
          </w:p>
        </w:tc>
        <w:tc>
          <w:tcPr>
            <w:tcW w:type="dxa" w:w="5227"/>
            <w:vAlign w:val="center"/>
          </w:tcPr>
          <w:p>
            <w:r>
              <w:rPr>
                <w:sz w:val="14"/>
              </w:rPr>
              <w:t>100% pilot sources classified</w:t>
            </w:r>
          </w:p>
        </w:tc>
      </w:tr>
      <w:tr>
        <w:tc>
          <w:tcPr>
            <w:tcW w:type="dxa" w:w="5227"/>
            <w:vAlign w:val="center"/>
          </w:tcPr>
          <w:p>
            <w:r>
              <w:rPr>
                <w:sz w:val="14"/>
              </w:rPr>
              <w:t>Authority</w:t>
            </w:r>
          </w:p>
        </w:tc>
        <w:tc>
          <w:tcPr>
            <w:tcW w:type="dxa" w:w="5227"/>
            <w:vAlign w:val="center"/>
          </w:tcPr>
          <w:p>
            <w:r>
              <w:rPr>
                <w:sz w:val="14"/>
              </w:rPr>
              <w:t>100% pilot sources A–F classified</w:t>
            </w:r>
          </w:p>
        </w:tc>
      </w:tr>
      <w:tr>
        <w:tc>
          <w:tcPr>
            <w:tcW w:type="dxa" w:w="5227"/>
            <w:vAlign w:val="center"/>
          </w:tcPr>
          <w:p>
            <w:r>
              <w:rPr>
                <w:sz w:val="14"/>
              </w:rPr>
              <w:t>Provenance</w:t>
            </w:r>
          </w:p>
        </w:tc>
        <w:tc>
          <w:tcPr>
            <w:tcW w:type="dxa" w:w="5227"/>
            <w:vAlign w:val="center"/>
          </w:tcPr>
          <w:p>
            <w:r>
              <w:rPr>
                <w:sz w:val="14"/>
              </w:rPr>
              <w:t>Source/revision/page/hash traceable</w:t>
            </w:r>
          </w:p>
        </w:tc>
      </w:tr>
      <w:tr>
        <w:tc>
          <w:tcPr>
            <w:tcW w:type="dxa" w:w="5227"/>
            <w:vAlign w:val="center"/>
          </w:tcPr>
          <w:p>
            <w:r>
              <w:rPr>
                <w:sz w:val="14"/>
              </w:rPr>
              <w:t>Fault library</w:t>
            </w:r>
          </w:p>
        </w:tc>
        <w:tc>
          <w:tcPr>
            <w:tcW w:type="dxa" w:w="5227"/>
            <w:vAlign w:val="center"/>
          </w:tcPr>
          <w:p>
            <w:r>
              <w:rPr>
                <w:sz w:val="14"/>
              </w:rPr>
              <w:t>Pilot structured fault objects approved</w:t>
            </w:r>
          </w:p>
        </w:tc>
      </w:tr>
      <w:tr>
        <w:tc>
          <w:tcPr>
            <w:tcW w:type="dxa" w:w="5227"/>
            <w:vAlign w:val="center"/>
          </w:tcPr>
          <w:p>
            <w:r>
              <w:rPr>
                <w:sz w:val="14"/>
              </w:rPr>
              <w:t>Case library</w:t>
            </w:r>
          </w:p>
        </w:tc>
        <w:tc>
          <w:tcPr>
            <w:tcW w:type="dxa" w:w="5227"/>
            <w:vAlign w:val="center"/>
          </w:tcPr>
          <w:p>
            <w:r>
              <w:rPr>
                <w:sz w:val="14"/>
              </w:rPr>
              <w:t>Pilot cases approved where available</w:t>
            </w:r>
          </w:p>
        </w:tc>
      </w:tr>
      <w:tr>
        <w:tc>
          <w:tcPr>
            <w:tcW w:type="dxa" w:w="5227"/>
            <w:vAlign w:val="center"/>
          </w:tcPr>
          <w:p>
            <w:r>
              <w:rPr>
                <w:sz w:val="14"/>
              </w:rPr>
              <w:t>Curves</w:t>
            </w:r>
          </w:p>
        </w:tc>
        <w:tc>
          <w:tcPr>
            <w:tcW w:type="dxa" w:w="5227"/>
            <w:vAlign w:val="center"/>
          </w:tcPr>
          <w:p>
            <w:r>
              <w:rPr>
                <w:sz w:val="14"/>
              </w:rPr>
              <w:t>Target pump models have exact curve refs</w:t>
            </w:r>
          </w:p>
        </w:tc>
      </w:tr>
      <w:tr>
        <w:tc>
          <w:tcPr>
            <w:tcW w:type="dxa" w:w="5227"/>
            <w:vAlign w:val="center"/>
          </w:tcPr>
          <w:p>
            <w:r>
              <w:rPr>
                <w:sz w:val="14"/>
              </w:rPr>
              <w:t>Lexical</w:t>
            </w:r>
          </w:p>
        </w:tc>
        <w:tc>
          <w:tcPr>
            <w:tcW w:type="dxa" w:w="5227"/>
            <w:vAlign w:val="center"/>
          </w:tcPr>
          <w:p>
            <w:r>
              <w:rPr>
                <w:sz w:val="14"/>
              </w:rPr>
              <w:t>Exact identifier retrieval works</w:t>
            </w:r>
          </w:p>
        </w:tc>
      </w:tr>
      <w:tr>
        <w:tc>
          <w:tcPr>
            <w:tcW w:type="dxa" w:w="5227"/>
            <w:vAlign w:val="center"/>
          </w:tcPr>
          <w:p>
            <w:r>
              <w:rPr>
                <w:sz w:val="14"/>
              </w:rPr>
              <w:t>Dense</w:t>
            </w:r>
          </w:p>
        </w:tc>
        <w:tc>
          <w:tcPr>
            <w:tcW w:type="dxa" w:w="5227"/>
            <w:vAlign w:val="center"/>
          </w:tcPr>
          <w:p>
            <w:r>
              <w:rPr>
                <w:sz w:val="14"/>
              </w:rPr>
              <w:t>Semantic diagnosis retrieval works</w:t>
            </w:r>
          </w:p>
        </w:tc>
      </w:tr>
      <w:tr>
        <w:tc>
          <w:tcPr>
            <w:tcW w:type="dxa" w:w="5227"/>
            <w:vAlign w:val="center"/>
          </w:tcPr>
          <w:p>
            <w:r>
              <w:rPr>
                <w:sz w:val="14"/>
              </w:rPr>
              <w:t>Hybrid</w:t>
            </w:r>
          </w:p>
        </w:tc>
        <w:tc>
          <w:tcPr>
            <w:tcW w:type="dxa" w:w="5227"/>
            <w:vAlign w:val="center"/>
          </w:tcPr>
          <w:p>
            <w:r>
              <w:rPr>
                <w:sz w:val="14"/>
              </w:rPr>
              <w:t>Fusion + rerank benchmark passes</w:t>
            </w:r>
          </w:p>
        </w:tc>
      </w:tr>
      <w:tr>
        <w:tc>
          <w:tcPr>
            <w:tcW w:type="dxa" w:w="5227"/>
            <w:vAlign w:val="center"/>
          </w:tcPr>
          <w:p>
            <w:r>
              <w:rPr>
                <w:sz w:val="14"/>
              </w:rPr>
              <w:t>Authority conflicts</w:t>
            </w:r>
          </w:p>
        </w:tc>
        <w:tc>
          <w:tcPr>
            <w:tcW w:type="dxa" w:w="5227"/>
            <w:vAlign w:val="center"/>
          </w:tcPr>
          <w:p>
            <w:r>
              <w:rPr>
                <w:sz w:val="14"/>
              </w:rPr>
              <w:t>Conflict policy passes</w:t>
            </w:r>
          </w:p>
        </w:tc>
      </w:tr>
      <w:tr>
        <w:tc>
          <w:tcPr>
            <w:tcW w:type="dxa" w:w="5227"/>
            <w:vAlign w:val="center"/>
          </w:tcPr>
          <w:p>
            <w:r>
              <w:rPr>
                <w:sz w:val="14"/>
              </w:rPr>
              <w:t>Tenant isolation</w:t>
            </w:r>
          </w:p>
        </w:tc>
        <w:tc>
          <w:tcPr>
            <w:tcW w:type="dxa" w:w="5227"/>
            <w:vAlign w:val="center"/>
          </w:tcPr>
          <w:p>
            <w:r>
              <w:rPr>
                <w:sz w:val="14"/>
              </w:rPr>
              <w:t>Zero cross-tenant leakage</w:t>
            </w:r>
          </w:p>
        </w:tc>
      </w:tr>
      <w:tr>
        <w:tc>
          <w:tcPr>
            <w:tcW w:type="dxa" w:w="5227"/>
            <w:vAlign w:val="center"/>
          </w:tcPr>
          <w:p>
            <w:r>
              <w:rPr>
                <w:sz w:val="14"/>
              </w:rPr>
              <w:t>Knowledge Service</w:t>
            </w:r>
          </w:p>
        </w:tc>
        <w:tc>
          <w:tcPr>
            <w:tcW w:type="dxa" w:w="5227"/>
            <w:vAlign w:val="center"/>
          </w:tcPr>
          <w:p>
            <w:r>
              <w:rPr>
                <w:sz w:val="14"/>
              </w:rPr>
              <w:t>Stable API/tool contract</w:t>
            </w:r>
          </w:p>
        </w:tc>
      </w:tr>
      <w:tr>
        <w:tc>
          <w:tcPr>
            <w:tcW w:type="dxa" w:w="5227"/>
            <w:vAlign w:val="center"/>
          </w:tcPr>
          <w:p>
            <w:r>
              <w:rPr>
                <w:sz w:val="14"/>
              </w:rPr>
              <w:t>Agent integration</w:t>
            </w:r>
          </w:p>
        </w:tc>
        <w:tc>
          <w:tcPr>
            <w:tcW w:type="dxa" w:w="5227"/>
            <w:vAlign w:val="center"/>
          </w:tcPr>
          <w:p>
            <w:r>
              <w:rPr>
                <w:sz w:val="14"/>
              </w:rPr>
              <w:t>At least one diagnostic flow returns grounded KB evidence</w:t>
            </w:r>
          </w:p>
        </w:tc>
      </w:tr>
      <w:tr>
        <w:tc>
          <w:tcPr>
            <w:tcW w:type="dxa" w:w="5227"/>
            <w:vAlign w:val="center"/>
          </w:tcPr>
          <w:p>
            <w:r>
              <w:rPr>
                <w:sz w:val="14"/>
              </w:rPr>
              <w:t>Audit</w:t>
            </w:r>
          </w:p>
        </w:tc>
        <w:tc>
          <w:tcPr>
            <w:tcW w:type="dxa" w:w="5227"/>
            <w:vAlign w:val="center"/>
          </w:tcPr>
          <w:p>
            <w:r>
              <w:rPr>
                <w:sz w:val="14"/>
              </w:rPr>
              <w:t>Evidence traceable</w:t>
            </w:r>
          </w:p>
        </w:tc>
      </w:tr>
      <w:tr>
        <w:tc>
          <w:tcPr>
            <w:tcW w:type="dxa" w:w="5227"/>
            <w:vAlign w:val="center"/>
          </w:tcPr>
          <w:p>
            <w:r>
              <w:rPr>
                <w:sz w:val="14"/>
              </w:rPr>
              <w:t>Rollback</w:t>
            </w:r>
          </w:p>
        </w:tc>
        <w:tc>
          <w:tcPr>
            <w:tcW w:type="dxa" w:w="5227"/>
            <w:vAlign w:val="center"/>
          </w:tcPr>
          <w:p>
            <w:r>
              <w:rPr>
                <w:sz w:val="14"/>
              </w:rPr>
              <w:t>Previous release restorable</w:t>
            </w:r>
          </w:p>
        </w:tc>
      </w:tr>
    </w:tbl>
    <w:p/>
    <w:p>
      <w:pPr>
        <w:pStyle w:val="Heading1"/>
      </w:pPr>
      <w:r>
        <w:t>20. Definition of Done</w:t>
      </w:r>
    </w:p>
    <w:p>
      <w:pPr>
        <w:pStyle w:val="ListBullet"/>
        <w:spacing w:after="20"/>
      </w:pPr>
      <w:r>
        <w:t>KB is a governed evidence system, not just a folder of PDFs.</w:t>
      </w:r>
    </w:p>
    <w:p>
      <w:pPr>
        <w:pStyle w:val="ListBullet"/>
        <w:spacing w:after="20"/>
      </w:pPr>
      <w:r>
        <w:t>All published sources carry authority, scope, provenance and lifecycle state.</w:t>
      </w:r>
    </w:p>
    <w:p>
      <w:pPr>
        <w:pStyle w:val="ListBullet"/>
        <w:spacing w:after="20"/>
      </w:pPr>
      <w:r>
        <w:t>Vector-only retrieval is not the production retrieval strategy.</w:t>
      </w:r>
    </w:p>
    <w:p>
      <w:pPr>
        <w:pStyle w:val="ListBullet"/>
        <w:spacing w:after="20"/>
      </w:pPr>
      <w:r>
        <w:t>Fault knowledge exists as structured objects in addition to source documents.</w:t>
      </w:r>
    </w:p>
    <w:p>
      <w:pPr>
        <w:pStyle w:val="ListBullet"/>
        <w:spacing w:after="20"/>
      </w:pPr>
      <w:r>
        <w:t>Historical cases retain confirmed cause, action and outcome.</w:t>
      </w:r>
    </w:p>
    <w:p>
      <w:pPr>
        <w:pStyle w:val="ListBullet"/>
        <w:spacing w:after="20"/>
      </w:pPr>
      <w:r>
        <w:t>Pump/equipment references support exact lookup and source traceability.</w:t>
      </w:r>
    </w:p>
    <w:p>
      <w:pPr>
        <w:pStyle w:val="ListBullet"/>
        <w:spacing w:after="20"/>
      </w:pPr>
      <w:r>
        <w:t>Knowledge Service exposes stable and testable contracts.</w:t>
      </w:r>
    </w:p>
    <w:p>
      <w:pPr>
        <w:pStyle w:val="ListBullet"/>
        <w:spacing w:after="20"/>
      </w:pPr>
      <w:r>
        <w:t>Agent accesses KB only through typed tools/services.</w:t>
      </w:r>
    </w:p>
    <w:p>
      <w:pPr>
        <w:pStyle w:val="ListBullet"/>
        <w:spacing w:after="20"/>
      </w:pPr>
      <w:r>
        <w:t>Tenant ACL and document-as-data/prompt-injection controls are implemented.</w:t>
      </w:r>
    </w:p>
    <w:p>
      <w:pPr>
        <w:pStyle w:val="ListBullet"/>
        <w:spacing w:after="20"/>
      </w:pPr>
      <w:r>
        <w:t>KB/index versions are reproducible and rollbackable.</w:t>
      </w:r>
    </w:p>
    <w:p>
      <w:pPr>
        <w:pStyle w:val="ListBullet"/>
        <w:spacing w:after="20"/>
      </w:pPr>
      <w:r>
        <w:t>Retrieval/fault/citation/authority benchmarks are recorded before publication.</w:t>
      </w:r>
    </w:p>
    <w:p>
      <w:pPr>
        <w:pStyle w:val="Heading1"/>
      </w:pPr>
      <w:r>
        <w:t>21. What Phase 3 Hands to Later Phases</w:t>
      </w:r>
    </w:p>
    <w:p>
      <w:pPr>
        <w:ind w:left="259" w:right="259"/>
      </w:pPr>
      <w:r>
        <w:rPr>
          <w:rFonts w:ascii="Consolas" w:hAnsi="Consolas"/>
          <w:sz w:val="14"/>
        </w:rPr>
        <w:t>PHASE 3 OUTPUT</w:t>
        <w:br/>
      </w:r>
      <w:r>
        <w:rPr>
          <w:rFonts w:ascii="Consolas" w:hAnsi="Consolas"/>
          <w:sz w:val="14"/>
        </w:rPr>
        <w:t xml:space="preserve">     |</w:t>
        <w:br/>
      </w:r>
      <w:r>
        <w:rPr>
          <w:rFonts w:ascii="Consolas" w:hAnsi="Consolas"/>
          <w:sz w:val="14"/>
        </w:rPr>
        <w:t xml:space="preserve">     +--&gt; Phase 4 Objective Layer</w:t>
        <w:br/>
      </w:r>
      <w:r>
        <w:rPr>
          <w:rFonts w:ascii="Consolas" w:hAnsi="Consolas"/>
          <w:sz w:val="14"/>
        </w:rPr>
        <w:t xml:space="preserve">     |       Objective → required KB evidence</w:t>
        <w:br/>
      </w:r>
      <w:r>
        <w:rPr>
          <w:rFonts w:ascii="Consolas" w:hAnsi="Consolas"/>
          <w:sz w:val="14"/>
        </w:rPr>
        <w:t xml:space="preserve">     |</w:t>
        <w:br/>
      </w:r>
      <w:r>
        <w:rPr>
          <w:rFonts w:ascii="Consolas" w:hAnsi="Consolas"/>
          <w:sz w:val="14"/>
        </w:rPr>
        <w:t xml:space="preserve">     +--&gt; Phase 5 Tool Layer</w:t>
        <w:br/>
      </w:r>
      <w:r>
        <w:rPr>
          <w:rFonts w:ascii="Consolas" w:hAnsi="Consolas"/>
          <w:sz w:val="14"/>
        </w:rPr>
        <w:t xml:space="preserve">     |       knowledge.search / fault / case / procedure</w:t>
        <w:br/>
      </w:r>
      <w:r>
        <w:rPr>
          <w:rFonts w:ascii="Consolas" w:hAnsi="Consolas"/>
          <w:sz w:val="14"/>
        </w:rPr>
        <w:t xml:space="preserve">     |</w:t>
        <w:br/>
      </w:r>
      <w:r>
        <w:rPr>
          <w:rFonts w:ascii="Consolas" w:hAnsi="Consolas"/>
          <w:sz w:val="14"/>
        </w:rPr>
        <w:t xml:space="preserve">     +--&gt; Phase 6 LangGraph</w:t>
        <w:br/>
      </w:r>
      <w:r>
        <w:rPr>
          <w:rFonts w:ascii="Consolas" w:hAnsi="Consolas"/>
          <w:sz w:val="14"/>
        </w:rPr>
        <w:t xml:space="preserve">     |       Knowledge Agent subgraph</w:t>
        <w:br/>
      </w:r>
      <w:r>
        <w:rPr>
          <w:rFonts w:ascii="Consolas" w:hAnsi="Consolas"/>
          <w:sz w:val="14"/>
        </w:rPr>
        <w:t xml:space="preserve">     |</w:t>
        <w:br/>
      </w:r>
      <w:r>
        <w:rPr>
          <w:rFonts w:ascii="Consolas" w:hAnsi="Consolas"/>
          <w:sz w:val="14"/>
        </w:rPr>
        <w:t xml:space="preserve">     +--&gt; Phase 7 Evidence Pack</w:t>
        <w:br/>
      </w:r>
      <w:r>
        <w:rPr>
          <w:rFonts w:ascii="Consolas" w:hAnsi="Consolas"/>
          <w:sz w:val="14"/>
        </w:rPr>
        <w:t xml:space="preserve">     |       source + authority + provenance</w:t>
        <w:br/>
      </w:r>
      <w:r>
        <w:rPr>
          <w:rFonts w:ascii="Consolas" w:hAnsi="Consolas"/>
          <w:sz w:val="14"/>
        </w:rPr>
        <w:t xml:space="preserve">     |</w:t>
        <w:br/>
      </w:r>
      <w:r>
        <w:rPr>
          <w:rFonts w:ascii="Consolas" w:hAnsi="Consolas"/>
          <w:sz w:val="14"/>
        </w:rPr>
        <w:t xml:space="preserve">     +--&gt; Phase 11 Validation</w:t>
        <w:br/>
      </w:r>
      <w:r>
        <w:rPr>
          <w:rFonts w:ascii="Consolas" w:hAnsi="Consolas"/>
          <w:sz w:val="14"/>
        </w:rPr>
        <w:t xml:space="preserve">             retrieval / grounding / citation benchmarks</w:t>
        <w:br/>
      </w:r>
    </w:p>
    <w:p/>
    <w:p>
      <w:pPr>
        <w:pStyle w:val="Heading1"/>
      </w:pPr>
      <w:r>
        <w:t>22. Immediate Execution Order</w:t>
      </w:r>
    </w:p>
    <w:p>
      <w:pPr>
        <w:ind w:left="259" w:right="259"/>
      </w:pPr>
      <w:r>
        <w:rPr>
          <w:rFonts w:ascii="Consolas" w:hAnsi="Consolas"/>
          <w:sz w:val="14"/>
        </w:rPr>
        <w:t>1. Freeze taxonomy + domain + authority + metadata</w:t>
        <w:br/>
      </w:r>
      <w:r>
        <w:rPr>
          <w:rFonts w:ascii="Consolas" w:hAnsi="Consolas"/>
          <w:sz w:val="14"/>
        </w:rPr>
        <w:t>2. Register all current sources</w:t>
        <w:br/>
      </w:r>
      <w:r>
        <w:rPr>
          <w:rFonts w:ascii="Consolas" w:hAnsi="Consolas"/>
          <w:sz w:val="14"/>
        </w:rPr>
        <w:t>3. Acquire P0 corpus</w:t>
        <w:br/>
      </w:r>
      <w:r>
        <w:rPr>
          <w:rFonts w:ascii="Consolas" w:hAnsi="Consolas"/>
          <w:sz w:val="14"/>
        </w:rPr>
        <w:t>4. Build raw/object storage</w:t>
        <w:br/>
      </w:r>
      <w:r>
        <w:rPr>
          <w:rFonts w:ascii="Consolas" w:hAnsi="Consolas"/>
          <w:sz w:val="14"/>
        </w:rPr>
        <w:t>5. Build parser + normalizer</w:t>
        <w:br/>
      </w:r>
      <w:r>
        <w:rPr>
          <w:rFonts w:ascii="Consolas" w:hAnsi="Consolas"/>
          <w:sz w:val="14"/>
        </w:rPr>
        <w:t>6. Build metadata/authority pipeline</w:t>
        <w:br/>
      </w:r>
      <w:r>
        <w:rPr>
          <w:rFonts w:ascii="Consolas" w:hAnsi="Consolas"/>
          <w:sz w:val="14"/>
        </w:rPr>
        <w:t>7. Build fault and case schemas</w:t>
        <w:br/>
      </w:r>
      <w:r>
        <w:rPr>
          <w:rFonts w:ascii="Consolas" w:hAnsi="Consolas"/>
          <w:sz w:val="14"/>
        </w:rPr>
        <w:t>8. Extract pilot fault objects/cases</w:t>
        <w:br/>
      </w:r>
      <w:r>
        <w:rPr>
          <w:rFonts w:ascii="Consolas" w:hAnsi="Consolas"/>
          <w:sz w:val="14"/>
        </w:rPr>
        <w:t>9. Chunk documents</w:t>
        <w:br/>
      </w:r>
      <w:r>
        <w:rPr>
          <w:rFonts w:ascii="Consolas" w:hAnsi="Consolas"/>
          <w:sz w:val="14"/>
        </w:rPr>
        <w:t>10. Build BM25/lexical index</w:t>
        <w:br/>
      </w:r>
      <w:r>
        <w:rPr>
          <w:rFonts w:ascii="Consolas" w:hAnsi="Consolas"/>
          <w:sz w:val="14"/>
        </w:rPr>
        <w:t>11. Build embeddings/vector index</w:t>
        <w:br/>
      </w:r>
      <w:r>
        <w:rPr>
          <w:rFonts w:ascii="Consolas" w:hAnsi="Consolas"/>
          <w:sz w:val="14"/>
        </w:rPr>
        <w:t>12. Add case similarity</w:t>
        <w:br/>
      </w:r>
      <w:r>
        <w:rPr>
          <w:rFonts w:ascii="Consolas" w:hAnsi="Consolas"/>
          <w:sz w:val="14"/>
        </w:rPr>
        <w:t>13. Fuse + rerank</w:t>
        <w:br/>
      </w:r>
      <w:r>
        <w:rPr>
          <w:rFonts w:ascii="Consolas" w:hAnsi="Consolas"/>
          <w:sz w:val="14"/>
        </w:rPr>
        <w:t>14. Add authority/ACL filtering</w:t>
        <w:br/>
      </w:r>
      <w:r>
        <w:rPr>
          <w:rFonts w:ascii="Consolas" w:hAnsi="Consolas"/>
          <w:sz w:val="14"/>
        </w:rPr>
        <w:t>15. Expose Knowledge Service</w:t>
        <w:br/>
      </w:r>
      <w:r>
        <w:rPr>
          <w:rFonts w:ascii="Consolas" w:hAnsi="Consolas"/>
          <w:sz w:val="14"/>
        </w:rPr>
        <w:t>16. Expose Agent tools</w:t>
        <w:br/>
      </w:r>
      <w:r>
        <w:rPr>
          <w:rFonts w:ascii="Consolas" w:hAnsi="Consolas"/>
          <w:sz w:val="14"/>
        </w:rPr>
        <w:t>17. Connect Evidence Pack</w:t>
        <w:br/>
      </w:r>
      <w:r>
        <w:rPr>
          <w:rFonts w:ascii="Consolas" w:hAnsi="Consolas"/>
          <w:sz w:val="14"/>
        </w:rPr>
        <w:t>18. Run evaluation/security tests</w:t>
        <w:br/>
      </w:r>
      <w:r>
        <w:rPr>
          <w:rFonts w:ascii="Consolas" w:hAnsi="Consolas"/>
          <w:sz w:val="14"/>
        </w:rPr>
        <w:t>19. Freeze KB v1</w:t>
        <w:br/>
      </w:r>
    </w:p>
    <w:p/>
    <w:p>
      <w:pPr>
        <w:pStyle w:val="Heading1"/>
      </w:pPr>
      <w:r>
        <w:t>23. Guideline Traceability</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Item</w:t>
            </w:r>
          </w:p>
        </w:tc>
        <w:tc>
          <w:tcPr>
            <w:tcW w:type="dxa" w:w="5227"/>
            <w:shd w:fill="D9EAF7"/>
          </w:tcPr>
          <w:p>
            <w:r>
              <w:rPr>
                <w:b/>
                <w:sz w:val="14"/>
              </w:rPr>
              <w:t>Guidelines.pdf source</w:t>
            </w:r>
          </w:p>
        </w:tc>
      </w:tr>
      <w:tr>
        <w:tc>
          <w:tcPr>
            <w:tcW w:type="dxa" w:w="5227"/>
            <w:vAlign w:val="center"/>
          </w:tcPr>
          <w:p>
            <w:r>
              <w:rPr>
                <w:sz w:val="14"/>
              </w:rPr>
              <w:t>Evidence precedence</w:t>
            </w:r>
          </w:p>
        </w:tc>
        <w:tc>
          <w:tcPr>
            <w:tcW w:type="dxa" w:w="5227"/>
            <w:vAlign w:val="center"/>
          </w:tcPr>
          <w:p>
            <w:r>
              <w:rPr>
                <w:sz w:val="14"/>
              </w:rPr>
              <w:t>§3.1, pp.6–7</w:t>
            </w:r>
          </w:p>
        </w:tc>
      </w:tr>
      <w:tr>
        <w:tc>
          <w:tcPr>
            <w:tcW w:type="dxa" w:w="5227"/>
            <w:vAlign w:val="center"/>
          </w:tcPr>
          <w:p>
            <w:r>
              <w:rPr>
                <w:sz w:val="14"/>
              </w:rPr>
              <w:t>KB categories</w:t>
            </w:r>
          </w:p>
        </w:tc>
        <w:tc>
          <w:tcPr>
            <w:tcW w:type="dxa" w:w="5227"/>
            <w:vAlign w:val="center"/>
          </w:tcPr>
          <w:p>
            <w:r>
              <w:rPr>
                <w:sz w:val="14"/>
              </w:rPr>
              <w:t>§10.1, pp.14–15</w:t>
            </w:r>
          </w:p>
        </w:tc>
      </w:tr>
      <w:tr>
        <w:tc>
          <w:tcPr>
            <w:tcW w:type="dxa" w:w="5227"/>
            <w:vAlign w:val="center"/>
          </w:tcPr>
          <w:p>
            <w:r>
              <w:rPr>
                <w:sz w:val="14"/>
              </w:rPr>
              <w:t>Hybrid retrieval</w:t>
            </w:r>
          </w:p>
        </w:tc>
        <w:tc>
          <w:tcPr>
            <w:tcW w:type="dxa" w:w="5227"/>
            <w:vAlign w:val="center"/>
          </w:tcPr>
          <w:p>
            <w:r>
              <w:rPr>
                <w:sz w:val="14"/>
              </w:rPr>
              <w:t>§10.2, p.15</w:t>
            </w:r>
          </w:p>
        </w:tc>
      </w:tr>
      <w:tr>
        <w:tc>
          <w:tcPr>
            <w:tcW w:type="dxa" w:w="5227"/>
            <w:vAlign w:val="center"/>
          </w:tcPr>
          <w:p>
            <w:r>
              <w:rPr>
                <w:sz w:val="14"/>
              </w:rPr>
              <w:t>Authority metadata</w:t>
            </w:r>
          </w:p>
        </w:tc>
        <w:tc>
          <w:tcPr>
            <w:tcW w:type="dxa" w:w="5227"/>
            <w:vAlign w:val="center"/>
          </w:tcPr>
          <w:p>
            <w:r>
              <w:rPr>
                <w:sz w:val="14"/>
              </w:rPr>
              <w:t>§10.3, p.15</w:t>
            </w:r>
          </w:p>
        </w:tc>
      </w:tr>
      <w:tr>
        <w:tc>
          <w:tcPr>
            <w:tcW w:type="dxa" w:w="5227"/>
            <w:vAlign w:val="center"/>
          </w:tcPr>
          <w:p>
            <w:r>
              <w:rPr>
                <w:sz w:val="14"/>
              </w:rPr>
              <w:t>Structured fault objects</w:t>
            </w:r>
          </w:p>
        </w:tc>
        <w:tc>
          <w:tcPr>
            <w:tcW w:type="dxa" w:w="5227"/>
            <w:vAlign w:val="center"/>
          </w:tcPr>
          <w:p>
            <w:r>
              <w:rPr>
                <w:sz w:val="14"/>
              </w:rPr>
              <w:t>§10.4, p.16</w:t>
            </w:r>
          </w:p>
        </w:tc>
      </w:tr>
      <w:tr>
        <w:tc>
          <w:tcPr>
            <w:tcW w:type="dxa" w:w="5227"/>
            <w:vAlign w:val="center"/>
          </w:tcPr>
          <w:p>
            <w:r>
              <w:rPr>
                <w:sz w:val="14"/>
              </w:rPr>
              <w:t>Tool/service contracts</w:t>
            </w:r>
          </w:p>
        </w:tc>
        <w:tc>
          <w:tcPr>
            <w:tcW w:type="dxa" w:w="5227"/>
            <w:vAlign w:val="center"/>
          </w:tcPr>
          <w:p>
            <w:r>
              <w:rPr>
                <w:sz w:val="14"/>
              </w:rPr>
              <w:t>Appendix B, p.30</w:t>
            </w:r>
          </w:p>
        </w:tc>
      </w:tr>
      <w:tr>
        <w:tc>
          <w:tcPr>
            <w:tcW w:type="dxa" w:w="5227"/>
            <w:vAlign w:val="center"/>
          </w:tcPr>
          <w:p>
            <w:r>
              <w:rPr>
                <w:sz w:val="14"/>
              </w:rPr>
              <w:t>Advisory/evidence schema</w:t>
            </w:r>
          </w:p>
        </w:tc>
        <w:tc>
          <w:tcPr>
            <w:tcW w:type="dxa" w:w="5227"/>
            <w:vAlign w:val="center"/>
          </w:tcPr>
          <w:p>
            <w:r>
              <w:rPr>
                <w:sz w:val="14"/>
              </w:rPr>
              <w:t>Appendix C, pp.30–31</w:t>
            </w:r>
          </w:p>
        </w:tc>
      </w:tr>
      <w:tr>
        <w:tc>
          <w:tcPr>
            <w:tcW w:type="dxa" w:w="5227"/>
            <w:vAlign w:val="center"/>
          </w:tcPr>
          <w:p>
            <w:r>
              <w:rPr>
                <w:sz w:val="14"/>
              </w:rPr>
              <w:t>Query/playbook evaluation</w:t>
            </w:r>
          </w:p>
        </w:tc>
        <w:tc>
          <w:tcPr>
            <w:tcW w:type="dxa" w:w="5227"/>
            <w:vAlign w:val="center"/>
          </w:tcPr>
          <w:p>
            <w:r>
              <w:rPr>
                <w:sz w:val="14"/>
              </w:rPr>
              <w:t>§22 / Appendix A, pp.30–32</w:t>
            </w:r>
          </w:p>
        </w:tc>
      </w:tr>
      <w:tr>
        <w:tc>
          <w:tcPr>
            <w:tcW w:type="dxa" w:w="5227"/>
            <w:vAlign w:val="center"/>
          </w:tcPr>
          <w:p>
            <w:r>
              <w:rPr>
                <w:sz w:val="14"/>
              </w:rPr>
              <w:t>Confirmed-case learning</w:t>
            </w:r>
          </w:p>
        </w:tc>
        <w:tc>
          <w:tcPr>
            <w:tcW w:type="dxa" w:w="5227"/>
            <w:vAlign w:val="center"/>
          </w:tcPr>
          <w:p>
            <w:r>
              <w:rPr>
                <w:sz w:val="14"/>
              </w:rPr>
              <w:t>§16, pp.26–27</w:t>
            </w:r>
          </w:p>
        </w:tc>
      </w:tr>
      <w:tr>
        <w:tc>
          <w:tcPr>
            <w:tcW w:type="dxa" w:w="5227"/>
            <w:vAlign w:val="center"/>
          </w:tcPr>
          <w:p>
            <w:r>
              <w:rPr>
                <w:sz w:val="14"/>
              </w:rPr>
              <w:t>Release acceptance</w:t>
            </w:r>
          </w:p>
        </w:tc>
        <w:tc>
          <w:tcPr>
            <w:tcW w:type="dxa" w:w="5227"/>
            <w:vAlign w:val="center"/>
          </w:tcPr>
          <w:p>
            <w:r>
              <w:rPr>
                <w:sz w:val="14"/>
              </w:rPr>
              <w:t>§21.1, pp.28–29</w:t>
            </w:r>
          </w:p>
        </w:tc>
      </w:tr>
    </w:tbl>
    <w:p/>
    <w:p>
      <w:pPr>
        <w:spacing w:after="80"/>
        <w:jc w:val="left"/>
      </w:pPr>
      <w:r>
        <w:rPr>
          <w:b w:val="0"/>
          <w:i w:val="0"/>
        </w:rPr>
        <w:t>Technology selections such as Docling, PyMuPDF, PostgreSQL, pgvector, MinIO and FastAPI are implementation recommendations, not claims that Guidelines.pdf mandates those products.</w:t>
      </w:r>
    </w:p>
    <w:p>
      <w:pPr>
        <w:pStyle w:val="Heading1"/>
      </w:pPr>
      <w:r>
        <w:t>24. Final Phase 3 Boundary</w:t>
      </w:r>
    </w:p>
    <w:p>
      <w:pPr>
        <w:spacing w:after="80"/>
        <w:jc w:val="left"/>
      </w:pPr>
      <w:r>
        <w:rPr>
          <w:b w:val="0"/>
          <w:i w:val="0"/>
        </w:rPr>
        <w:t>Phase 3 ends when the Knowledge Foundation is reliable enough that a later Agent workflow can request knowledge by objective, receive ranked and authority-filtered evidence, cite the exact source, compare structured fault/case objects, and operate without directly querying KB storage. Runtime asset context, live telemetry, deterministic calculations and ML outputs remain separate evidence sources and are intentionally not merged into the KB itself.</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ESP APM — Phase 3 Knowledge Foundation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