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i w:val="0"/>
          <w:color w:val="16324F"/>
          <w:sz w:val="48"/>
        </w:rPr>
        <w:t>ESP APM AGENT CONTEXT</w:t>
        <w:br/>
        <w:t>Architecture, Toolset, Services &amp; Context Assembly</w:t>
      </w:r>
    </w:p>
    <w:p>
      <w:pPr>
        <w:spacing w:after="80"/>
        <w:jc w:val="center"/>
      </w:pPr>
      <w:r>
        <w:rPr>
          <w:b w:val="0"/>
          <w:i/>
        </w:rPr>
        <w:t>How ESP Knowledge + Asset Context + Runtime Telemetry + Engineering Calculations + ML Outputs + Historical Cases become a bounded, evidence-backed Agent Context.</w:t>
      </w:r>
    </w:p>
    <w:p>
      <w:pPr>
        <w:pStyle w:val="Heading1"/>
      </w:pPr>
      <w:r>
        <w:t>1. Purpose</w:t>
      </w:r>
    </w:p>
    <w:p>
      <w:pPr>
        <w:spacing w:after="80"/>
        <w:jc w:val="left"/>
      </w:pPr>
      <w:r>
        <w:rPr>
          <w:b w:val="0"/>
          <w:i w:val="0"/>
        </w:rPr>
        <w:t>This document defines the Agent Context subsystem. Its purpose is to answer one implementation question: how does the Agent obtain all of the information it needs about a specific ESP, assemble it safely, and give only the relevant evidence to the LangGraph Supervisor/LLM?</w:t>
      </w:r>
    </w:p>
    <w:p>
      <w:pPr>
        <w:spacing w:after="80"/>
        <w:jc w:val="left"/>
      </w:pPr>
      <w:r>
        <w:rPr>
          <w:b w:val="0"/>
          <w:i w:val="0"/>
        </w:rPr>
        <w:t>The design follows the Lead guideline's separation of Asset Context, Data Services, Engineering Services, Knowledge Services, ML Services, Digital Twin and Governance. The guideline also requires the Agent to resolve the exact asset/time, apply a data-quality gate, retrieve minimum evidence, call deterministic engineering tools, call ML/specialists when relevant, fuse/challenge evidence, generate a structured advisory and capture the outcome. fileciteturn11file0L57-L69 fileciteturn10file0L22-L49</w:t>
      </w:r>
    </w:p>
    <w:p>
      <w:pPr>
        <w:pStyle w:val="Heading1"/>
      </w:pPr>
      <w:r>
        <w:t>2. Answer: Yes, You Need a Toolset — But Tools Are Not the Data Sources</w:t>
      </w:r>
    </w:p>
    <w:p>
      <w:pPr>
        <w:ind w:left="259" w:right="259"/>
      </w:pPr>
      <w:r>
        <w:rPr>
          <w:rFonts w:ascii="Consolas" w:hAnsi="Consolas"/>
          <w:sz w:val="14"/>
        </w:rPr>
        <w:t>Agent Context</w:t>
        <w:br/>
      </w:r>
      <w:r>
        <w:rPr>
          <w:rFonts w:ascii="Consolas" w:hAnsi="Consolas"/>
          <w:sz w:val="14"/>
        </w:rPr>
        <w:t xml:space="preserve">   =</w:t>
        <w:br/>
      </w:r>
      <w:r>
        <w:rPr>
          <w:rFonts w:ascii="Consolas" w:hAnsi="Consolas"/>
          <w:sz w:val="14"/>
        </w:rPr>
        <w:t xml:space="preserve">   knowledge evidence</w:t>
        <w:br/>
      </w:r>
      <w:r>
        <w:rPr>
          <w:rFonts w:ascii="Consolas" w:hAnsi="Consolas"/>
          <w:sz w:val="14"/>
        </w:rPr>
        <w:t xml:space="preserve"> + asset/config evidence</w:t>
        <w:br/>
      </w:r>
      <w:r>
        <w:rPr>
          <w:rFonts w:ascii="Consolas" w:hAnsi="Consolas"/>
          <w:sz w:val="14"/>
        </w:rPr>
        <w:t xml:space="preserve"> + runtime telemetry evidence</w:t>
        <w:br/>
      </w:r>
      <w:r>
        <w:rPr>
          <w:rFonts w:ascii="Consolas" w:hAnsi="Consolas"/>
          <w:sz w:val="14"/>
        </w:rPr>
        <w:t xml:space="preserve"> + engineering evidence</w:t>
        <w:br/>
      </w:r>
      <w:r>
        <w:rPr>
          <w:rFonts w:ascii="Consolas" w:hAnsi="Consolas"/>
          <w:sz w:val="14"/>
        </w:rPr>
        <w:t xml:space="preserve"> + ML evidence</w:t>
        <w:br/>
      </w:r>
      <w:r>
        <w:rPr>
          <w:rFonts w:ascii="Consolas" w:hAnsi="Consolas"/>
          <w:sz w:val="14"/>
        </w:rPr>
        <w:t xml:space="preserve"> + historical/case evidence</w:t>
        <w:br/>
      </w:r>
      <w:r>
        <w:rPr>
          <w:rFonts w:ascii="Consolas" w:hAnsi="Consolas"/>
          <w:sz w:val="14"/>
        </w:rPr>
        <w:t xml:space="preserve">   ↓</w:t>
        <w:br/>
      </w:r>
      <w:r>
        <w:rPr>
          <w:rFonts w:ascii="Consolas" w:hAnsi="Consolas"/>
          <w:sz w:val="14"/>
        </w:rPr>
        <w:t>Context Builder</w:t>
        <w:br/>
      </w:r>
      <w:r>
        <w:rPr>
          <w:rFonts w:ascii="Consolas" w:hAnsi="Consolas"/>
          <w:sz w:val="14"/>
        </w:rPr>
        <w:t xml:space="preserve">   ↓</w:t>
        <w:br/>
      </w:r>
      <w:r>
        <w:rPr>
          <w:rFonts w:ascii="Consolas" w:hAnsi="Consolas"/>
          <w:sz w:val="14"/>
        </w:rPr>
        <w:t>Evidence Pack</w:t>
        <w:br/>
      </w:r>
      <w:r>
        <w:rPr>
          <w:rFonts w:ascii="Consolas" w:hAnsi="Consolas"/>
          <w:sz w:val="14"/>
        </w:rPr>
        <w:t xml:space="preserve">   ↓</w:t>
        <w:br/>
      </w:r>
      <w:r>
        <w:rPr>
          <w:rFonts w:ascii="Consolas" w:hAnsi="Consolas"/>
          <w:sz w:val="14"/>
        </w:rPr>
        <w:t>LangGraph state</w:t>
        <w:br/>
      </w:r>
      <w:r>
        <w:rPr>
          <w:rFonts w:ascii="Consolas" w:hAnsi="Consolas"/>
          <w:sz w:val="14"/>
        </w:rPr>
        <w:t xml:space="preserve">   ↓</w:t>
        <w:br/>
      </w:r>
      <w:r>
        <w:rPr>
          <w:rFonts w:ascii="Consolas" w:hAnsi="Consolas"/>
          <w:sz w:val="14"/>
        </w:rPr>
        <w:t>LLM / Specialist Agent</w:t>
        <w:br/>
      </w:r>
    </w:p>
    <w:p/>
    <w:p>
      <w:pPr>
        <w:spacing w:after="80"/>
        <w:jc w:val="left"/>
      </w:pPr>
      <w:r>
        <w:rPr>
          <w:b w:val="0"/>
          <w:i w:val="0"/>
        </w:rPr>
        <w:t>The Agent should not directly browse six different databases or APIs. It uses typed tools. Each tool calls an appropriate backend service. The Service provides the capability or data; the Tool is the Agent-facing operation.</w:t>
      </w:r>
    </w:p>
    <w:p>
      <w:pPr>
        <w:pStyle w:val="Heading1"/>
      </w:pPr>
      <w:r>
        <w:t>3. The Layer Model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Layer</w:t>
            </w:r>
          </w:p>
        </w:tc>
        <w:tc>
          <w:tcPr>
            <w:tcW w:type="dxa" w:w="2613"/>
            <w:shd w:fill="D9EAF7"/>
          </w:tcPr>
          <w:p>
            <w:r>
              <w:rPr>
                <w:b/>
                <w:sz w:val="14"/>
              </w:rPr>
              <w:t>What it is</w:t>
            </w:r>
          </w:p>
        </w:tc>
        <w:tc>
          <w:tcPr>
            <w:tcW w:type="dxa" w:w="2613"/>
            <w:shd w:fill="D9EAF7"/>
          </w:tcPr>
          <w:p>
            <w:r>
              <w:rPr>
                <w:b/>
                <w:sz w:val="14"/>
              </w:rPr>
              <w:t>Example</w:t>
            </w:r>
          </w:p>
        </w:tc>
        <w:tc>
          <w:tcPr>
            <w:tcW w:type="dxa" w:w="2613"/>
            <w:shd w:fill="D9EAF7"/>
          </w:tcPr>
          <w:p>
            <w:r>
              <w:rPr>
                <w:b/>
                <w:sz w:val="14"/>
              </w:rPr>
              <w:t>Typical technology</w:t>
            </w:r>
          </w:p>
        </w:tc>
      </w:tr>
      <w:tr>
        <w:tc>
          <w:tcPr>
            <w:tcW w:type="dxa" w:w="2613"/>
            <w:vAlign w:val="center"/>
          </w:tcPr>
          <w:p>
            <w:r>
              <w:rPr>
                <w:sz w:val="14"/>
              </w:rPr>
              <w:t>Agent</w:t>
            </w:r>
          </w:p>
        </w:tc>
        <w:tc>
          <w:tcPr>
            <w:tcW w:type="dxa" w:w="2613"/>
            <w:vAlign w:val="center"/>
          </w:tcPr>
          <w:p>
            <w:r>
              <w:rPr>
                <w:sz w:val="14"/>
              </w:rPr>
              <w:t>Reasoning/orchestration layer</w:t>
            </w:r>
          </w:p>
        </w:tc>
        <w:tc>
          <w:tcPr>
            <w:tcW w:type="dxa" w:w="2613"/>
            <w:vAlign w:val="center"/>
          </w:tcPr>
          <w:p>
            <w:r>
              <w:rPr>
                <w:sz w:val="14"/>
              </w:rPr>
              <w:t>LangGraph Supervisor</w:t>
            </w:r>
          </w:p>
        </w:tc>
        <w:tc>
          <w:tcPr>
            <w:tcW w:type="dxa" w:w="2613"/>
            <w:vAlign w:val="center"/>
          </w:tcPr>
          <w:p>
            <w:r>
              <w:rPr>
                <w:sz w:val="14"/>
              </w:rPr>
              <w:t>Python + LangGraph</w:t>
            </w:r>
          </w:p>
        </w:tc>
      </w:tr>
      <w:tr>
        <w:tc>
          <w:tcPr>
            <w:tcW w:type="dxa" w:w="2613"/>
            <w:vAlign w:val="center"/>
          </w:tcPr>
          <w:p>
            <w:r>
              <w:rPr>
                <w:sz w:val="14"/>
              </w:rPr>
              <w:t>Context Builder</w:t>
            </w:r>
          </w:p>
        </w:tc>
        <w:tc>
          <w:tcPr>
            <w:tcW w:type="dxa" w:w="2613"/>
            <w:vAlign w:val="center"/>
          </w:tcPr>
          <w:p>
            <w:r>
              <w:rPr>
                <w:sz w:val="14"/>
              </w:rPr>
              <w:t>Selects/assembles evidence</w:t>
            </w:r>
          </w:p>
        </w:tc>
        <w:tc>
          <w:tcPr>
            <w:tcW w:type="dxa" w:w="2613"/>
            <w:vAlign w:val="center"/>
          </w:tcPr>
          <w:p>
            <w:r>
              <w:rPr>
                <w:sz w:val="14"/>
              </w:rPr>
              <w:t>build_context()</w:t>
            </w:r>
          </w:p>
        </w:tc>
        <w:tc>
          <w:tcPr>
            <w:tcW w:type="dxa" w:w="2613"/>
            <w:vAlign w:val="center"/>
          </w:tcPr>
          <w:p>
            <w:r>
              <w:rPr>
                <w:sz w:val="14"/>
              </w:rPr>
              <w:t>Python</w:t>
            </w:r>
          </w:p>
        </w:tc>
      </w:tr>
      <w:tr>
        <w:tc>
          <w:tcPr>
            <w:tcW w:type="dxa" w:w="2613"/>
            <w:vAlign w:val="center"/>
          </w:tcPr>
          <w:p>
            <w:r>
              <w:rPr>
                <w:sz w:val="14"/>
              </w:rPr>
              <w:t>Evidence Pack</w:t>
            </w:r>
          </w:p>
        </w:tc>
        <w:tc>
          <w:tcPr>
            <w:tcW w:type="dxa" w:w="2613"/>
            <w:vAlign w:val="center"/>
          </w:tcPr>
          <w:p>
            <w:r>
              <w:rPr>
                <w:sz w:val="14"/>
              </w:rPr>
              <w:t>Normalized evidence/provenance object</w:t>
            </w:r>
          </w:p>
        </w:tc>
        <w:tc>
          <w:tcPr>
            <w:tcW w:type="dxa" w:w="2613"/>
            <w:vAlign w:val="center"/>
          </w:tcPr>
          <w:p>
            <w:r>
              <w:rPr>
                <w:sz w:val="14"/>
              </w:rPr>
              <w:t>asset + telemetry + model + KB evidence</w:t>
            </w:r>
          </w:p>
        </w:tc>
        <w:tc>
          <w:tcPr>
            <w:tcW w:type="dxa" w:w="2613"/>
            <w:vAlign w:val="center"/>
          </w:tcPr>
          <w:p>
            <w:r>
              <w:rPr>
                <w:sz w:val="14"/>
              </w:rPr>
              <w:t>Pydantic/JSON</w:t>
            </w:r>
          </w:p>
        </w:tc>
      </w:tr>
      <w:tr>
        <w:tc>
          <w:tcPr>
            <w:tcW w:type="dxa" w:w="2613"/>
            <w:vAlign w:val="center"/>
          </w:tcPr>
          <w:p>
            <w:r>
              <w:rPr>
                <w:sz w:val="14"/>
              </w:rPr>
              <w:t>Tool</w:t>
            </w:r>
          </w:p>
        </w:tc>
        <w:tc>
          <w:tcPr>
            <w:tcW w:type="dxa" w:w="2613"/>
            <w:vAlign w:val="center"/>
          </w:tcPr>
          <w:p>
            <w:r>
              <w:rPr>
                <w:sz w:val="14"/>
              </w:rPr>
              <w:t>Agent-facing typed operation</w:t>
            </w:r>
          </w:p>
        </w:tc>
        <w:tc>
          <w:tcPr>
            <w:tcW w:type="dxa" w:w="2613"/>
            <w:vAlign w:val="center"/>
          </w:tcPr>
          <w:p>
            <w:r>
              <w:rPr>
                <w:sz w:val="14"/>
              </w:rPr>
              <w:t>get_asset_context()</w:t>
            </w:r>
          </w:p>
        </w:tc>
        <w:tc>
          <w:tcPr>
            <w:tcW w:type="dxa" w:w="2613"/>
            <w:vAlign w:val="center"/>
          </w:tcPr>
          <w:p>
            <w:r>
              <w:rPr>
                <w:sz w:val="14"/>
              </w:rPr>
              <w:t>Python + Pydantic</w:t>
            </w:r>
          </w:p>
        </w:tc>
      </w:tr>
      <w:tr>
        <w:tc>
          <w:tcPr>
            <w:tcW w:type="dxa" w:w="2613"/>
            <w:vAlign w:val="center"/>
          </w:tcPr>
          <w:p>
            <w:r>
              <w:rPr>
                <w:sz w:val="14"/>
              </w:rPr>
              <w:t>Service</w:t>
            </w:r>
          </w:p>
        </w:tc>
        <w:tc>
          <w:tcPr>
            <w:tcW w:type="dxa" w:w="2613"/>
            <w:vAlign w:val="center"/>
          </w:tcPr>
          <w:p>
            <w:r>
              <w:rPr>
                <w:sz w:val="14"/>
              </w:rPr>
              <w:t>Reusable backend capability/data provider</w:t>
            </w:r>
          </w:p>
        </w:tc>
        <w:tc>
          <w:tcPr>
            <w:tcW w:type="dxa" w:w="2613"/>
            <w:vAlign w:val="center"/>
          </w:tcPr>
          <w:p>
            <w:r>
              <w:rPr>
                <w:sz w:val="14"/>
              </w:rPr>
              <w:t>Telemetry Service</w:t>
            </w:r>
          </w:p>
        </w:tc>
        <w:tc>
          <w:tcPr>
            <w:tcW w:type="dxa" w:w="2613"/>
            <w:vAlign w:val="center"/>
          </w:tcPr>
          <w:p>
            <w:r>
              <w:rPr>
                <w:sz w:val="14"/>
              </w:rPr>
              <w:t>FastAPI/REST, internal API, MCP optional</w:t>
            </w:r>
          </w:p>
        </w:tc>
      </w:tr>
      <w:tr>
        <w:tc>
          <w:tcPr>
            <w:tcW w:type="dxa" w:w="2613"/>
            <w:vAlign w:val="center"/>
          </w:tcPr>
          <w:p>
            <w:r>
              <w:rPr>
                <w:sz w:val="14"/>
              </w:rPr>
              <w:t>Source system</w:t>
            </w:r>
          </w:p>
        </w:tc>
        <w:tc>
          <w:tcPr>
            <w:tcW w:type="dxa" w:w="2613"/>
            <w:vAlign w:val="center"/>
          </w:tcPr>
          <w:p>
            <w:r>
              <w:rPr>
                <w:sz w:val="14"/>
              </w:rPr>
              <w:t>Authoritative source</w:t>
            </w:r>
          </w:p>
        </w:tc>
        <w:tc>
          <w:tcPr>
            <w:tcW w:type="dxa" w:w="2613"/>
            <w:vAlign w:val="center"/>
          </w:tcPr>
          <w:p>
            <w:r>
              <w:rPr>
                <w:sz w:val="14"/>
              </w:rPr>
              <w:t>Advait, Historian, ESP ML platform, KB DB</w:t>
            </w:r>
          </w:p>
        </w:tc>
        <w:tc>
          <w:tcPr>
            <w:tcW w:type="dxa" w:w="2613"/>
            <w:vAlign w:val="center"/>
          </w:tcPr>
          <w:p>
            <w:r>
              <w:rPr>
                <w:sz w:val="14"/>
              </w:rPr>
              <w:t>Existing platform / DB / model</w:t>
            </w:r>
          </w:p>
        </w:tc>
      </w:tr>
      <w:tr>
        <w:tc>
          <w:tcPr>
            <w:tcW w:type="dxa" w:w="2613"/>
            <w:vAlign w:val="center"/>
          </w:tcPr>
          <w:p>
            <w:r>
              <w:rPr>
                <w:sz w:val="14"/>
              </w:rPr>
              <w:t>Transport</w:t>
            </w:r>
          </w:p>
        </w:tc>
        <w:tc>
          <w:tcPr>
            <w:tcW w:type="dxa" w:w="2613"/>
            <w:vAlign w:val="center"/>
          </w:tcPr>
          <w:p>
            <w:r>
              <w:rPr>
                <w:sz w:val="14"/>
              </w:rPr>
              <w:t>Communication mechanism</w:t>
            </w:r>
          </w:p>
        </w:tc>
        <w:tc>
          <w:tcPr>
            <w:tcW w:type="dxa" w:w="2613"/>
            <w:vAlign w:val="center"/>
          </w:tcPr>
          <w:p>
            <w:r>
              <w:rPr>
                <w:sz w:val="14"/>
              </w:rPr>
              <w:t>HTTPS, WS, MQTT, event bus</w:t>
            </w:r>
          </w:p>
        </w:tc>
        <w:tc>
          <w:tcPr>
            <w:tcW w:type="dxa" w:w="2613"/>
            <w:vAlign w:val="center"/>
          </w:tcPr>
          <w:p>
            <w:r>
              <w:rPr>
                <w:sz w:val="14"/>
              </w:rPr>
              <w:t>REST/WebSocket/MQTT/Kafka/etc.</w:t>
            </w:r>
          </w:p>
        </w:tc>
      </w:tr>
      <w:tr>
        <w:tc>
          <w:tcPr>
            <w:tcW w:type="dxa" w:w="2613"/>
            <w:vAlign w:val="center"/>
          </w:tcPr>
          <w:p>
            <w:r>
              <w:rPr>
                <w:sz w:val="14"/>
              </w:rPr>
              <w:t>Persistence</w:t>
            </w:r>
          </w:p>
        </w:tc>
        <w:tc>
          <w:tcPr>
            <w:tcW w:type="dxa" w:w="2613"/>
            <w:vAlign w:val="center"/>
          </w:tcPr>
          <w:p>
            <w:r>
              <w:rPr>
                <w:sz w:val="14"/>
              </w:rPr>
              <w:t>Storage</w:t>
            </w:r>
          </w:p>
        </w:tc>
        <w:tc>
          <w:tcPr>
            <w:tcW w:type="dxa" w:w="2613"/>
            <w:vAlign w:val="center"/>
          </w:tcPr>
          <w:p>
            <w:r>
              <w:rPr>
                <w:sz w:val="14"/>
              </w:rPr>
              <w:t>PostgreSQL, MinIO, vector DB</w:t>
            </w:r>
          </w:p>
        </w:tc>
        <w:tc>
          <w:tcPr>
            <w:tcW w:type="dxa" w:w="2613"/>
            <w:vAlign w:val="center"/>
          </w:tcPr>
          <w:p>
            <w:r>
              <w:rPr>
                <w:sz w:val="14"/>
              </w:rPr>
              <w:t>Infrastructure</w:t>
            </w:r>
          </w:p>
        </w:tc>
      </w:tr>
    </w:tbl>
    <w:p/>
    <w:p>
      <w:pPr>
        <w:pStyle w:val="Heading1"/>
      </w:pPr>
      <w:r>
        <w:t>4. End-to-End Agent Context Architecture</w:t>
      </w:r>
    </w:p>
    <w:p>
      <w:pPr>
        <w:ind w:left="259" w:right="259"/>
      </w:pPr>
      <w:r>
        <w:rPr>
          <w:rFonts w:ascii="Consolas" w:hAnsi="Consolas"/>
          <w:sz w:val="14"/>
        </w:rPr>
        <w:t>USER / EVENT</w:t>
        <w:br/>
      </w:r>
      <w:r>
        <w:rPr>
          <w:rFonts w:ascii="Consolas" w:hAnsi="Consolas"/>
          <w:sz w:val="14"/>
        </w:rPr>
        <w:t xml:space="preserve">                                      |</w:t>
        <w:br/>
      </w:r>
      <w:r>
        <w:rPr>
          <w:rFonts w:ascii="Consolas" w:hAnsi="Consolas"/>
          <w:sz w:val="14"/>
        </w:rPr>
        <w:t xml:space="preserve">                                      v</w:t>
        <w:br/>
      </w:r>
      <w:r>
        <w:rPr>
          <w:rFonts w:ascii="Consolas" w:hAnsi="Consolas"/>
          <w:sz w:val="14"/>
        </w:rPr>
        <w:t xml:space="preserve">                             LANGGRAPH SUPERVISOR</w:t>
        <w:br/>
      </w:r>
      <w:r>
        <w:rPr>
          <w:rFonts w:ascii="Consolas" w:hAnsi="Consolas"/>
          <w:sz w:val="14"/>
        </w:rPr>
        <w:t xml:space="preserve">                                      |</w:t>
        <w:br/>
      </w:r>
      <w:r>
        <w:rPr>
          <w:rFonts w:ascii="Consolas" w:hAnsi="Consolas"/>
          <w:sz w:val="14"/>
        </w:rPr>
        <w:t xml:space="preserve">                               Objective selected</w:t>
        <w:br/>
      </w:r>
      <w:r>
        <w:rPr>
          <w:rFonts w:ascii="Consolas" w:hAnsi="Consolas"/>
          <w:sz w:val="14"/>
        </w:rPr>
        <w:t xml:space="preserve">                                      |</w:t>
        <w:br/>
      </w:r>
      <w:r>
        <w:rPr>
          <w:rFonts w:ascii="Consolas" w:hAnsi="Consolas"/>
          <w:sz w:val="14"/>
        </w:rPr>
        <w:t xml:space="preserve">                               Context Planner</w:t>
        <w:br/>
      </w:r>
      <w:r>
        <w:rPr>
          <w:rFonts w:ascii="Consolas" w:hAnsi="Consolas"/>
          <w:sz w:val="14"/>
        </w:rPr>
        <w:t xml:space="preserve">                                      |</w:t>
        <w:br/>
      </w:r>
      <w:r>
        <w:rPr>
          <w:rFonts w:ascii="Consolas" w:hAnsi="Consolas"/>
          <w:sz w:val="14"/>
        </w:rPr>
        <w:t xml:space="preserve">      +-------------------------------+--------------------------------+</w:t>
        <w:br/>
      </w:r>
      <w:r>
        <w:rPr>
          <w:rFonts w:ascii="Consolas" w:hAnsi="Consolas"/>
          <w:sz w:val="14"/>
        </w:rPr>
        <w:t xml:space="preserve">      |               |               |               |                |</w:t>
        <w:br/>
      </w:r>
      <w:r>
        <w:rPr>
          <w:rFonts w:ascii="Consolas" w:hAnsi="Consolas"/>
          <w:sz w:val="14"/>
        </w:rPr>
        <w:t xml:space="preserve">      v               v               v               v                v</w:t>
        <w:br/>
      </w:r>
      <w:r>
        <w:rPr>
          <w:rFonts w:ascii="Consolas" w:hAnsi="Consolas"/>
          <w:sz w:val="14"/>
        </w:rPr>
        <w:t xml:space="preserve"> Asset Context     Telemetry       Engineering       ML          Knowledge / Cases</w:t>
        <w:br/>
      </w:r>
      <w:r>
        <w:rPr>
          <w:rFonts w:ascii="Consolas" w:hAnsi="Consolas"/>
          <w:sz w:val="14"/>
        </w:rPr>
        <w:t xml:space="preserve"> Tool(s)           Tool(s)          Tool(s)           Tool(s)      Tool(s)</w:t>
        <w:br/>
      </w:r>
      <w:r>
        <w:rPr>
          <w:rFonts w:ascii="Consolas" w:hAnsi="Consolas"/>
          <w:sz w:val="14"/>
        </w:rPr>
        <w:t xml:space="preserve">      |               |               |               |                |</w:t>
        <w:br/>
      </w:r>
      <w:r>
        <w:rPr>
          <w:rFonts w:ascii="Consolas" w:hAnsi="Consolas"/>
          <w:sz w:val="14"/>
        </w:rPr>
        <w:t xml:space="preserve">      v               v               v               v                v</w:t>
        <w:br/>
      </w:r>
      <w:r>
        <w:rPr>
          <w:rFonts w:ascii="Consolas" w:hAnsi="Consolas"/>
          <w:sz w:val="14"/>
        </w:rPr>
        <w:t xml:space="preserve"> Asset Service     Telemetry       Engineering     Model          Knowledge/Case</w:t>
        <w:br/>
      </w:r>
      <w:r>
        <w:rPr>
          <w:rFonts w:ascii="Consolas" w:hAnsi="Consolas"/>
          <w:sz w:val="14"/>
        </w:rPr>
        <w:t xml:space="preserve"> /Advait           Service         Service         Adapter         Service</w:t>
        <w:br/>
      </w:r>
      <w:r>
        <w:rPr>
          <w:rFonts w:ascii="Consolas" w:hAnsi="Consolas"/>
          <w:sz w:val="14"/>
        </w:rPr>
        <w:t xml:space="preserve">      |               |               |               |                |</w:t>
        <w:br/>
      </w:r>
      <w:r>
        <w:rPr>
          <w:rFonts w:ascii="Consolas" w:hAnsi="Consolas"/>
          <w:sz w:val="14"/>
        </w:rPr>
        <w:t xml:space="preserve"> Advait/Client     SCADA/Hist.    Calc/Twin        ESP AI        KB/Case stores</w:t>
        <w:br/>
      </w:r>
      <w:r>
        <w:rPr>
          <w:rFonts w:ascii="Consolas" w:hAnsi="Consolas"/>
          <w:sz w:val="14"/>
        </w:rPr>
        <w:t xml:space="preserve">                                      |</w:t>
        <w:br/>
      </w:r>
      <w:r>
        <w:rPr>
          <w:rFonts w:ascii="Consolas" w:hAnsi="Consolas"/>
          <w:sz w:val="14"/>
        </w:rPr>
        <w:t xml:space="preserve">                                      v</w:t>
        <w:br/>
      </w:r>
      <w:r>
        <w:rPr>
          <w:rFonts w:ascii="Consolas" w:hAnsi="Consolas"/>
          <w:sz w:val="14"/>
        </w:rPr>
        <w:t xml:space="preserve">                             Raw tool observations</w:t>
        <w:br/>
      </w:r>
      <w:r>
        <w:rPr>
          <w:rFonts w:ascii="Consolas" w:hAnsi="Consolas"/>
          <w:sz w:val="14"/>
        </w:rPr>
        <w:t xml:space="preserve">                                      |</w:t>
        <w:br/>
      </w:r>
      <w:r>
        <w:rPr>
          <w:rFonts w:ascii="Consolas" w:hAnsi="Consolas"/>
          <w:sz w:val="14"/>
        </w:rPr>
        <w:t xml:space="preserve">                                      v</w:t>
        <w:br/>
      </w:r>
      <w:r>
        <w:rPr>
          <w:rFonts w:ascii="Consolas" w:hAnsi="Consolas"/>
          <w:sz w:val="14"/>
        </w:rPr>
        <w:t xml:space="preserve">                              DATA QUALITY GATE</w:t>
        <w:br/>
      </w:r>
      <w:r>
        <w:rPr>
          <w:rFonts w:ascii="Consolas" w:hAnsi="Consolas"/>
          <w:sz w:val="14"/>
        </w:rPr>
        <w:t xml:space="preserve">                                      |</w:t>
        <w:br/>
      </w:r>
      <w:r>
        <w:rPr>
          <w:rFonts w:ascii="Consolas" w:hAnsi="Consolas"/>
          <w:sz w:val="14"/>
        </w:rPr>
        <w:t xml:space="preserve">                                      v</w:t>
        <w:br/>
      </w:r>
      <w:r>
        <w:rPr>
          <w:rFonts w:ascii="Consolas" w:hAnsi="Consolas"/>
          <w:sz w:val="14"/>
        </w:rPr>
        <w:t xml:space="preserve">                             EVIDENCE NORMALIZER</w:t>
        <w:br/>
      </w:r>
      <w:r>
        <w:rPr>
          <w:rFonts w:ascii="Consolas" w:hAnsi="Consolas"/>
          <w:sz w:val="14"/>
        </w:rPr>
        <w:t xml:space="preserve">                                      |</w:t>
        <w:br/>
      </w:r>
      <w:r>
        <w:rPr>
          <w:rFonts w:ascii="Consolas" w:hAnsi="Consolas"/>
          <w:sz w:val="14"/>
        </w:rPr>
        <w:t xml:space="preserve">                                      v</w:t>
        <w:br/>
      </w:r>
      <w:r>
        <w:rPr>
          <w:rFonts w:ascii="Consolas" w:hAnsi="Consolas"/>
          <w:sz w:val="14"/>
        </w:rPr>
        <w:t xml:space="preserve">                               EVIDENCE PACK</w:t>
        <w:br/>
      </w:r>
      <w:r>
        <w:rPr>
          <w:rFonts w:ascii="Consolas" w:hAnsi="Consolas"/>
          <w:sz w:val="14"/>
        </w:rPr>
        <w:t xml:space="preserve">                                      |</w:t>
        <w:br/>
      </w:r>
      <w:r>
        <w:rPr>
          <w:rFonts w:ascii="Consolas" w:hAnsi="Consolas"/>
          <w:sz w:val="14"/>
        </w:rPr>
        <w:t xml:space="preserve">                                      v</w:t>
        <w:br/>
      </w:r>
      <w:r>
        <w:rPr>
          <w:rFonts w:ascii="Consolas" w:hAnsi="Consolas"/>
          <w:sz w:val="14"/>
        </w:rPr>
        <w:t xml:space="preserve">                              CONTEXT BUILDER</w:t>
        <w:br/>
      </w:r>
      <w:r>
        <w:rPr>
          <w:rFonts w:ascii="Consolas" w:hAnsi="Consolas"/>
          <w:sz w:val="14"/>
        </w:rPr>
        <w:t xml:space="preserve">                                      |</w:t>
        <w:br/>
      </w:r>
      <w:r>
        <w:rPr>
          <w:rFonts w:ascii="Consolas" w:hAnsi="Consolas"/>
          <w:sz w:val="14"/>
        </w:rPr>
        <w:t xml:space="preserve">                                      v</w:t>
        <w:br/>
      </w:r>
      <w:r>
        <w:rPr>
          <w:rFonts w:ascii="Consolas" w:hAnsi="Consolas"/>
          <w:sz w:val="14"/>
        </w:rPr>
        <w:t xml:space="preserve">                          SPECIALIST SUBGRAPHS / LLM</w:t>
        <w:br/>
      </w:r>
      <w:r>
        <w:rPr>
          <w:rFonts w:ascii="Consolas" w:hAnsi="Consolas"/>
          <w:sz w:val="14"/>
        </w:rPr>
        <w:t xml:space="preserve">                                      |</w:t>
        <w:br/>
      </w:r>
      <w:r>
        <w:rPr>
          <w:rFonts w:ascii="Consolas" w:hAnsi="Consolas"/>
          <w:sz w:val="14"/>
        </w:rPr>
        <w:t xml:space="preserve">                                      v</w:t>
        <w:br/>
      </w:r>
      <w:r>
        <w:rPr>
          <w:rFonts w:ascii="Consolas" w:hAnsi="Consolas"/>
          <w:sz w:val="14"/>
        </w:rPr>
        <w:t xml:space="preserve">                              STRUCTURED ADVISORY</w:t>
        <w:br/>
      </w:r>
    </w:p>
    <w:p/>
    <w:p>
      <w:pPr>
        <w:pStyle w:val="Heading1"/>
      </w:pPr>
      <w:r>
        <w:t>5. Six Context Families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4"/>
              </w:rPr>
              <w:t>Context family</w:t>
            </w:r>
          </w:p>
        </w:tc>
        <w:tc>
          <w:tcPr>
            <w:tcW w:type="dxa" w:w="2091"/>
            <w:shd w:fill="D9EAF7"/>
          </w:tcPr>
          <w:p>
            <w:r>
              <w:rPr>
                <w:b/>
                <w:sz w:val="14"/>
              </w:rPr>
              <w:t>What the Agent needs</w:t>
            </w:r>
          </w:p>
        </w:tc>
        <w:tc>
          <w:tcPr>
            <w:tcW w:type="dxa" w:w="2091"/>
            <w:shd w:fill="D9EAF7"/>
          </w:tcPr>
          <w:p>
            <w:r>
              <w:rPr>
                <w:b/>
                <w:sz w:val="14"/>
              </w:rPr>
              <w:t>Authoritative source</w:t>
            </w:r>
          </w:p>
        </w:tc>
        <w:tc>
          <w:tcPr>
            <w:tcW w:type="dxa" w:w="2091"/>
            <w:shd w:fill="D9EAF7"/>
          </w:tcPr>
          <w:p>
            <w:r>
              <w:rPr>
                <w:b/>
                <w:sz w:val="14"/>
              </w:rPr>
              <w:t>Is it KB?</w:t>
            </w:r>
          </w:p>
        </w:tc>
        <w:tc>
          <w:tcPr>
            <w:tcW w:type="dxa" w:w="2091"/>
            <w:shd w:fill="D9EAF7"/>
          </w:tcPr>
          <w:p>
            <w:r>
              <w:rPr>
                <w:b/>
                <w:sz w:val="14"/>
              </w:rPr>
              <w:t>Runtime?</w:t>
            </w:r>
          </w:p>
        </w:tc>
      </w:tr>
      <w:tr>
        <w:tc>
          <w:tcPr>
            <w:tcW w:type="dxa" w:w="2091"/>
            <w:vAlign w:val="center"/>
          </w:tcPr>
          <w:p>
            <w:r>
              <w:rPr>
                <w:sz w:val="14"/>
              </w:rPr>
              <w:t>ESP Knowledge</w:t>
            </w:r>
          </w:p>
        </w:tc>
        <w:tc>
          <w:tcPr>
            <w:tcW w:type="dxa" w:w="2091"/>
            <w:vAlign w:val="center"/>
          </w:tcPr>
          <w:p>
            <w:r>
              <w:rPr>
                <w:sz w:val="14"/>
              </w:rPr>
              <w:t>Concepts, OEM, procedures, faults, cases, standards</w:t>
            </w:r>
          </w:p>
        </w:tc>
        <w:tc>
          <w:tcPr>
            <w:tcW w:type="dxa" w:w="2091"/>
            <w:vAlign w:val="center"/>
          </w:tcPr>
          <w:p>
            <w:r>
              <w:rPr>
                <w:sz w:val="14"/>
              </w:rPr>
              <w:t>Knowledge Service</w:t>
            </w:r>
          </w:p>
        </w:tc>
        <w:tc>
          <w:tcPr>
            <w:tcW w:type="dxa" w:w="2091"/>
            <w:vAlign w:val="center"/>
          </w:tcPr>
          <w:p>
            <w:r>
              <w:rPr>
                <w:sz w:val="14"/>
              </w:rPr>
              <w:t>Yes</w:t>
            </w:r>
          </w:p>
        </w:tc>
        <w:tc>
          <w:tcPr>
            <w:tcW w:type="dxa" w:w="2091"/>
            <w:vAlign w:val="center"/>
          </w:tcPr>
          <w:p>
            <w:r>
              <w:rPr>
                <w:sz w:val="14"/>
              </w:rPr>
              <w:t>Mostly static</w:t>
            </w:r>
          </w:p>
        </w:tc>
      </w:tr>
      <w:tr>
        <w:tc>
          <w:tcPr>
            <w:tcW w:type="dxa" w:w="2091"/>
            <w:vAlign w:val="center"/>
          </w:tcPr>
          <w:p>
            <w:r>
              <w:rPr>
                <w:sz w:val="14"/>
              </w:rPr>
              <w:t>Asset Context</w:t>
            </w:r>
          </w:p>
        </w:tc>
        <w:tc>
          <w:tcPr>
            <w:tcW w:type="dxa" w:w="2091"/>
            <w:vAlign w:val="center"/>
          </w:tcPr>
          <w:p>
            <w:r>
              <w:rPr>
                <w:sz w:val="14"/>
              </w:rPr>
              <w:t>Installed hierarchy/configuration, pump/motor/VSD, limits, scope</w:t>
            </w:r>
          </w:p>
        </w:tc>
        <w:tc>
          <w:tcPr>
            <w:tcW w:type="dxa" w:w="2091"/>
            <w:vAlign w:val="center"/>
          </w:tcPr>
          <w:p>
            <w:r>
              <w:rPr>
                <w:sz w:val="14"/>
              </w:rPr>
              <w:t>Advait/client Asset Service</w:t>
            </w:r>
          </w:p>
        </w:tc>
        <w:tc>
          <w:tcPr>
            <w:tcW w:type="dxa" w:w="2091"/>
            <w:vAlign w:val="center"/>
          </w:tcPr>
          <w:p>
            <w:r>
              <w:rPr>
                <w:sz w:val="14"/>
              </w:rPr>
              <w:t>No (source of truth)</w:t>
            </w:r>
          </w:p>
        </w:tc>
        <w:tc>
          <w:tcPr>
            <w:tcW w:type="dxa" w:w="2091"/>
            <w:vAlign w:val="center"/>
          </w:tcPr>
          <w:p>
            <w:r>
              <w:rPr>
                <w:sz w:val="14"/>
              </w:rPr>
              <w:t>Sync + refresh</w:t>
            </w:r>
          </w:p>
        </w:tc>
      </w:tr>
      <w:tr>
        <w:tc>
          <w:tcPr>
            <w:tcW w:type="dxa" w:w="2091"/>
            <w:vAlign w:val="center"/>
          </w:tcPr>
          <w:p>
            <w:r>
              <w:rPr>
                <w:sz w:val="14"/>
              </w:rPr>
              <w:t>Runtime Telemetry</w:t>
            </w:r>
          </w:p>
        </w:tc>
        <w:tc>
          <w:tcPr>
            <w:tcW w:type="dxa" w:w="2091"/>
            <w:vAlign w:val="center"/>
          </w:tcPr>
          <w:p>
            <w:r>
              <w:rPr>
                <w:sz w:val="14"/>
              </w:rPr>
              <w:t>Current/historical measurements + QoD</w:t>
            </w:r>
          </w:p>
        </w:tc>
        <w:tc>
          <w:tcPr>
            <w:tcW w:type="dxa" w:w="2091"/>
            <w:vAlign w:val="center"/>
          </w:tcPr>
          <w:p>
            <w:r>
              <w:rPr>
                <w:sz w:val="14"/>
              </w:rPr>
              <w:t>SCADA/Simulator/Historian</w:t>
            </w:r>
          </w:p>
        </w:tc>
        <w:tc>
          <w:tcPr>
            <w:tcW w:type="dxa" w:w="2091"/>
            <w:vAlign w:val="center"/>
          </w:tcPr>
          <w:p>
            <w:r>
              <w:rPr>
                <w:sz w:val="14"/>
              </w:rPr>
              <w:t>No</w:t>
            </w:r>
          </w:p>
        </w:tc>
        <w:tc>
          <w:tcPr>
            <w:tcW w:type="dxa" w:w="2091"/>
            <w:vAlign w:val="center"/>
          </w:tcPr>
          <w:p>
            <w:r>
              <w:rPr>
                <w:sz w:val="14"/>
              </w:rPr>
              <w:t>Yes</w:t>
            </w:r>
          </w:p>
        </w:tc>
      </w:tr>
      <w:tr>
        <w:tc>
          <w:tcPr>
            <w:tcW w:type="dxa" w:w="2091"/>
            <w:vAlign w:val="center"/>
          </w:tcPr>
          <w:p>
            <w:r>
              <w:rPr>
                <w:sz w:val="14"/>
              </w:rPr>
              <w:t>Engineering Evidence</w:t>
            </w:r>
          </w:p>
        </w:tc>
        <w:tc>
          <w:tcPr>
            <w:tcW w:type="dxa" w:w="2091"/>
            <w:vAlign w:val="center"/>
          </w:tcPr>
          <w:p>
            <w:r>
              <w:rPr>
                <w:sz w:val="14"/>
              </w:rPr>
              <w:t>Calculated operating point, TDH, BEP/ROR, gas/electrical metrics</w:t>
            </w:r>
          </w:p>
        </w:tc>
        <w:tc>
          <w:tcPr>
            <w:tcW w:type="dxa" w:w="2091"/>
            <w:vAlign w:val="center"/>
          </w:tcPr>
          <w:p>
            <w:r>
              <w:rPr>
                <w:sz w:val="14"/>
              </w:rPr>
              <w:t>Engineering Service</w:t>
            </w:r>
          </w:p>
        </w:tc>
        <w:tc>
          <w:tcPr>
            <w:tcW w:type="dxa" w:w="2091"/>
            <w:vAlign w:val="center"/>
          </w:tcPr>
          <w:p>
            <w:r>
              <w:rPr>
                <w:sz w:val="14"/>
              </w:rPr>
              <w:t>No</w:t>
            </w:r>
          </w:p>
        </w:tc>
        <w:tc>
          <w:tcPr>
            <w:tcW w:type="dxa" w:w="2091"/>
            <w:vAlign w:val="center"/>
          </w:tcPr>
          <w:p>
            <w:r>
              <w:rPr>
                <w:sz w:val="14"/>
              </w:rPr>
              <w:t>Yes</w:t>
            </w:r>
          </w:p>
        </w:tc>
      </w:tr>
      <w:tr>
        <w:tc>
          <w:tcPr>
            <w:tcW w:type="dxa" w:w="2091"/>
            <w:vAlign w:val="center"/>
          </w:tcPr>
          <w:p>
            <w:r>
              <w:rPr>
                <w:sz w:val="14"/>
              </w:rPr>
              <w:t>ML Evidence</w:t>
            </w:r>
          </w:p>
        </w:tc>
        <w:tc>
          <w:tcPr>
            <w:tcW w:type="dxa" w:w="2091"/>
            <w:vAlign w:val="center"/>
          </w:tcPr>
          <w:p>
            <w:r>
              <w:rPr>
                <w:sz w:val="14"/>
              </w:rPr>
              <w:t>Anomaly, degradation, failure risk, thermal/gas/vibration outputs</w:t>
            </w:r>
          </w:p>
        </w:tc>
        <w:tc>
          <w:tcPr>
            <w:tcW w:type="dxa" w:w="2091"/>
            <w:vAlign w:val="center"/>
          </w:tcPr>
          <w:p>
            <w:r>
              <w:rPr>
                <w:sz w:val="14"/>
              </w:rPr>
              <w:t>ESP Model Services</w:t>
            </w:r>
          </w:p>
        </w:tc>
        <w:tc>
          <w:tcPr>
            <w:tcW w:type="dxa" w:w="2091"/>
            <w:vAlign w:val="center"/>
          </w:tcPr>
          <w:p>
            <w:r>
              <w:rPr>
                <w:sz w:val="14"/>
              </w:rPr>
              <w:t>No</w:t>
            </w:r>
          </w:p>
        </w:tc>
        <w:tc>
          <w:tcPr>
            <w:tcW w:type="dxa" w:w="2091"/>
            <w:vAlign w:val="center"/>
          </w:tcPr>
          <w:p>
            <w:r>
              <w:rPr>
                <w:sz w:val="14"/>
              </w:rPr>
              <w:t>Yes</w:t>
            </w:r>
          </w:p>
        </w:tc>
      </w:tr>
      <w:tr>
        <w:tc>
          <w:tcPr>
            <w:tcW w:type="dxa" w:w="2091"/>
            <w:vAlign w:val="center"/>
          </w:tcPr>
          <w:p>
            <w:r>
              <w:rPr>
                <w:sz w:val="14"/>
              </w:rPr>
              <w:t>Historical Cases</w:t>
            </w:r>
          </w:p>
        </w:tc>
        <w:tc>
          <w:tcPr>
            <w:tcW w:type="dxa" w:w="2091"/>
            <w:vAlign w:val="center"/>
          </w:tcPr>
          <w:p>
            <w:r>
              <w:rPr>
                <w:sz w:val="14"/>
              </w:rPr>
              <w:t>Confirmed RCA, workover, intervention outcomes</w:t>
            </w:r>
          </w:p>
        </w:tc>
        <w:tc>
          <w:tcPr>
            <w:tcW w:type="dxa" w:w="2091"/>
            <w:vAlign w:val="center"/>
          </w:tcPr>
          <w:p>
            <w:r>
              <w:rPr>
                <w:sz w:val="14"/>
              </w:rPr>
              <w:t>Case/Knowledge Service</w:t>
            </w:r>
          </w:p>
        </w:tc>
        <w:tc>
          <w:tcPr>
            <w:tcW w:type="dxa" w:w="2091"/>
            <w:vAlign w:val="center"/>
          </w:tcPr>
          <w:p>
            <w:r>
              <w:rPr>
                <w:sz w:val="14"/>
              </w:rPr>
              <w:t>Yes, as case knowledge</w:t>
            </w:r>
          </w:p>
        </w:tc>
        <w:tc>
          <w:tcPr>
            <w:tcW w:type="dxa" w:w="2091"/>
            <w:vAlign w:val="center"/>
          </w:tcPr>
          <w:p>
            <w:r>
              <w:rPr>
                <w:sz w:val="14"/>
              </w:rPr>
              <w:t>Mostly historical</w:t>
            </w:r>
          </w:p>
        </w:tc>
      </w:tr>
    </w:tbl>
    <w:p/>
    <w:p>
      <w:pPr>
        <w:spacing w:after="80"/>
        <w:jc w:val="left"/>
      </w:pPr>
      <w:r>
        <w:rPr>
          <w:b w:val="0"/>
          <w:i w:val="0"/>
        </w:rPr>
        <w:t>The Lead guideline explicitly treats Asset Context, Data Services, Engineering Services, Knowledge Services and ML Services as distinct layers. fileciteturn11file0L59-L69</w:t>
      </w:r>
    </w:p>
    <w:p>
      <w:pPr>
        <w:pStyle w:val="Heading1"/>
      </w:pPr>
      <w:r>
        <w:t>6. Asset Context Toolset</w:t>
      </w:r>
    </w:p>
    <w:p>
      <w:pPr>
        <w:pStyle w:val="Heading2"/>
      </w:pPr>
      <w:r>
        <w:t>6.1 What Asset Context contains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Tool</w:t>
            </w:r>
          </w:p>
        </w:tc>
        <w:tc>
          <w:tcPr>
            <w:tcW w:type="dxa" w:w="3485"/>
            <w:shd w:fill="D9EAF7"/>
          </w:tcPr>
          <w:p>
            <w:r>
              <w:rPr>
                <w:b/>
                <w:sz w:val="14"/>
              </w:rPr>
              <w:t>Purpose</w:t>
            </w:r>
          </w:p>
        </w:tc>
        <w:tc>
          <w:tcPr>
            <w:tcW w:type="dxa" w:w="3485"/>
            <w:shd w:fill="D9EAF7"/>
          </w:tcPr>
          <w:p>
            <w:r>
              <w:rPr>
                <w:b/>
                <w:sz w:val="14"/>
              </w:rPr>
              <w:t>Typical fields returned</w:t>
            </w:r>
          </w:p>
        </w:tc>
      </w:tr>
      <w:tr>
        <w:tc>
          <w:tcPr>
            <w:tcW w:type="dxa" w:w="3485"/>
            <w:vAlign w:val="center"/>
          </w:tcPr>
          <w:p>
            <w:r>
              <w:rPr>
                <w:sz w:val="14"/>
              </w:rPr>
              <w:t>get_asset_context</w:t>
            </w:r>
          </w:p>
        </w:tc>
        <w:tc>
          <w:tcPr>
            <w:tcW w:type="dxa" w:w="3485"/>
            <w:vAlign w:val="center"/>
          </w:tcPr>
          <w:p>
            <w:r>
              <w:rPr>
                <w:sz w:val="14"/>
              </w:rPr>
              <w:t>Primary exact ESP context</w:t>
            </w:r>
          </w:p>
        </w:tc>
        <w:tc>
          <w:tcPr>
            <w:tcW w:type="dxa" w:w="3485"/>
            <w:vAlign w:val="center"/>
          </w:tcPr>
          <w:p>
            <w:r>
              <w:rPr>
                <w:sz w:val="14"/>
              </w:rPr>
              <w:t>tenant, field, well, ESP, parent/child relationships, installed equipment, model refs, limits</w:t>
            </w:r>
          </w:p>
        </w:tc>
      </w:tr>
      <w:tr>
        <w:tc>
          <w:tcPr>
            <w:tcW w:type="dxa" w:w="3485"/>
            <w:vAlign w:val="center"/>
          </w:tcPr>
          <w:p>
            <w:r>
              <w:rPr>
                <w:sz w:val="14"/>
              </w:rPr>
              <w:t>get_asset_hierarchy</w:t>
            </w:r>
          </w:p>
        </w:tc>
        <w:tc>
          <w:tcPr>
            <w:tcW w:type="dxa" w:w="3485"/>
            <w:vAlign w:val="center"/>
          </w:tcPr>
          <w:p>
            <w:r>
              <w:rPr>
                <w:sz w:val="14"/>
              </w:rPr>
              <w:t>Resolve hierarchy</w:t>
            </w:r>
          </w:p>
        </w:tc>
        <w:tc>
          <w:tcPr>
            <w:tcW w:type="dxa" w:w="3485"/>
            <w:vAlign w:val="center"/>
          </w:tcPr>
          <w:p>
            <w:r>
              <w:rPr>
                <w:sz w:val="14"/>
              </w:rPr>
              <w:t>field→well→ESP→component→sensor</w:t>
            </w:r>
          </w:p>
        </w:tc>
      </w:tr>
      <w:tr>
        <w:tc>
          <w:tcPr>
            <w:tcW w:type="dxa" w:w="3485"/>
            <w:vAlign w:val="center"/>
          </w:tcPr>
          <w:p>
            <w:r>
              <w:rPr>
                <w:sz w:val="14"/>
              </w:rPr>
              <w:t>get_installed_equipment</w:t>
            </w:r>
          </w:p>
        </w:tc>
        <w:tc>
          <w:tcPr>
            <w:tcW w:type="dxa" w:w="3485"/>
            <w:vAlign w:val="center"/>
          </w:tcPr>
          <w:p>
            <w:r>
              <w:rPr>
                <w:sz w:val="14"/>
              </w:rPr>
              <w:t>Equipment configuration</w:t>
            </w:r>
          </w:p>
        </w:tc>
        <w:tc>
          <w:tcPr>
            <w:tcW w:type="dxa" w:w="3485"/>
            <w:vAlign w:val="center"/>
          </w:tcPr>
          <w:p>
            <w:r>
              <w:rPr>
                <w:sz w:val="14"/>
              </w:rPr>
              <w:t>pump, stages, motor, protector, cable, VSD, intake</w:t>
            </w:r>
          </w:p>
        </w:tc>
      </w:tr>
      <w:tr>
        <w:tc>
          <w:tcPr>
            <w:tcW w:type="dxa" w:w="3485"/>
            <w:vAlign w:val="center"/>
          </w:tcPr>
          <w:p>
            <w:r>
              <w:rPr>
                <w:sz w:val="14"/>
              </w:rPr>
              <w:t>get_tag_mapping</w:t>
            </w:r>
          </w:p>
        </w:tc>
        <w:tc>
          <w:tcPr>
            <w:tcW w:type="dxa" w:w="3485"/>
            <w:vAlign w:val="center"/>
          </w:tcPr>
          <w:p>
            <w:r>
              <w:rPr>
                <w:sz w:val="14"/>
              </w:rPr>
              <w:t>Map telemetry tags to semantic signals</w:t>
            </w:r>
          </w:p>
        </w:tc>
        <w:tc>
          <w:tcPr>
            <w:tcW w:type="dxa" w:w="3485"/>
            <w:vAlign w:val="center"/>
          </w:tcPr>
          <w:p>
            <w:r>
              <w:rPr>
                <w:sz w:val="14"/>
              </w:rPr>
              <w:t>tag_id, tag_name, engineering meaning, unit</w:t>
            </w:r>
          </w:p>
        </w:tc>
      </w:tr>
      <w:tr>
        <w:tc>
          <w:tcPr>
            <w:tcW w:type="dxa" w:w="3485"/>
            <w:vAlign w:val="center"/>
          </w:tcPr>
          <w:p>
            <w:r>
              <w:rPr>
                <w:sz w:val="14"/>
              </w:rPr>
              <w:t>get_operating_limits</w:t>
            </w:r>
          </w:p>
        </w:tc>
        <w:tc>
          <w:tcPr>
            <w:tcW w:type="dxa" w:w="3485"/>
            <w:vAlign w:val="center"/>
          </w:tcPr>
          <w:p>
            <w:r>
              <w:rPr>
                <w:sz w:val="14"/>
              </w:rPr>
              <w:t>Approved limits</w:t>
            </w:r>
          </w:p>
        </w:tc>
        <w:tc>
          <w:tcPr>
            <w:tcW w:type="dxa" w:w="3485"/>
            <w:vAlign w:val="center"/>
          </w:tcPr>
          <w:p>
            <w:r>
              <w:rPr>
                <w:sz w:val="14"/>
              </w:rPr>
              <w:t>PIP min, frequency max, motor load, ROR, temp limits</w:t>
            </w:r>
          </w:p>
        </w:tc>
      </w:tr>
      <w:tr>
        <w:tc>
          <w:tcPr>
            <w:tcW w:type="dxa" w:w="3485"/>
            <w:vAlign w:val="center"/>
          </w:tcPr>
          <w:p>
            <w:r>
              <w:rPr>
                <w:sz w:val="14"/>
              </w:rPr>
              <w:t>get_well_context</w:t>
            </w:r>
          </w:p>
        </w:tc>
        <w:tc>
          <w:tcPr>
            <w:tcW w:type="dxa" w:w="3485"/>
            <w:vAlign w:val="center"/>
          </w:tcPr>
          <w:p>
            <w:r>
              <w:rPr>
                <w:sz w:val="14"/>
              </w:rPr>
              <w:t>Well/completion context</w:t>
            </w:r>
          </w:p>
        </w:tc>
        <w:tc>
          <w:tcPr>
            <w:tcW w:type="dxa" w:w="3485"/>
            <w:vAlign w:val="center"/>
          </w:tcPr>
          <w:p>
            <w:r>
              <w:rPr>
                <w:sz w:val="14"/>
              </w:rPr>
              <w:t>depth, completion, fluid/PVT, reservoir context</w:t>
            </w:r>
          </w:p>
        </w:tc>
      </w:tr>
      <w:tr>
        <w:tc>
          <w:tcPr>
            <w:tcW w:type="dxa" w:w="3485"/>
            <w:vAlign w:val="center"/>
          </w:tcPr>
          <w:p>
            <w:r>
              <w:rPr>
                <w:sz w:val="14"/>
              </w:rPr>
              <w:t>get_asset_version</w:t>
            </w:r>
          </w:p>
        </w:tc>
        <w:tc>
          <w:tcPr>
            <w:tcW w:type="dxa" w:w="3485"/>
            <w:vAlign w:val="center"/>
          </w:tcPr>
          <w:p>
            <w:r>
              <w:rPr>
                <w:sz w:val="14"/>
              </w:rPr>
              <w:t>Provenance</w:t>
            </w:r>
          </w:p>
        </w:tc>
        <w:tc>
          <w:tcPr>
            <w:tcW w:type="dxa" w:w="3485"/>
            <w:vAlign w:val="center"/>
          </w:tcPr>
          <w:p>
            <w:r>
              <w:rPr>
                <w:sz w:val="14"/>
              </w:rPr>
              <w:t>configuration version, synced_at, source revision</w:t>
            </w:r>
          </w:p>
        </w:tc>
      </w:tr>
    </w:tbl>
    <w:p/>
    <w:p>
      <w:pPr>
        <w:pStyle w:val="Heading2"/>
      </w:pPr>
      <w:r>
        <w:t>6.2 Source and sync</w:t>
      </w:r>
    </w:p>
    <w:p>
      <w:pPr>
        <w:ind w:left="259" w:right="259"/>
      </w:pPr>
      <w:r>
        <w:rPr>
          <w:rFonts w:ascii="Consolas" w:hAnsi="Consolas"/>
          <w:sz w:val="14"/>
        </w:rPr>
        <w:t>Advait / Client Asset Platform</w:t>
        <w:br/>
      </w:r>
      <w:r>
        <w:rPr>
          <w:rFonts w:ascii="Consolas" w:hAnsi="Consolas"/>
          <w:sz w:val="14"/>
        </w:rPr>
        <w:t xml:space="preserve">        |</w:t>
        <w:br/>
      </w:r>
      <w:r>
        <w:rPr>
          <w:rFonts w:ascii="Consolas" w:hAnsi="Consolas"/>
          <w:sz w:val="14"/>
        </w:rPr>
        <w:t xml:space="preserve">   initial sync</w:t>
        <w:br/>
      </w:r>
      <w:r>
        <w:rPr>
          <w:rFonts w:ascii="Consolas" w:hAnsi="Consolas"/>
          <w:sz w:val="14"/>
        </w:rPr>
        <w:t xml:space="preserve">        |</w:t>
        <w:br/>
      </w:r>
      <w:r>
        <w:rPr>
          <w:rFonts w:ascii="Consolas" w:hAnsi="Consolas"/>
          <w:sz w:val="14"/>
        </w:rPr>
        <w:t xml:space="preserve">        v</w:t>
        <w:br/>
      </w:r>
      <w:r>
        <w:rPr>
          <w:rFonts w:ascii="Consolas" w:hAnsi="Consolas"/>
          <w:sz w:val="14"/>
        </w:rPr>
        <w:t>Asset Context Projection</w:t>
        <w:br/>
      </w:r>
      <w:r>
        <w:rPr>
          <w:rFonts w:ascii="Consolas" w:hAnsi="Consolas"/>
          <w:sz w:val="14"/>
        </w:rPr>
        <w:t xml:space="preserve">        |</w:t>
        <w:br/>
      </w:r>
      <w:r>
        <w:rPr>
          <w:rFonts w:ascii="Consolas" w:hAnsi="Consolas"/>
          <w:sz w:val="14"/>
        </w:rPr>
        <w:t xml:space="preserve">        +--&gt; PostgreSQL</w:t>
        <w:br/>
      </w:r>
      <w:r>
        <w:rPr>
          <w:rFonts w:ascii="Consolas" w:hAnsi="Consolas"/>
          <w:sz w:val="14"/>
        </w:rPr>
        <w:t xml:space="preserve">        +--&gt; cache</w:t>
        <w:br/>
      </w:r>
      <w:r>
        <w:rPr>
          <w:rFonts w:ascii="Consolas" w:hAnsi="Consolas"/>
          <w:sz w:val="14"/>
        </w:rPr>
        <w:t xml:space="preserve">        +--&gt; version/freshness</w:t>
        <w:br/>
      </w:r>
      <w:r>
        <w:rPr>
          <w:rFonts w:ascii="Consolas" w:hAnsi="Consolas"/>
          <w:sz w:val="14"/>
        </w:rPr>
        <w:t xml:space="preserve">        |</w:t>
        <w:br/>
      </w:r>
      <w:r>
        <w:rPr>
          <w:rFonts w:ascii="Consolas" w:hAnsi="Consolas"/>
          <w:sz w:val="14"/>
        </w:rPr>
        <w:t xml:space="preserve">        v</w:t>
        <w:br/>
      </w:r>
      <w:r>
        <w:rPr>
          <w:rFonts w:ascii="Consolas" w:hAnsi="Consolas"/>
          <w:sz w:val="14"/>
        </w:rPr>
        <w:t>get_asset_context()</w:t>
        <w:br/>
      </w:r>
      <w:r>
        <w:rPr>
          <w:rFonts w:ascii="Consolas" w:hAnsi="Consolas"/>
          <w:sz w:val="14"/>
        </w:rPr>
        <w:t xml:space="preserve">        |</w:t>
        <w:br/>
      </w:r>
      <w:r>
        <w:rPr>
          <w:rFonts w:ascii="Consolas" w:hAnsi="Consolas"/>
          <w:sz w:val="14"/>
        </w:rPr>
        <w:t xml:space="preserve">        v</w:t>
        <w:br/>
      </w:r>
      <w:r>
        <w:rPr>
          <w:rFonts w:ascii="Consolas" w:hAnsi="Consolas"/>
          <w:sz w:val="14"/>
        </w:rPr>
        <w:t>Agent</w:t>
        <w:br/>
      </w:r>
    </w:p>
    <w:p/>
    <w:p>
      <w:pPr>
        <w:spacing w:after="80"/>
        <w:jc w:val="left"/>
      </w:pPr>
      <w:r>
        <w:rPr>
          <w:b w:val="0"/>
          <w:i w:val="0"/>
        </w:rPr>
        <w:t>Static/slow-changing hierarchy and configuration should normally be synchronized ahead of runtime. Current state should still be refreshed when freshness matters. The guideline requires exact installed configuration before operating questions. fileciteturn11file0L110-L113</w:t>
      </w:r>
    </w:p>
    <w:p>
      <w:pPr>
        <w:pStyle w:val="Heading1"/>
      </w:pPr>
      <w:r>
        <w:t>7. Runtime Telemetry Toolset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Tool</w:t>
            </w:r>
          </w:p>
        </w:tc>
        <w:tc>
          <w:tcPr>
            <w:tcW w:type="dxa" w:w="2613"/>
            <w:shd w:fill="D9EAF7"/>
          </w:tcPr>
          <w:p>
            <w:r>
              <w:rPr>
                <w:b/>
                <w:sz w:val="14"/>
              </w:rPr>
              <w:t>Purpose</w:t>
            </w:r>
          </w:p>
        </w:tc>
        <w:tc>
          <w:tcPr>
            <w:tcW w:type="dxa" w:w="2613"/>
            <w:shd w:fill="D9EAF7"/>
          </w:tcPr>
          <w:p>
            <w:r>
              <w:rPr>
                <w:b/>
                <w:sz w:val="14"/>
              </w:rPr>
              <w:t>Inputs</w:t>
            </w:r>
          </w:p>
        </w:tc>
        <w:tc>
          <w:tcPr>
            <w:tcW w:type="dxa" w:w="2613"/>
            <w:shd w:fill="D9EAF7"/>
          </w:tcPr>
          <w:p>
            <w:r>
              <w:rPr>
                <w:b/>
                <w:sz w:val="14"/>
              </w:rPr>
              <w:t>Outputs</w:t>
            </w:r>
          </w:p>
        </w:tc>
      </w:tr>
      <w:tr>
        <w:tc>
          <w:tcPr>
            <w:tcW w:type="dxa" w:w="2613"/>
            <w:vAlign w:val="center"/>
          </w:tcPr>
          <w:p>
            <w:r>
              <w:rPr>
                <w:sz w:val="14"/>
              </w:rPr>
              <w:t>get_live_snapshot</w:t>
            </w:r>
          </w:p>
        </w:tc>
        <w:tc>
          <w:tcPr>
            <w:tcW w:type="dxa" w:w="2613"/>
            <w:vAlign w:val="center"/>
          </w:tcPr>
          <w:p>
            <w:r>
              <w:rPr>
                <w:sz w:val="14"/>
              </w:rPr>
              <w:t>Current condition</w:t>
            </w:r>
          </w:p>
        </w:tc>
        <w:tc>
          <w:tcPr>
            <w:tcW w:type="dxa" w:w="2613"/>
            <w:vAlign w:val="center"/>
          </w:tcPr>
          <w:p>
            <w:r>
              <w:rPr>
                <w:sz w:val="14"/>
              </w:rPr>
              <w:t>asset_id, tag set</w:t>
            </w:r>
          </w:p>
        </w:tc>
        <w:tc>
          <w:tcPr>
            <w:tcW w:type="dxa" w:w="2613"/>
            <w:vAlign w:val="center"/>
          </w:tcPr>
          <w:p>
            <w:r>
              <w:rPr>
                <w:sz w:val="14"/>
              </w:rPr>
              <w:t>current values + timestamps + units + QoD</w:t>
            </w:r>
          </w:p>
        </w:tc>
      </w:tr>
      <w:tr>
        <w:tc>
          <w:tcPr>
            <w:tcW w:type="dxa" w:w="2613"/>
            <w:vAlign w:val="center"/>
          </w:tcPr>
          <w:p>
            <w:r>
              <w:rPr>
                <w:sz w:val="14"/>
              </w:rPr>
              <w:t>get_history_window</w:t>
            </w:r>
          </w:p>
        </w:tc>
        <w:tc>
          <w:tcPr>
            <w:tcW w:type="dxa" w:w="2613"/>
            <w:vAlign w:val="center"/>
          </w:tcPr>
          <w:p>
            <w:r>
              <w:rPr>
                <w:sz w:val="14"/>
              </w:rPr>
              <w:t>Trend</w:t>
            </w:r>
          </w:p>
        </w:tc>
        <w:tc>
          <w:tcPr>
            <w:tcW w:type="dxa" w:w="2613"/>
            <w:vAlign w:val="center"/>
          </w:tcPr>
          <w:p>
            <w:r>
              <w:rPr>
                <w:sz w:val="14"/>
              </w:rPr>
              <w:t>asset_id, tags, start, end, aggregation</w:t>
            </w:r>
          </w:p>
        </w:tc>
        <w:tc>
          <w:tcPr>
            <w:tcW w:type="dxa" w:w="2613"/>
            <w:vAlign w:val="center"/>
          </w:tcPr>
          <w:p>
            <w:r>
              <w:rPr>
                <w:sz w:val="14"/>
              </w:rPr>
              <w:t>time series + coverage</w:t>
            </w:r>
          </w:p>
        </w:tc>
      </w:tr>
      <w:tr>
        <w:tc>
          <w:tcPr>
            <w:tcW w:type="dxa" w:w="2613"/>
            <w:vAlign w:val="center"/>
          </w:tcPr>
          <w:p>
            <w:r>
              <w:rPr>
                <w:sz w:val="14"/>
              </w:rPr>
              <w:t>get_startup_window</w:t>
            </w:r>
          </w:p>
        </w:tc>
        <w:tc>
          <w:tcPr>
            <w:tcW w:type="dxa" w:w="2613"/>
            <w:vAlign w:val="center"/>
          </w:tcPr>
          <w:p>
            <w:r>
              <w:rPr>
                <w:sz w:val="14"/>
              </w:rPr>
              <w:t>Transient context</w:t>
            </w:r>
          </w:p>
        </w:tc>
        <w:tc>
          <w:tcPr>
            <w:tcW w:type="dxa" w:w="2613"/>
            <w:vAlign w:val="center"/>
          </w:tcPr>
          <w:p>
            <w:r>
              <w:rPr>
                <w:sz w:val="14"/>
              </w:rPr>
              <w:t>asset_id, event/time</w:t>
            </w:r>
          </w:p>
        </w:tc>
        <w:tc>
          <w:tcPr>
            <w:tcW w:type="dxa" w:w="2613"/>
            <w:vAlign w:val="center"/>
          </w:tcPr>
          <w:p>
            <w:r>
              <w:rPr>
                <w:sz w:val="14"/>
              </w:rPr>
              <w:t>startup profile</w:t>
            </w:r>
          </w:p>
        </w:tc>
      </w:tr>
      <w:tr>
        <w:tc>
          <w:tcPr>
            <w:tcW w:type="dxa" w:w="2613"/>
            <w:vAlign w:val="center"/>
          </w:tcPr>
          <w:p>
            <w:r>
              <w:rPr>
                <w:sz w:val="14"/>
              </w:rPr>
              <w:t>get_pre_trip_window</w:t>
            </w:r>
          </w:p>
        </w:tc>
        <w:tc>
          <w:tcPr>
            <w:tcW w:type="dxa" w:w="2613"/>
            <w:vAlign w:val="center"/>
          </w:tcPr>
          <w:p>
            <w:r>
              <w:rPr>
                <w:sz w:val="14"/>
              </w:rPr>
              <w:t>Trip RCA</w:t>
            </w:r>
          </w:p>
        </w:tc>
        <w:tc>
          <w:tcPr>
            <w:tcW w:type="dxa" w:w="2613"/>
            <w:vAlign w:val="center"/>
          </w:tcPr>
          <w:p>
            <w:r>
              <w:rPr>
                <w:sz w:val="14"/>
              </w:rPr>
              <w:t>asset_id, trip_time, lookback</w:t>
            </w:r>
          </w:p>
        </w:tc>
        <w:tc>
          <w:tcPr>
            <w:tcW w:type="dxa" w:w="2613"/>
            <w:vAlign w:val="center"/>
          </w:tcPr>
          <w:p>
            <w:r>
              <w:rPr>
                <w:sz w:val="14"/>
              </w:rPr>
              <w:t>pre-trip signals + QoD</w:t>
            </w:r>
          </w:p>
        </w:tc>
      </w:tr>
      <w:tr>
        <w:tc>
          <w:tcPr>
            <w:tcW w:type="dxa" w:w="2613"/>
            <w:vAlign w:val="center"/>
          </w:tcPr>
          <w:p>
            <w:r>
              <w:rPr>
                <w:sz w:val="14"/>
              </w:rPr>
              <w:t>get_signal_quality</w:t>
            </w:r>
          </w:p>
        </w:tc>
        <w:tc>
          <w:tcPr>
            <w:tcW w:type="dxa" w:w="2613"/>
            <w:vAlign w:val="center"/>
          </w:tcPr>
          <w:p>
            <w:r>
              <w:rPr>
                <w:sz w:val="14"/>
              </w:rPr>
              <w:t>Explicit QoD</w:t>
            </w:r>
          </w:p>
        </w:tc>
        <w:tc>
          <w:tcPr>
            <w:tcW w:type="dxa" w:w="2613"/>
            <w:vAlign w:val="center"/>
          </w:tcPr>
          <w:p>
            <w:r>
              <w:rPr>
                <w:sz w:val="14"/>
              </w:rPr>
              <w:t>asset_id, tags, window</w:t>
            </w:r>
          </w:p>
        </w:tc>
        <w:tc>
          <w:tcPr>
            <w:tcW w:type="dxa" w:w="2613"/>
            <w:vAlign w:val="center"/>
          </w:tcPr>
          <w:p>
            <w:r>
              <w:rPr>
                <w:sz w:val="14"/>
              </w:rPr>
              <w:t>freshness/stuck/spike/range/unit/time flags</w:t>
            </w:r>
          </w:p>
        </w:tc>
      </w:tr>
      <w:tr>
        <w:tc>
          <w:tcPr>
            <w:tcW w:type="dxa" w:w="2613"/>
            <w:vAlign w:val="center"/>
          </w:tcPr>
          <w:p>
            <w:r>
              <w:rPr>
                <w:sz w:val="14"/>
              </w:rPr>
              <w:t>get_events_timeline</w:t>
            </w:r>
          </w:p>
        </w:tc>
        <w:tc>
          <w:tcPr>
            <w:tcW w:type="dxa" w:w="2613"/>
            <w:vAlign w:val="center"/>
          </w:tcPr>
          <w:p>
            <w:r>
              <w:rPr>
                <w:sz w:val="14"/>
              </w:rPr>
              <w:t>Operational history</w:t>
            </w:r>
          </w:p>
        </w:tc>
        <w:tc>
          <w:tcPr>
            <w:tcW w:type="dxa" w:w="2613"/>
            <w:vAlign w:val="center"/>
          </w:tcPr>
          <w:p>
            <w:r>
              <w:rPr>
                <w:sz w:val="14"/>
              </w:rPr>
              <w:t>asset_id, window</w:t>
            </w:r>
          </w:p>
        </w:tc>
        <w:tc>
          <w:tcPr>
            <w:tcW w:type="dxa" w:w="2613"/>
            <w:vAlign w:val="center"/>
          </w:tcPr>
          <w:p>
            <w:r>
              <w:rPr>
                <w:sz w:val="14"/>
              </w:rPr>
              <w:t>start/stop/trip/setpoint/maintenance events</w:t>
            </w:r>
          </w:p>
        </w:tc>
      </w:tr>
      <w:tr>
        <w:tc>
          <w:tcPr>
            <w:tcW w:type="dxa" w:w="2613"/>
            <w:vAlign w:val="center"/>
          </w:tcPr>
          <w:p>
            <w:r>
              <w:rPr>
                <w:sz w:val="14"/>
              </w:rPr>
              <w:t>get_current_alarm_state</w:t>
            </w:r>
          </w:p>
        </w:tc>
        <w:tc>
          <w:tcPr>
            <w:tcW w:type="dxa" w:w="2613"/>
            <w:vAlign w:val="center"/>
          </w:tcPr>
          <w:p>
            <w:r>
              <w:rPr>
                <w:sz w:val="14"/>
              </w:rPr>
              <w:t>Current alerts</w:t>
            </w:r>
          </w:p>
        </w:tc>
        <w:tc>
          <w:tcPr>
            <w:tcW w:type="dxa" w:w="2613"/>
            <w:vAlign w:val="center"/>
          </w:tcPr>
          <w:p>
            <w:r>
              <w:rPr>
                <w:sz w:val="14"/>
              </w:rPr>
              <w:t>asset_id</w:t>
            </w:r>
          </w:p>
        </w:tc>
        <w:tc>
          <w:tcPr>
            <w:tcW w:type="dxa" w:w="2613"/>
            <w:vAlign w:val="center"/>
          </w:tcPr>
          <w:p>
            <w:r>
              <w:rPr>
                <w:sz w:val="14"/>
              </w:rPr>
              <w:t>active alerts + severity</w:t>
            </w:r>
          </w:p>
        </w:tc>
      </w:tr>
    </w:tbl>
    <w:p/>
    <w:p>
      <w:pPr>
        <w:spacing w:after="80"/>
        <w:jc w:val="left"/>
      </w:pPr>
      <w:r>
        <w:rPr>
          <w:b w:val="0"/>
          <w:i w:val="0"/>
        </w:rPr>
        <w:t>The guideline's mandatory question flow requires exact asset/time resolution, a data-quality gate, appropriate historian windows and events; the Appendix also defines historian and event service contracts. fileciteturn10file0L26-L45 fileciteturn10file2L195-L213</w:t>
      </w:r>
    </w:p>
    <w:p>
      <w:pPr>
        <w:pStyle w:val="Heading1"/>
      </w:pPr>
      <w:r>
        <w:t>8. Engineering Toolset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Tool</w:t>
            </w:r>
          </w:p>
        </w:tc>
        <w:tc>
          <w:tcPr>
            <w:tcW w:type="dxa" w:w="3485"/>
            <w:shd w:fill="D9EAF7"/>
          </w:tcPr>
          <w:p>
            <w:r>
              <w:rPr>
                <w:b/>
                <w:sz w:val="14"/>
              </w:rPr>
              <w:t>Purpose</w:t>
            </w:r>
          </w:p>
        </w:tc>
        <w:tc>
          <w:tcPr>
            <w:tcW w:type="dxa" w:w="3485"/>
            <w:shd w:fill="D9EAF7"/>
          </w:tcPr>
          <w:p>
            <w:r>
              <w:rPr>
                <w:b/>
                <w:sz w:val="14"/>
              </w:rPr>
              <w:t>Evidence returned</w:t>
            </w:r>
          </w:p>
        </w:tc>
      </w:tr>
      <w:tr>
        <w:tc>
          <w:tcPr>
            <w:tcW w:type="dxa" w:w="3485"/>
            <w:vAlign w:val="center"/>
          </w:tcPr>
          <w:p>
            <w:r>
              <w:rPr>
                <w:sz w:val="14"/>
              </w:rPr>
              <w:t>calculate_operating_point</w:t>
            </w:r>
          </w:p>
        </w:tc>
        <w:tc>
          <w:tcPr>
            <w:tcW w:type="dxa" w:w="3485"/>
            <w:vAlign w:val="center"/>
          </w:tcPr>
          <w:p>
            <w:r>
              <w:rPr>
                <w:sz w:val="14"/>
              </w:rPr>
              <w:t>Q/head/ΔP/BEP/ROR/efficiency</w:t>
            </w:r>
          </w:p>
        </w:tc>
        <w:tc>
          <w:tcPr>
            <w:tcW w:type="dxa" w:w="3485"/>
            <w:vAlign w:val="center"/>
          </w:tcPr>
          <w:p>
            <w:r>
              <w:rPr>
                <w:sz w:val="14"/>
              </w:rPr>
              <w:t>operating point + margins</w:t>
            </w:r>
          </w:p>
        </w:tc>
      </w:tr>
      <w:tr>
        <w:tc>
          <w:tcPr>
            <w:tcW w:type="dxa" w:w="3485"/>
            <w:vAlign w:val="center"/>
          </w:tcPr>
          <w:p>
            <w:r>
              <w:rPr>
                <w:sz w:val="14"/>
              </w:rPr>
              <w:t>calculate_pip_pdp_tdh</w:t>
            </w:r>
          </w:p>
        </w:tc>
        <w:tc>
          <w:tcPr>
            <w:tcW w:type="dxa" w:w="3485"/>
            <w:vAlign w:val="center"/>
          </w:tcPr>
          <w:p>
            <w:r>
              <w:rPr>
                <w:sz w:val="14"/>
              </w:rPr>
              <w:t>Hydraulic quantities</w:t>
            </w:r>
          </w:p>
        </w:tc>
        <w:tc>
          <w:tcPr>
            <w:tcW w:type="dxa" w:w="3485"/>
            <w:vAlign w:val="center"/>
          </w:tcPr>
          <w:p>
            <w:r>
              <w:rPr>
                <w:sz w:val="14"/>
              </w:rPr>
              <w:t>PIP/PDP/TDH</w:t>
            </w:r>
          </w:p>
        </w:tc>
      </w:tr>
      <w:tr>
        <w:tc>
          <w:tcPr>
            <w:tcW w:type="dxa" w:w="3485"/>
            <w:vAlign w:val="center"/>
          </w:tcPr>
          <w:p>
            <w:r>
              <w:rPr>
                <w:sz w:val="14"/>
              </w:rPr>
              <w:t>calculate_bep_deviation</w:t>
            </w:r>
          </w:p>
        </w:tc>
        <w:tc>
          <w:tcPr>
            <w:tcW w:type="dxa" w:w="3485"/>
            <w:vAlign w:val="center"/>
          </w:tcPr>
          <w:p>
            <w:r>
              <w:rPr>
                <w:sz w:val="14"/>
              </w:rPr>
              <w:t>BEP relation</w:t>
            </w:r>
          </w:p>
        </w:tc>
        <w:tc>
          <w:tcPr>
            <w:tcW w:type="dxa" w:w="3485"/>
            <w:vAlign w:val="center"/>
          </w:tcPr>
          <w:p>
            <w:r>
              <w:rPr>
                <w:sz w:val="14"/>
              </w:rPr>
              <w:t>BEP deviation</w:t>
            </w:r>
          </w:p>
        </w:tc>
      </w:tr>
      <w:tr>
        <w:tc>
          <w:tcPr>
            <w:tcW w:type="dxa" w:w="3485"/>
            <w:vAlign w:val="center"/>
          </w:tcPr>
          <w:p>
            <w:r>
              <w:rPr>
                <w:sz w:val="14"/>
              </w:rPr>
              <w:t>calculate_ror_margin</w:t>
            </w:r>
          </w:p>
        </w:tc>
        <w:tc>
          <w:tcPr>
            <w:tcW w:type="dxa" w:w="3485"/>
            <w:vAlign w:val="center"/>
          </w:tcPr>
          <w:p>
            <w:r>
              <w:rPr>
                <w:sz w:val="14"/>
              </w:rPr>
              <w:t>Operating envelope</w:t>
            </w:r>
          </w:p>
        </w:tc>
        <w:tc>
          <w:tcPr>
            <w:tcW w:type="dxa" w:w="3485"/>
            <w:vAlign w:val="center"/>
          </w:tcPr>
          <w:p>
            <w:r>
              <w:rPr>
                <w:sz w:val="14"/>
              </w:rPr>
              <w:t>upper/lower margin</w:t>
            </w:r>
          </w:p>
        </w:tc>
      </w:tr>
      <w:tr>
        <w:tc>
          <w:tcPr>
            <w:tcW w:type="dxa" w:w="3485"/>
            <w:vAlign w:val="center"/>
          </w:tcPr>
          <w:p>
            <w:r>
              <w:rPr>
                <w:sz w:val="14"/>
              </w:rPr>
              <w:t>calculate_pump_delta_p</w:t>
            </w:r>
          </w:p>
        </w:tc>
        <w:tc>
          <w:tcPr>
            <w:tcW w:type="dxa" w:w="3485"/>
            <w:vAlign w:val="center"/>
          </w:tcPr>
          <w:p>
            <w:r>
              <w:rPr>
                <w:sz w:val="14"/>
              </w:rPr>
              <w:t>Pump performance</w:t>
            </w:r>
          </w:p>
        </w:tc>
        <w:tc>
          <w:tcPr>
            <w:tcW w:type="dxa" w:w="3485"/>
            <w:vAlign w:val="center"/>
          </w:tcPr>
          <w:p>
            <w:r>
              <w:rPr>
                <w:sz w:val="14"/>
              </w:rPr>
              <w:t>actual ΔP</w:t>
            </w:r>
          </w:p>
        </w:tc>
      </w:tr>
      <w:tr>
        <w:tc>
          <w:tcPr>
            <w:tcW w:type="dxa" w:w="3485"/>
            <w:vAlign w:val="center"/>
          </w:tcPr>
          <w:p>
            <w:r>
              <w:rPr>
                <w:sz w:val="14"/>
              </w:rPr>
              <w:t>compare_pump_curve</w:t>
            </w:r>
          </w:p>
        </w:tc>
        <w:tc>
          <w:tcPr>
            <w:tcW w:type="dxa" w:w="3485"/>
            <w:vAlign w:val="center"/>
          </w:tcPr>
          <w:p>
            <w:r>
              <w:rPr>
                <w:sz w:val="14"/>
              </w:rPr>
              <w:t>Expected vs actual</w:t>
            </w:r>
          </w:p>
        </w:tc>
        <w:tc>
          <w:tcPr>
            <w:tcW w:type="dxa" w:w="3485"/>
            <w:vAlign w:val="center"/>
          </w:tcPr>
          <w:p>
            <w:r>
              <w:rPr>
                <w:sz w:val="14"/>
              </w:rPr>
              <w:t>curve deviation</w:t>
            </w:r>
          </w:p>
        </w:tc>
      </w:tr>
      <w:tr>
        <w:tc>
          <w:tcPr>
            <w:tcW w:type="dxa" w:w="3485"/>
            <w:vAlign w:val="center"/>
          </w:tcPr>
          <w:p>
            <w:r>
              <w:rPr>
                <w:sz w:val="14"/>
              </w:rPr>
              <w:t>calculate_motor_load</w:t>
            </w:r>
          </w:p>
        </w:tc>
        <w:tc>
          <w:tcPr>
            <w:tcW w:type="dxa" w:w="3485"/>
            <w:vAlign w:val="center"/>
          </w:tcPr>
          <w:p>
            <w:r>
              <w:rPr>
                <w:sz w:val="14"/>
              </w:rPr>
              <w:t>Electrical/thermal loading</w:t>
            </w:r>
          </w:p>
        </w:tc>
        <w:tc>
          <w:tcPr>
            <w:tcW w:type="dxa" w:w="3485"/>
            <w:vAlign w:val="center"/>
          </w:tcPr>
          <w:p>
            <w:r>
              <w:rPr>
                <w:sz w:val="14"/>
              </w:rPr>
              <w:t>load %, margins</w:t>
            </w:r>
          </w:p>
        </w:tc>
      </w:tr>
      <w:tr>
        <w:tc>
          <w:tcPr>
            <w:tcW w:type="dxa" w:w="3485"/>
            <w:vAlign w:val="center"/>
          </w:tcPr>
          <w:p>
            <w:r>
              <w:rPr>
                <w:sz w:val="14"/>
              </w:rPr>
              <w:t>calculate_voltage_current_imbalance</w:t>
            </w:r>
          </w:p>
        </w:tc>
        <w:tc>
          <w:tcPr>
            <w:tcW w:type="dxa" w:w="3485"/>
            <w:vAlign w:val="center"/>
          </w:tcPr>
          <w:p>
            <w:r>
              <w:rPr>
                <w:sz w:val="14"/>
              </w:rPr>
              <w:t>Electrical health</w:t>
            </w:r>
          </w:p>
        </w:tc>
        <w:tc>
          <w:tcPr>
            <w:tcW w:type="dxa" w:w="3485"/>
            <w:vAlign w:val="center"/>
          </w:tcPr>
          <w:p>
            <w:r>
              <w:rPr>
                <w:sz w:val="14"/>
              </w:rPr>
              <w:t>imbalance metrics</w:t>
            </w:r>
          </w:p>
        </w:tc>
      </w:tr>
      <w:tr>
        <w:tc>
          <w:tcPr>
            <w:tcW w:type="dxa" w:w="3485"/>
            <w:vAlign w:val="center"/>
          </w:tcPr>
          <w:p>
            <w:r>
              <w:rPr>
                <w:sz w:val="14"/>
              </w:rPr>
              <w:t>estimate_free_gas</w:t>
            </w:r>
          </w:p>
        </w:tc>
        <w:tc>
          <w:tcPr>
            <w:tcW w:type="dxa" w:w="3485"/>
            <w:vAlign w:val="center"/>
          </w:tcPr>
          <w:p>
            <w:r>
              <w:rPr>
                <w:sz w:val="14"/>
              </w:rPr>
              <w:t>Gas context</w:t>
            </w:r>
          </w:p>
        </w:tc>
        <w:tc>
          <w:tcPr>
            <w:tcW w:type="dxa" w:w="3485"/>
            <w:vAlign w:val="center"/>
          </w:tcPr>
          <w:p>
            <w:r>
              <w:rPr>
                <w:sz w:val="14"/>
              </w:rPr>
              <w:t>free gas estimate</w:t>
            </w:r>
          </w:p>
        </w:tc>
      </w:tr>
      <w:tr>
        <w:tc>
          <w:tcPr>
            <w:tcW w:type="dxa" w:w="3485"/>
            <w:vAlign w:val="center"/>
          </w:tcPr>
          <w:p>
            <w:r>
              <w:rPr>
                <w:sz w:val="14"/>
              </w:rPr>
              <w:t>calculate_gas_margin</w:t>
            </w:r>
          </w:p>
        </w:tc>
        <w:tc>
          <w:tcPr>
            <w:tcW w:type="dxa" w:w="3485"/>
            <w:vAlign w:val="center"/>
          </w:tcPr>
          <w:p>
            <w:r>
              <w:rPr>
                <w:sz w:val="14"/>
              </w:rPr>
              <w:t>Gas interference risk</w:t>
            </w:r>
          </w:p>
        </w:tc>
        <w:tc>
          <w:tcPr>
            <w:tcW w:type="dxa" w:w="3485"/>
            <w:vAlign w:val="center"/>
          </w:tcPr>
          <w:p>
            <w:r>
              <w:rPr>
                <w:sz w:val="14"/>
              </w:rPr>
              <w:t>gas margin</w:t>
            </w:r>
          </w:p>
        </w:tc>
      </w:tr>
      <w:tr>
        <w:tc>
          <w:tcPr>
            <w:tcW w:type="dxa" w:w="3485"/>
            <w:vAlign w:val="center"/>
          </w:tcPr>
          <w:p>
            <w:r>
              <w:rPr>
                <w:sz w:val="14"/>
              </w:rPr>
              <w:t>calculate_degradation_rate</w:t>
            </w:r>
          </w:p>
        </w:tc>
        <w:tc>
          <w:tcPr>
            <w:tcW w:type="dxa" w:w="3485"/>
            <w:vAlign w:val="center"/>
          </w:tcPr>
          <w:p>
            <w:r>
              <w:rPr>
                <w:sz w:val="14"/>
              </w:rPr>
              <w:t>Trend</w:t>
            </w:r>
          </w:p>
        </w:tc>
        <w:tc>
          <w:tcPr>
            <w:tcW w:type="dxa" w:w="3485"/>
            <w:vAlign w:val="center"/>
          </w:tcPr>
          <w:p>
            <w:r>
              <w:rPr>
                <w:sz w:val="14"/>
              </w:rPr>
              <w:t>rate of degradation</w:t>
            </w:r>
          </w:p>
        </w:tc>
      </w:tr>
      <w:tr>
        <w:tc>
          <w:tcPr>
            <w:tcW w:type="dxa" w:w="3485"/>
            <w:vAlign w:val="center"/>
          </w:tcPr>
          <w:p>
            <w:r>
              <w:rPr>
                <w:sz w:val="14"/>
              </w:rPr>
              <w:t>calculate_runtime_cycling</w:t>
            </w:r>
          </w:p>
        </w:tc>
        <w:tc>
          <w:tcPr>
            <w:tcW w:type="dxa" w:w="3485"/>
            <w:vAlign w:val="center"/>
          </w:tcPr>
          <w:p>
            <w:r>
              <w:rPr>
                <w:sz w:val="14"/>
              </w:rPr>
              <w:t>Reliability</w:t>
            </w:r>
          </w:p>
        </w:tc>
        <w:tc>
          <w:tcPr>
            <w:tcW w:type="dxa" w:w="3485"/>
            <w:vAlign w:val="center"/>
          </w:tcPr>
          <w:p>
            <w:r>
              <w:rPr>
                <w:sz w:val="14"/>
              </w:rPr>
              <w:t>runtime/start-stop metrics</w:t>
            </w:r>
          </w:p>
        </w:tc>
      </w:tr>
      <w:tr>
        <w:tc>
          <w:tcPr>
            <w:tcW w:type="dxa" w:w="3485"/>
            <w:vAlign w:val="center"/>
          </w:tcPr>
          <w:p>
            <w:r>
              <w:rPr>
                <w:sz w:val="14"/>
              </w:rPr>
              <w:t>run_what_if_frequency</w:t>
            </w:r>
          </w:p>
        </w:tc>
        <w:tc>
          <w:tcPr>
            <w:tcW w:type="dxa" w:w="3485"/>
            <w:vAlign w:val="center"/>
          </w:tcPr>
          <w:p>
            <w:r>
              <w:rPr>
                <w:sz w:val="14"/>
              </w:rPr>
              <w:t>Scenario</w:t>
            </w:r>
          </w:p>
        </w:tc>
        <w:tc>
          <w:tcPr>
            <w:tcW w:type="dxa" w:w="3485"/>
            <w:vAlign w:val="center"/>
          </w:tcPr>
          <w:p>
            <w:r>
              <w:rPr>
                <w:sz w:val="14"/>
              </w:rPr>
              <w:t>predicted rate/PIP/PDP/load/gas/constraints</w:t>
            </w:r>
          </w:p>
        </w:tc>
      </w:tr>
    </w:tbl>
    <w:p/>
    <w:p>
      <w:pPr>
        <w:spacing w:after="80"/>
        <w:jc w:val="left"/>
      </w:pPr>
      <w:r>
        <w:rPr>
          <w:b w:val="0"/>
          <w:i w:val="0"/>
        </w:rPr>
        <w:t>The guideline states that critical engineering calculations must be deterministic, version-controlled services with explicit units, correlations, assumptions and errors; the Agent selects and interprets them rather than recreating the formulas in the prompt. fileciteturn11file0L64-L69</w:t>
      </w:r>
    </w:p>
    <w:p>
      <w:pPr>
        <w:pStyle w:val="Heading1"/>
      </w:pPr>
      <w:r>
        <w:t>9. ML Toolset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Tool</w:t>
            </w:r>
          </w:p>
        </w:tc>
        <w:tc>
          <w:tcPr>
            <w:tcW w:type="dxa" w:w="2613"/>
            <w:shd w:fill="D9EAF7"/>
          </w:tcPr>
          <w:p>
            <w:r>
              <w:rPr>
                <w:b/>
                <w:sz w:val="14"/>
              </w:rPr>
              <w:t>Purpose</w:t>
            </w:r>
          </w:p>
        </w:tc>
        <w:tc>
          <w:tcPr>
            <w:tcW w:type="dxa" w:w="2613"/>
            <w:shd w:fill="D9EAF7"/>
          </w:tcPr>
          <w:p>
            <w:r>
              <w:rPr>
                <w:b/>
                <w:sz w:val="14"/>
              </w:rPr>
              <w:t>Model dependency</w:t>
            </w:r>
          </w:p>
        </w:tc>
        <w:tc>
          <w:tcPr>
            <w:tcW w:type="dxa" w:w="2613"/>
            <w:shd w:fill="D9EAF7"/>
          </w:tcPr>
          <w:p>
            <w:r>
              <w:rPr>
                <w:b/>
                <w:sz w:val="14"/>
              </w:rPr>
              <w:t>Important metadata</w:t>
            </w:r>
          </w:p>
        </w:tc>
      </w:tr>
      <w:tr>
        <w:tc>
          <w:tcPr>
            <w:tcW w:type="dxa" w:w="2613"/>
            <w:vAlign w:val="center"/>
          </w:tcPr>
          <w:p>
            <w:r>
              <w:rPr>
                <w:sz w:val="14"/>
              </w:rPr>
              <w:t>get_anomaly</w:t>
            </w:r>
          </w:p>
        </w:tc>
        <w:tc>
          <w:tcPr>
            <w:tcW w:type="dxa" w:w="2613"/>
            <w:vAlign w:val="center"/>
          </w:tcPr>
          <w:p>
            <w:r>
              <w:rPr>
                <w:sz w:val="14"/>
              </w:rPr>
              <w:t>Current anomaly state</w:t>
            </w:r>
          </w:p>
        </w:tc>
        <w:tc>
          <w:tcPr>
            <w:tcW w:type="dxa" w:w="2613"/>
            <w:vAlign w:val="center"/>
          </w:tcPr>
          <w:p>
            <w:r>
              <w:rPr>
                <w:sz w:val="14"/>
              </w:rPr>
              <w:t>Anomaly model</w:t>
            </w:r>
          </w:p>
        </w:tc>
        <w:tc>
          <w:tcPr>
            <w:tcW w:type="dxa" w:w="2613"/>
            <w:vAlign w:val="center"/>
          </w:tcPr>
          <w:p>
            <w:r>
              <w:rPr>
                <w:sz w:val="14"/>
              </w:rPr>
              <w:t>score, start, contributors, baseline, model version</w:t>
            </w:r>
          </w:p>
        </w:tc>
      </w:tr>
      <w:tr>
        <w:tc>
          <w:tcPr>
            <w:tcW w:type="dxa" w:w="2613"/>
            <w:vAlign w:val="center"/>
          </w:tcPr>
          <w:p>
            <w:r>
              <w:rPr>
                <w:sz w:val="14"/>
              </w:rPr>
              <w:t>get_failure_risk</w:t>
            </w:r>
          </w:p>
        </w:tc>
        <w:tc>
          <w:tcPr>
            <w:tcW w:type="dxa" w:w="2613"/>
            <w:vAlign w:val="center"/>
          </w:tcPr>
          <w:p>
            <w:r>
              <w:rPr>
                <w:sz w:val="14"/>
              </w:rPr>
              <w:t>Future risk</w:t>
            </w:r>
          </w:p>
        </w:tc>
        <w:tc>
          <w:tcPr>
            <w:tcW w:type="dxa" w:w="2613"/>
            <w:vAlign w:val="center"/>
          </w:tcPr>
          <w:p>
            <w:r>
              <w:rPr>
                <w:sz w:val="14"/>
              </w:rPr>
              <w:t>Failure Risk model</w:t>
            </w:r>
          </w:p>
        </w:tc>
        <w:tc>
          <w:tcPr>
            <w:tcW w:type="dxa" w:w="2613"/>
            <w:vAlign w:val="center"/>
          </w:tcPr>
          <w:p>
            <w:r>
              <w:rPr>
                <w:sz w:val="14"/>
              </w:rPr>
              <w:t>24h/72h/7d/30d probabilities, confidence, drivers, version</w:t>
            </w:r>
          </w:p>
        </w:tc>
      </w:tr>
      <w:tr>
        <w:tc>
          <w:tcPr>
            <w:tcW w:type="dxa" w:w="2613"/>
            <w:vAlign w:val="center"/>
          </w:tcPr>
          <w:p>
            <w:r>
              <w:rPr>
                <w:sz w:val="14"/>
              </w:rPr>
              <w:t>get_pump_degradation</w:t>
            </w:r>
          </w:p>
        </w:tc>
        <w:tc>
          <w:tcPr>
            <w:tcW w:type="dxa" w:w="2613"/>
            <w:vAlign w:val="center"/>
          </w:tcPr>
          <w:p>
            <w:r>
              <w:rPr>
                <w:sz w:val="14"/>
              </w:rPr>
              <w:t>Pump degradation</w:t>
            </w:r>
          </w:p>
        </w:tc>
        <w:tc>
          <w:tcPr>
            <w:tcW w:type="dxa" w:w="2613"/>
            <w:vAlign w:val="center"/>
          </w:tcPr>
          <w:p>
            <w:r>
              <w:rPr>
                <w:sz w:val="14"/>
              </w:rPr>
              <w:t>Degradation model</w:t>
            </w:r>
          </w:p>
        </w:tc>
        <w:tc>
          <w:tcPr>
            <w:tcW w:type="dxa" w:w="2613"/>
            <w:vAlign w:val="center"/>
          </w:tcPr>
          <w:p>
            <w:r>
              <w:rPr>
                <w:sz w:val="14"/>
              </w:rPr>
              <w:t>expected vs actual trend, version</w:t>
            </w:r>
          </w:p>
        </w:tc>
      </w:tr>
      <w:tr>
        <w:tc>
          <w:tcPr>
            <w:tcW w:type="dxa" w:w="2613"/>
            <w:vAlign w:val="center"/>
          </w:tcPr>
          <w:p>
            <w:r>
              <w:rPr>
                <w:sz w:val="14"/>
              </w:rPr>
              <w:t>get_thermal_forecast</w:t>
            </w:r>
          </w:p>
        </w:tc>
        <w:tc>
          <w:tcPr>
            <w:tcW w:type="dxa" w:w="2613"/>
            <w:vAlign w:val="center"/>
          </w:tcPr>
          <w:p>
            <w:r>
              <w:rPr>
                <w:sz w:val="14"/>
              </w:rPr>
              <w:t>Thermal risk</w:t>
            </w:r>
          </w:p>
        </w:tc>
        <w:tc>
          <w:tcPr>
            <w:tcW w:type="dxa" w:w="2613"/>
            <w:vAlign w:val="center"/>
          </w:tcPr>
          <w:p>
            <w:r>
              <w:rPr>
                <w:sz w:val="14"/>
              </w:rPr>
              <w:t>Thermal model</w:t>
            </w:r>
          </w:p>
        </w:tc>
        <w:tc>
          <w:tcPr>
            <w:tcW w:type="dxa" w:w="2613"/>
            <w:vAlign w:val="center"/>
          </w:tcPr>
          <w:p>
            <w:r>
              <w:rPr>
                <w:sz w:val="14"/>
              </w:rPr>
              <w:t>forecast, time-to-limit, version</w:t>
            </w:r>
          </w:p>
        </w:tc>
      </w:tr>
      <w:tr>
        <w:tc>
          <w:tcPr>
            <w:tcW w:type="dxa" w:w="2613"/>
            <w:vAlign w:val="center"/>
          </w:tcPr>
          <w:p>
            <w:r>
              <w:rPr>
                <w:sz w:val="14"/>
              </w:rPr>
              <w:t>get_gas_interference</w:t>
            </w:r>
          </w:p>
        </w:tc>
        <w:tc>
          <w:tcPr>
            <w:tcW w:type="dxa" w:w="2613"/>
            <w:vAlign w:val="center"/>
          </w:tcPr>
          <w:p>
            <w:r>
              <w:rPr>
                <w:sz w:val="14"/>
              </w:rPr>
              <w:t>Gas risk</w:t>
            </w:r>
          </w:p>
        </w:tc>
        <w:tc>
          <w:tcPr>
            <w:tcW w:type="dxa" w:w="2613"/>
            <w:vAlign w:val="center"/>
          </w:tcPr>
          <w:p>
            <w:r>
              <w:rPr>
                <w:sz w:val="14"/>
              </w:rPr>
              <w:t>Gas model</w:t>
            </w:r>
          </w:p>
        </w:tc>
        <w:tc>
          <w:tcPr>
            <w:tcW w:type="dxa" w:w="2613"/>
            <w:vAlign w:val="center"/>
          </w:tcPr>
          <w:p>
            <w:r>
              <w:rPr>
                <w:sz w:val="14"/>
              </w:rPr>
              <w:t>probability/severity, version</w:t>
            </w:r>
          </w:p>
        </w:tc>
      </w:tr>
      <w:tr>
        <w:tc>
          <w:tcPr>
            <w:tcW w:type="dxa" w:w="2613"/>
            <w:vAlign w:val="center"/>
          </w:tcPr>
          <w:p>
            <w:r>
              <w:rPr>
                <w:sz w:val="14"/>
              </w:rPr>
              <w:t>get_vibration_diagnosis</w:t>
            </w:r>
          </w:p>
        </w:tc>
        <w:tc>
          <w:tcPr>
            <w:tcW w:type="dxa" w:w="2613"/>
            <w:vAlign w:val="center"/>
          </w:tcPr>
          <w:p>
            <w:r>
              <w:rPr>
                <w:sz w:val="14"/>
              </w:rPr>
              <w:t>Vibration diagnosis</w:t>
            </w:r>
          </w:p>
        </w:tc>
        <w:tc>
          <w:tcPr>
            <w:tcW w:type="dxa" w:w="2613"/>
            <w:vAlign w:val="center"/>
          </w:tcPr>
          <w:p>
            <w:r>
              <w:rPr>
                <w:sz w:val="14"/>
              </w:rPr>
              <w:t>Signal/vibration model</w:t>
            </w:r>
          </w:p>
        </w:tc>
        <w:tc>
          <w:tcPr>
            <w:tcW w:type="dxa" w:w="2613"/>
            <w:vAlign w:val="center"/>
          </w:tcPr>
          <w:p>
            <w:r>
              <w:rPr>
                <w:sz w:val="14"/>
              </w:rPr>
              <w:t>fault probability, 1x/2x/harmonic evidence</w:t>
            </w:r>
          </w:p>
        </w:tc>
      </w:tr>
      <w:tr>
        <w:tc>
          <w:tcPr>
            <w:tcW w:type="dxa" w:w="2613"/>
            <w:vAlign w:val="center"/>
          </w:tcPr>
          <w:p>
            <w:r>
              <w:rPr>
                <w:sz w:val="14"/>
              </w:rPr>
              <w:t>get_health_index</w:t>
            </w:r>
          </w:p>
        </w:tc>
        <w:tc>
          <w:tcPr>
            <w:tcW w:type="dxa" w:w="2613"/>
            <w:vAlign w:val="center"/>
          </w:tcPr>
          <w:p>
            <w:r>
              <w:rPr>
                <w:sz w:val="14"/>
              </w:rPr>
              <w:t>Overall state</w:t>
            </w:r>
          </w:p>
        </w:tc>
        <w:tc>
          <w:tcPr>
            <w:tcW w:type="dxa" w:w="2613"/>
            <w:vAlign w:val="center"/>
          </w:tcPr>
          <w:p>
            <w:r>
              <w:rPr>
                <w:sz w:val="14"/>
              </w:rPr>
              <w:t>Fusion/health owner</w:t>
            </w:r>
          </w:p>
        </w:tc>
        <w:tc>
          <w:tcPr>
            <w:tcW w:type="dxa" w:w="2613"/>
            <w:vAlign w:val="center"/>
          </w:tcPr>
          <w:p>
            <w:r>
              <w:rPr>
                <w:sz w:val="14"/>
              </w:rPr>
              <w:t>index, contributors, version</w:t>
            </w:r>
          </w:p>
        </w:tc>
      </w:tr>
      <w:tr>
        <w:tc>
          <w:tcPr>
            <w:tcW w:type="dxa" w:w="2613"/>
            <w:vAlign w:val="center"/>
          </w:tcPr>
          <w:p>
            <w:r>
              <w:rPr>
                <w:sz w:val="14"/>
              </w:rPr>
              <w:t>get_model_history</w:t>
            </w:r>
          </w:p>
        </w:tc>
        <w:tc>
          <w:tcPr>
            <w:tcW w:type="dxa" w:w="2613"/>
            <w:vAlign w:val="center"/>
          </w:tcPr>
          <w:p>
            <w:r>
              <w:rPr>
                <w:sz w:val="14"/>
              </w:rPr>
              <w:t>Prediction trend</w:t>
            </w:r>
          </w:p>
        </w:tc>
        <w:tc>
          <w:tcPr>
            <w:tcW w:type="dxa" w:w="2613"/>
            <w:vAlign w:val="center"/>
          </w:tcPr>
          <w:p>
            <w:r>
              <w:rPr>
                <w:sz w:val="14"/>
              </w:rPr>
              <w:t>Model store</w:t>
            </w:r>
          </w:p>
        </w:tc>
        <w:tc>
          <w:tcPr>
            <w:tcW w:type="dxa" w:w="2613"/>
            <w:vAlign w:val="center"/>
          </w:tcPr>
          <w:p>
            <w:r>
              <w:rPr>
                <w:sz w:val="14"/>
              </w:rPr>
              <w:t>historical outputs + versions</w:t>
            </w:r>
          </w:p>
        </w:tc>
      </w:tr>
    </w:tbl>
    <w:p/>
    <w:p>
      <w:pPr>
        <w:spacing w:after="80"/>
        <w:jc w:val="left"/>
      </w:pPr>
      <w:r>
        <w:rPr>
          <w:b w:val="0"/>
          <w:i w:val="0"/>
        </w:rPr>
        <w:t>The guideline says ML Services should be independent, versioned and return structured outputs to the Agent, and that ML is additional evidence rather than the sole justification for an operational change. fileciteturn10file3L232-L255</w:t>
      </w:r>
    </w:p>
    <w:p>
      <w:pPr>
        <w:pStyle w:val="Heading1"/>
      </w:pPr>
      <w:r>
        <w:t>10. Knowledge and Case Toolset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Tool</w:t>
            </w:r>
          </w:p>
        </w:tc>
        <w:tc>
          <w:tcPr>
            <w:tcW w:type="dxa" w:w="5227"/>
            <w:shd w:fill="D9EAF7"/>
          </w:tcPr>
          <w:p>
            <w:r>
              <w:rPr>
                <w:b/>
                <w:sz w:val="14"/>
              </w:rPr>
              <w:t>Purpose</w:t>
            </w:r>
          </w:p>
        </w:tc>
      </w:tr>
      <w:tr>
        <w:tc>
          <w:tcPr>
            <w:tcW w:type="dxa" w:w="5227"/>
            <w:vAlign w:val="center"/>
          </w:tcPr>
          <w:p>
            <w:r>
              <w:rPr>
                <w:sz w:val="14"/>
              </w:rPr>
              <w:t>knowledge.search</w:t>
            </w:r>
          </w:p>
        </w:tc>
        <w:tc>
          <w:tcPr>
            <w:tcW w:type="dxa" w:w="5227"/>
            <w:vAlign w:val="center"/>
          </w:tcPr>
          <w:p>
            <w:r>
              <w:rPr>
                <w:sz w:val="14"/>
              </w:rPr>
              <w:t>Hybrid semantic + lexical retrieval</w:t>
            </w:r>
          </w:p>
        </w:tc>
      </w:tr>
      <w:tr>
        <w:tc>
          <w:tcPr>
            <w:tcW w:type="dxa" w:w="5227"/>
            <w:vAlign w:val="center"/>
          </w:tcPr>
          <w:p>
            <w:r>
              <w:rPr>
                <w:sz w:val="14"/>
              </w:rPr>
              <w:t>knowledge.search_faults</w:t>
            </w:r>
          </w:p>
        </w:tc>
        <w:tc>
          <w:tcPr>
            <w:tcW w:type="dxa" w:w="5227"/>
            <w:vAlign w:val="center"/>
          </w:tcPr>
          <w:p>
            <w:r>
              <w:rPr>
                <w:sz w:val="14"/>
              </w:rPr>
              <w:t>Structured fault-object search</w:t>
            </w:r>
          </w:p>
        </w:tc>
      </w:tr>
      <w:tr>
        <w:tc>
          <w:tcPr>
            <w:tcW w:type="dxa" w:w="5227"/>
            <w:vAlign w:val="center"/>
          </w:tcPr>
          <w:p>
            <w:r>
              <w:rPr>
                <w:sz w:val="14"/>
              </w:rPr>
              <w:t>knowledge.get_source</w:t>
            </w:r>
          </w:p>
        </w:tc>
        <w:tc>
          <w:tcPr>
            <w:tcW w:type="dxa" w:w="5227"/>
            <w:vAlign w:val="center"/>
          </w:tcPr>
          <w:p>
            <w:r>
              <w:rPr>
                <w:sz w:val="14"/>
              </w:rPr>
              <w:t>Exact source/revision</w:t>
            </w:r>
          </w:p>
        </w:tc>
      </w:tr>
      <w:tr>
        <w:tc>
          <w:tcPr>
            <w:tcW w:type="dxa" w:w="5227"/>
            <w:vAlign w:val="center"/>
          </w:tcPr>
          <w:p>
            <w:r>
              <w:rPr>
                <w:sz w:val="14"/>
              </w:rPr>
              <w:t>knowledge.get_procedure</w:t>
            </w:r>
          </w:p>
        </w:tc>
        <w:tc>
          <w:tcPr>
            <w:tcW w:type="dxa" w:w="5227"/>
            <w:vAlign w:val="center"/>
          </w:tcPr>
          <w:p>
            <w:r>
              <w:rPr>
                <w:sz w:val="14"/>
              </w:rPr>
              <w:t>Approved tenant/OEM procedure</w:t>
            </w:r>
          </w:p>
        </w:tc>
      </w:tr>
      <w:tr>
        <w:tc>
          <w:tcPr>
            <w:tcW w:type="dxa" w:w="5227"/>
            <w:vAlign w:val="center"/>
          </w:tcPr>
          <w:p>
            <w:r>
              <w:rPr>
                <w:sz w:val="14"/>
              </w:rPr>
              <w:t>knowledge.get_pump_curve</w:t>
            </w:r>
          </w:p>
        </w:tc>
        <w:tc>
          <w:tcPr>
            <w:tcW w:type="dxa" w:w="5227"/>
            <w:vAlign w:val="center"/>
          </w:tcPr>
          <w:p>
            <w:r>
              <w:rPr>
                <w:sz w:val="14"/>
              </w:rPr>
              <w:t>Reference curve/document lookup</w:t>
            </w:r>
          </w:p>
        </w:tc>
      </w:tr>
      <w:tr>
        <w:tc>
          <w:tcPr>
            <w:tcW w:type="dxa" w:w="5227"/>
            <w:vAlign w:val="center"/>
          </w:tcPr>
          <w:p>
            <w:r>
              <w:rPr>
                <w:sz w:val="14"/>
              </w:rPr>
              <w:t>case.search_similar</w:t>
            </w:r>
          </w:p>
        </w:tc>
        <w:tc>
          <w:tcPr>
            <w:tcW w:type="dxa" w:w="5227"/>
            <w:vAlign w:val="center"/>
          </w:tcPr>
          <w:p>
            <w:r>
              <w:rPr>
                <w:sz w:val="14"/>
              </w:rPr>
              <w:t>Historical case similarity</w:t>
            </w:r>
          </w:p>
        </w:tc>
      </w:tr>
      <w:tr>
        <w:tc>
          <w:tcPr>
            <w:tcW w:type="dxa" w:w="5227"/>
            <w:vAlign w:val="center"/>
          </w:tcPr>
          <w:p>
            <w:r>
              <w:rPr>
                <w:sz w:val="14"/>
              </w:rPr>
              <w:t>case.get_case</w:t>
            </w:r>
          </w:p>
        </w:tc>
        <w:tc>
          <w:tcPr>
            <w:tcW w:type="dxa" w:w="5227"/>
            <w:vAlign w:val="center"/>
          </w:tcPr>
          <w:p>
            <w:r>
              <w:rPr>
                <w:sz w:val="14"/>
              </w:rPr>
              <w:t>Exact RCA/workover case</w:t>
            </w:r>
          </w:p>
        </w:tc>
      </w:tr>
      <w:tr>
        <w:tc>
          <w:tcPr>
            <w:tcW w:type="dxa" w:w="5227"/>
            <w:vAlign w:val="center"/>
          </w:tcPr>
          <w:p>
            <w:r>
              <w:rPr>
                <w:sz w:val="14"/>
              </w:rPr>
              <w:t>knowledge.get_model_semantics</w:t>
            </w:r>
          </w:p>
        </w:tc>
        <w:tc>
          <w:tcPr>
            <w:tcW w:type="dxa" w:w="5227"/>
            <w:vAlign w:val="center"/>
          </w:tcPr>
          <w:p>
            <w:r>
              <w:rPr>
                <w:sz w:val="14"/>
              </w:rPr>
              <w:t>Model field meaning/limitations</w:t>
            </w:r>
          </w:p>
        </w:tc>
      </w:tr>
      <w:tr>
        <w:tc>
          <w:tcPr>
            <w:tcW w:type="dxa" w:w="5227"/>
            <w:vAlign w:val="center"/>
          </w:tcPr>
          <w:p>
            <w:r>
              <w:rPr>
                <w:sz w:val="14"/>
              </w:rPr>
              <w:t>knowledge.get_glossary</w:t>
            </w:r>
          </w:p>
        </w:tc>
        <w:tc>
          <w:tcPr>
            <w:tcW w:type="dxa" w:w="5227"/>
            <w:vAlign w:val="center"/>
          </w:tcPr>
          <w:p>
            <w:r>
              <w:rPr>
                <w:sz w:val="14"/>
              </w:rPr>
              <w:t>Terminology/synonym resolution</w:t>
            </w:r>
          </w:p>
        </w:tc>
      </w:tr>
    </w:tbl>
    <w:p/>
    <w:p>
      <w:pPr>
        <w:spacing w:after="80"/>
        <w:jc w:val="left"/>
      </w:pPr>
      <w:r>
        <w:rPr>
          <w:b w:val="0"/>
          <w:i w:val="0"/>
        </w:rPr>
        <w:t>The guideline mandates hybrid retrieval and structured fault objects. fileciteturn4file0L438-L484</w:t>
      </w:r>
    </w:p>
    <w:p>
      <w:pPr>
        <w:pStyle w:val="Heading1"/>
      </w:pPr>
      <w:r>
        <w:t>11. Service Layer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Service</w:t>
            </w:r>
          </w:p>
        </w:tc>
        <w:tc>
          <w:tcPr>
            <w:tcW w:type="dxa" w:w="2613"/>
            <w:shd w:fill="D9EAF7"/>
          </w:tcPr>
          <w:p>
            <w:r>
              <w:rPr>
                <w:b/>
                <w:sz w:val="14"/>
              </w:rPr>
              <w:t>Responsibilities</w:t>
            </w:r>
          </w:p>
        </w:tc>
        <w:tc>
          <w:tcPr>
            <w:tcW w:type="dxa" w:w="2613"/>
            <w:shd w:fill="D9EAF7"/>
          </w:tcPr>
          <w:p>
            <w:r>
              <w:rPr>
                <w:b/>
                <w:sz w:val="14"/>
              </w:rPr>
              <w:t>Tools backed by it</w:t>
            </w:r>
          </w:p>
        </w:tc>
        <w:tc>
          <w:tcPr>
            <w:tcW w:type="dxa" w:w="2613"/>
            <w:shd w:fill="D9EAF7"/>
          </w:tcPr>
          <w:p>
            <w:r>
              <w:rPr>
                <w:b/>
                <w:sz w:val="14"/>
              </w:rPr>
              <w:t>Typical communication</w:t>
            </w:r>
          </w:p>
        </w:tc>
      </w:tr>
      <w:tr>
        <w:tc>
          <w:tcPr>
            <w:tcW w:type="dxa" w:w="2613"/>
            <w:vAlign w:val="center"/>
          </w:tcPr>
          <w:p>
            <w:r>
              <w:rPr>
                <w:sz w:val="14"/>
              </w:rPr>
              <w:t>Asset Context Service</w:t>
            </w:r>
          </w:p>
        </w:tc>
        <w:tc>
          <w:tcPr>
            <w:tcW w:type="dxa" w:w="2613"/>
            <w:vAlign w:val="center"/>
          </w:tcPr>
          <w:p>
            <w:r>
              <w:rPr>
                <w:sz w:val="14"/>
              </w:rPr>
              <w:t>Hierarchy/config/tag/limits/projection</w:t>
            </w:r>
          </w:p>
        </w:tc>
        <w:tc>
          <w:tcPr>
            <w:tcW w:type="dxa" w:w="2613"/>
            <w:vAlign w:val="center"/>
          </w:tcPr>
          <w:p>
            <w:r>
              <w:rPr>
                <w:sz w:val="14"/>
              </w:rPr>
              <w:t>All asset tools</w:t>
            </w:r>
          </w:p>
        </w:tc>
        <w:tc>
          <w:tcPr>
            <w:tcW w:type="dxa" w:w="2613"/>
            <w:vAlign w:val="center"/>
          </w:tcPr>
          <w:p>
            <w:r>
              <w:rPr>
                <w:sz w:val="14"/>
              </w:rPr>
              <w:t>REST; optional MCP wrapper</w:t>
            </w:r>
          </w:p>
        </w:tc>
      </w:tr>
      <w:tr>
        <w:tc>
          <w:tcPr>
            <w:tcW w:type="dxa" w:w="2613"/>
            <w:vAlign w:val="center"/>
          </w:tcPr>
          <w:p>
            <w:r>
              <w:rPr>
                <w:sz w:val="14"/>
              </w:rPr>
              <w:t>Telemetry Service</w:t>
            </w:r>
          </w:p>
        </w:tc>
        <w:tc>
          <w:tcPr>
            <w:tcW w:type="dxa" w:w="2613"/>
            <w:vAlign w:val="center"/>
          </w:tcPr>
          <w:p>
            <w:r>
              <w:rPr>
                <w:sz w:val="14"/>
              </w:rPr>
              <w:t>Live/history/QoD</w:t>
            </w:r>
          </w:p>
        </w:tc>
        <w:tc>
          <w:tcPr>
            <w:tcW w:type="dxa" w:w="2613"/>
            <w:vAlign w:val="center"/>
          </w:tcPr>
          <w:p>
            <w:r>
              <w:rPr>
                <w:sz w:val="14"/>
              </w:rPr>
              <w:t>Telemetry tools</w:t>
            </w:r>
          </w:p>
        </w:tc>
        <w:tc>
          <w:tcPr>
            <w:tcW w:type="dxa" w:w="2613"/>
            <w:vAlign w:val="center"/>
          </w:tcPr>
          <w:p>
            <w:r>
              <w:rPr>
                <w:sz w:val="14"/>
              </w:rPr>
              <w:t>REST + WS/MQTT-backed ingestion</w:t>
            </w:r>
          </w:p>
        </w:tc>
      </w:tr>
      <w:tr>
        <w:tc>
          <w:tcPr>
            <w:tcW w:type="dxa" w:w="2613"/>
            <w:vAlign w:val="center"/>
          </w:tcPr>
          <w:p>
            <w:r>
              <w:rPr>
                <w:sz w:val="14"/>
              </w:rPr>
              <w:t>Event Service</w:t>
            </w:r>
          </w:p>
        </w:tc>
        <w:tc>
          <w:tcPr>
            <w:tcW w:type="dxa" w:w="2613"/>
            <w:vAlign w:val="center"/>
          </w:tcPr>
          <w:p>
            <w:r>
              <w:rPr>
                <w:sz w:val="14"/>
              </w:rPr>
              <w:t>Timeline/alerts/events</w:t>
            </w:r>
          </w:p>
        </w:tc>
        <w:tc>
          <w:tcPr>
            <w:tcW w:type="dxa" w:w="2613"/>
            <w:vAlign w:val="center"/>
          </w:tcPr>
          <w:p>
            <w:r>
              <w:rPr>
                <w:sz w:val="14"/>
              </w:rPr>
              <w:t>Event tools</w:t>
            </w:r>
          </w:p>
        </w:tc>
        <w:tc>
          <w:tcPr>
            <w:tcW w:type="dxa" w:w="2613"/>
            <w:vAlign w:val="center"/>
          </w:tcPr>
          <w:p>
            <w:r>
              <w:rPr>
                <w:sz w:val="14"/>
              </w:rPr>
              <w:t>REST + event bus</w:t>
            </w:r>
          </w:p>
        </w:tc>
      </w:tr>
      <w:tr>
        <w:tc>
          <w:tcPr>
            <w:tcW w:type="dxa" w:w="2613"/>
            <w:vAlign w:val="center"/>
          </w:tcPr>
          <w:p>
            <w:r>
              <w:rPr>
                <w:sz w:val="14"/>
              </w:rPr>
              <w:t>Engineering Service</w:t>
            </w:r>
          </w:p>
        </w:tc>
        <w:tc>
          <w:tcPr>
            <w:tcW w:type="dxa" w:w="2613"/>
            <w:vAlign w:val="center"/>
          </w:tcPr>
          <w:p>
            <w:r>
              <w:rPr>
                <w:sz w:val="14"/>
              </w:rPr>
              <w:t>Deterministic calculations</w:t>
            </w:r>
          </w:p>
        </w:tc>
        <w:tc>
          <w:tcPr>
            <w:tcW w:type="dxa" w:w="2613"/>
            <w:vAlign w:val="center"/>
          </w:tcPr>
          <w:p>
            <w:r>
              <w:rPr>
                <w:sz w:val="14"/>
              </w:rPr>
              <w:t>Engineering tools</w:t>
            </w:r>
          </w:p>
        </w:tc>
        <w:tc>
          <w:tcPr>
            <w:tcW w:type="dxa" w:w="2613"/>
            <w:vAlign w:val="center"/>
          </w:tcPr>
          <w:p>
            <w:r>
              <w:rPr>
                <w:sz w:val="14"/>
              </w:rPr>
              <w:t>REST/MCP optional</w:t>
            </w:r>
          </w:p>
        </w:tc>
      </w:tr>
      <w:tr>
        <w:tc>
          <w:tcPr>
            <w:tcW w:type="dxa" w:w="2613"/>
            <w:vAlign w:val="center"/>
          </w:tcPr>
          <w:p>
            <w:r>
              <w:rPr>
                <w:sz w:val="14"/>
              </w:rPr>
              <w:t>Model Adapter Service</w:t>
            </w:r>
          </w:p>
        </w:tc>
        <w:tc>
          <w:tcPr>
            <w:tcW w:type="dxa" w:w="2613"/>
            <w:vAlign w:val="center"/>
          </w:tcPr>
          <w:p>
            <w:r>
              <w:rPr>
                <w:sz w:val="14"/>
              </w:rPr>
              <w:t>Normalize ESP AI outputs</w:t>
            </w:r>
          </w:p>
        </w:tc>
        <w:tc>
          <w:tcPr>
            <w:tcW w:type="dxa" w:w="2613"/>
            <w:vAlign w:val="center"/>
          </w:tcPr>
          <w:p>
            <w:r>
              <w:rPr>
                <w:sz w:val="14"/>
              </w:rPr>
              <w:t>ML tools</w:t>
            </w:r>
          </w:p>
        </w:tc>
        <w:tc>
          <w:tcPr>
            <w:tcW w:type="dxa" w:w="2613"/>
            <w:vAlign w:val="center"/>
          </w:tcPr>
          <w:p>
            <w:r>
              <w:rPr>
                <w:sz w:val="14"/>
              </w:rPr>
              <w:t>REST/gRPC/events</w:t>
            </w:r>
          </w:p>
        </w:tc>
      </w:tr>
      <w:tr>
        <w:tc>
          <w:tcPr>
            <w:tcW w:type="dxa" w:w="2613"/>
            <w:vAlign w:val="center"/>
          </w:tcPr>
          <w:p>
            <w:r>
              <w:rPr>
                <w:sz w:val="14"/>
              </w:rPr>
              <w:t>Knowledge Service</w:t>
            </w:r>
          </w:p>
        </w:tc>
        <w:tc>
          <w:tcPr>
            <w:tcW w:type="dxa" w:w="2613"/>
            <w:vAlign w:val="center"/>
          </w:tcPr>
          <w:p>
            <w:r>
              <w:rPr>
                <w:sz w:val="14"/>
              </w:rPr>
              <w:t>Hybrid retrieval/authority</w:t>
            </w:r>
          </w:p>
        </w:tc>
        <w:tc>
          <w:tcPr>
            <w:tcW w:type="dxa" w:w="2613"/>
            <w:vAlign w:val="center"/>
          </w:tcPr>
          <w:p>
            <w:r>
              <w:rPr>
                <w:sz w:val="14"/>
              </w:rPr>
              <w:t>Knowledge tools</w:t>
            </w:r>
          </w:p>
        </w:tc>
        <w:tc>
          <w:tcPr>
            <w:tcW w:type="dxa" w:w="2613"/>
            <w:vAlign w:val="center"/>
          </w:tcPr>
          <w:p>
            <w:r>
              <w:rPr>
                <w:sz w:val="14"/>
              </w:rPr>
              <w:t>REST/MCP optional</w:t>
            </w:r>
          </w:p>
        </w:tc>
      </w:tr>
      <w:tr>
        <w:tc>
          <w:tcPr>
            <w:tcW w:type="dxa" w:w="2613"/>
            <w:vAlign w:val="center"/>
          </w:tcPr>
          <w:p>
            <w:r>
              <w:rPr>
                <w:sz w:val="14"/>
              </w:rPr>
              <w:t>Case Service</w:t>
            </w:r>
          </w:p>
        </w:tc>
        <w:tc>
          <w:tcPr>
            <w:tcW w:type="dxa" w:w="2613"/>
            <w:vAlign w:val="center"/>
          </w:tcPr>
          <w:p>
            <w:r>
              <w:rPr>
                <w:sz w:val="14"/>
              </w:rPr>
              <w:t>Historical case storage/search</w:t>
            </w:r>
          </w:p>
        </w:tc>
        <w:tc>
          <w:tcPr>
            <w:tcW w:type="dxa" w:w="2613"/>
            <w:vAlign w:val="center"/>
          </w:tcPr>
          <w:p>
            <w:r>
              <w:rPr>
                <w:sz w:val="14"/>
              </w:rPr>
              <w:t>Case tools</w:t>
            </w:r>
          </w:p>
        </w:tc>
        <w:tc>
          <w:tcPr>
            <w:tcW w:type="dxa" w:w="2613"/>
            <w:vAlign w:val="center"/>
          </w:tcPr>
          <w:p>
            <w:r>
              <w:rPr>
                <w:sz w:val="14"/>
              </w:rPr>
              <w:t>REST</w:t>
            </w:r>
          </w:p>
        </w:tc>
      </w:tr>
      <w:tr>
        <w:tc>
          <w:tcPr>
            <w:tcW w:type="dxa" w:w="2613"/>
            <w:vAlign w:val="center"/>
          </w:tcPr>
          <w:p>
            <w:r>
              <w:rPr>
                <w:sz w:val="14"/>
              </w:rPr>
              <w:t>Digital Twin Service</w:t>
            </w:r>
          </w:p>
        </w:tc>
        <w:tc>
          <w:tcPr>
            <w:tcW w:type="dxa" w:w="2613"/>
            <w:vAlign w:val="center"/>
          </w:tcPr>
          <w:p>
            <w:r>
              <w:rPr>
                <w:sz w:val="14"/>
              </w:rPr>
              <w:t>What-if/optimization</w:t>
            </w:r>
          </w:p>
        </w:tc>
        <w:tc>
          <w:tcPr>
            <w:tcW w:type="dxa" w:w="2613"/>
            <w:vAlign w:val="center"/>
          </w:tcPr>
          <w:p>
            <w:r>
              <w:rPr>
                <w:sz w:val="14"/>
              </w:rPr>
              <w:t>Twin tools</w:t>
            </w:r>
          </w:p>
        </w:tc>
        <w:tc>
          <w:tcPr>
            <w:tcW w:type="dxa" w:w="2613"/>
            <w:vAlign w:val="center"/>
          </w:tcPr>
          <w:p>
            <w:r>
              <w:rPr>
                <w:sz w:val="14"/>
              </w:rPr>
              <w:t>REST/MCP optional</w:t>
            </w:r>
          </w:p>
        </w:tc>
      </w:tr>
      <w:tr>
        <w:tc>
          <w:tcPr>
            <w:tcW w:type="dxa" w:w="2613"/>
            <w:vAlign w:val="center"/>
          </w:tcPr>
          <w:p>
            <w:r>
              <w:rPr>
                <w:sz w:val="14"/>
              </w:rPr>
              <w:t>Audit Service</w:t>
            </w:r>
          </w:p>
        </w:tc>
        <w:tc>
          <w:tcPr>
            <w:tcW w:type="dxa" w:w="2613"/>
            <w:vAlign w:val="center"/>
          </w:tcPr>
          <w:p>
            <w:r>
              <w:rPr>
                <w:sz w:val="14"/>
              </w:rPr>
              <w:t>Immutable advisory trace</w:t>
            </w:r>
          </w:p>
        </w:tc>
        <w:tc>
          <w:tcPr>
            <w:tcW w:type="dxa" w:w="2613"/>
            <w:vAlign w:val="center"/>
          </w:tcPr>
          <w:p>
            <w:r>
              <w:rPr>
                <w:sz w:val="14"/>
              </w:rPr>
              <w:t>audit.record_advisory</w:t>
            </w:r>
          </w:p>
        </w:tc>
        <w:tc>
          <w:tcPr>
            <w:tcW w:type="dxa" w:w="2613"/>
            <w:vAlign w:val="center"/>
          </w:tcPr>
          <w:p>
            <w:r>
              <w:rPr>
                <w:sz w:val="14"/>
              </w:rPr>
              <w:t>REST/internal + OTel</w:t>
            </w:r>
          </w:p>
        </w:tc>
      </w:tr>
    </w:tbl>
    <w:p/>
    <w:p>
      <w:pPr>
        <w:spacing w:after="80"/>
        <w:jc w:val="left"/>
      </w:pPr>
      <w:r>
        <w:rPr>
          <w:b w:val="0"/>
          <w:i w:val="0"/>
        </w:rPr>
        <w:t>The Lead guideline's Appendix B provides illustrative service contracts such as asset.get_context, historian.get_window, events.get_timeline, engineering.operating_point, engineering.what_if_frequency, knowledge.search, ml.anomaly, ml.failure_risk, case.search_similar and audit.record_advisory. fileciteturn10file2L195-L213</w:t>
      </w:r>
    </w:p>
    <w:p>
      <w:pPr>
        <w:pStyle w:val="Heading1"/>
      </w:pPr>
      <w:r>
        <w:t>12. REST vs MCP in Agent Context</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Interface</w:t>
            </w:r>
          </w:p>
        </w:tc>
        <w:tc>
          <w:tcPr>
            <w:tcW w:type="dxa" w:w="3485"/>
            <w:shd w:fill="D9EAF7"/>
          </w:tcPr>
          <w:p>
            <w:r>
              <w:rPr>
                <w:b/>
                <w:sz w:val="14"/>
              </w:rPr>
              <w:t>Role</w:t>
            </w:r>
          </w:p>
        </w:tc>
        <w:tc>
          <w:tcPr>
            <w:tcW w:type="dxa" w:w="3485"/>
            <w:shd w:fill="D9EAF7"/>
          </w:tcPr>
          <w:p>
            <w:r>
              <w:rPr>
                <w:b/>
                <w:sz w:val="14"/>
              </w:rPr>
              <w:t>Recommendation</w:t>
            </w:r>
          </w:p>
        </w:tc>
      </w:tr>
      <w:tr>
        <w:tc>
          <w:tcPr>
            <w:tcW w:type="dxa" w:w="3485"/>
            <w:vAlign w:val="center"/>
          </w:tcPr>
          <w:p>
            <w:r>
              <w:rPr>
                <w:sz w:val="14"/>
              </w:rPr>
              <w:t>REST</w:t>
            </w:r>
          </w:p>
        </w:tc>
        <w:tc>
          <w:tcPr>
            <w:tcW w:type="dxa" w:w="3485"/>
            <w:vAlign w:val="center"/>
          </w:tcPr>
          <w:p>
            <w:r>
              <w:rPr>
                <w:sz w:val="14"/>
              </w:rPr>
              <w:t>Default backend/service interface</w:t>
            </w:r>
          </w:p>
        </w:tc>
        <w:tc>
          <w:tcPr>
            <w:tcW w:type="dxa" w:w="3485"/>
            <w:vAlign w:val="center"/>
          </w:tcPr>
          <w:p>
            <w:r>
              <w:rPr>
                <w:sz w:val="14"/>
              </w:rPr>
              <w:t>Use for Advait, telemetry, model and ordinary domain services</w:t>
            </w:r>
          </w:p>
        </w:tc>
      </w:tr>
      <w:tr>
        <w:tc>
          <w:tcPr>
            <w:tcW w:type="dxa" w:w="3485"/>
            <w:vAlign w:val="center"/>
          </w:tcPr>
          <w:p>
            <w:r>
              <w:rPr>
                <w:sz w:val="14"/>
              </w:rPr>
              <w:t>MCP</w:t>
            </w:r>
          </w:p>
        </w:tc>
        <w:tc>
          <w:tcPr>
            <w:tcW w:type="dxa" w:w="3485"/>
            <w:vAlign w:val="center"/>
          </w:tcPr>
          <w:p>
            <w:r>
              <w:rPr>
                <w:sz w:val="14"/>
              </w:rPr>
              <w:t>Optional AI-facing tool/resource protocol</w:t>
            </w:r>
          </w:p>
        </w:tc>
        <w:tc>
          <w:tcPr>
            <w:tcW w:type="dxa" w:w="3485"/>
            <w:vAlign w:val="center"/>
          </w:tcPr>
          <w:p>
            <w:r>
              <w:rPr>
                <w:sz w:val="14"/>
              </w:rPr>
              <w:t>Use selectively where standard Agent-facing tool exposure has clear value</w:t>
            </w:r>
          </w:p>
        </w:tc>
      </w:tr>
      <w:tr>
        <w:tc>
          <w:tcPr>
            <w:tcW w:type="dxa" w:w="3485"/>
            <w:vAlign w:val="center"/>
          </w:tcPr>
          <w:p>
            <w:r>
              <w:rPr>
                <w:sz w:val="14"/>
              </w:rPr>
              <w:t>Internal Python</w:t>
            </w:r>
          </w:p>
        </w:tc>
        <w:tc>
          <w:tcPr>
            <w:tcW w:type="dxa" w:w="3485"/>
            <w:vAlign w:val="center"/>
          </w:tcPr>
          <w:p>
            <w:r>
              <w:rPr>
                <w:sz w:val="14"/>
              </w:rPr>
              <w:t>Same-process call</w:t>
            </w:r>
          </w:p>
        </w:tc>
        <w:tc>
          <w:tcPr>
            <w:tcW w:type="dxa" w:w="3485"/>
            <w:vAlign w:val="center"/>
          </w:tcPr>
          <w:p>
            <w:r>
              <w:rPr>
                <w:sz w:val="14"/>
              </w:rPr>
              <w:t>Use during early Agent-platform implementation</w:t>
            </w:r>
          </w:p>
        </w:tc>
      </w:tr>
      <w:tr>
        <w:tc>
          <w:tcPr>
            <w:tcW w:type="dxa" w:w="3485"/>
            <w:vAlign w:val="center"/>
          </w:tcPr>
          <w:p>
            <w:r>
              <w:rPr>
                <w:sz w:val="14"/>
              </w:rPr>
              <w:t>WebSocket/SSE</w:t>
            </w:r>
          </w:p>
        </w:tc>
        <w:tc>
          <w:tcPr>
            <w:tcW w:type="dxa" w:w="3485"/>
            <w:vAlign w:val="center"/>
          </w:tcPr>
          <w:p>
            <w:r>
              <w:rPr>
                <w:sz w:val="14"/>
              </w:rPr>
              <w:t>Frontend streaming/context</w:t>
            </w:r>
          </w:p>
        </w:tc>
        <w:tc>
          <w:tcPr>
            <w:tcW w:type="dxa" w:w="3485"/>
            <w:vAlign w:val="center"/>
          </w:tcPr>
          <w:p>
            <w:r>
              <w:rPr>
                <w:sz w:val="14"/>
              </w:rPr>
              <w:t>Use where live UI updates are required</w:t>
            </w:r>
          </w:p>
        </w:tc>
      </w:tr>
      <w:tr>
        <w:tc>
          <w:tcPr>
            <w:tcW w:type="dxa" w:w="3485"/>
            <w:vAlign w:val="center"/>
          </w:tcPr>
          <w:p>
            <w:r>
              <w:rPr>
                <w:sz w:val="14"/>
              </w:rPr>
              <w:t>Event bus</w:t>
            </w:r>
          </w:p>
        </w:tc>
        <w:tc>
          <w:tcPr>
            <w:tcW w:type="dxa" w:w="3485"/>
            <w:vAlign w:val="center"/>
          </w:tcPr>
          <w:p>
            <w:r>
              <w:rPr>
                <w:sz w:val="14"/>
              </w:rPr>
              <w:t>Asynchronous model/event flow</w:t>
            </w:r>
          </w:p>
        </w:tc>
        <w:tc>
          <w:tcPr>
            <w:tcW w:type="dxa" w:w="3485"/>
            <w:vAlign w:val="center"/>
          </w:tcPr>
          <w:p>
            <w:r>
              <w:rPr>
                <w:sz w:val="14"/>
              </w:rPr>
              <w:t>Use for proactive surveillance</w:t>
            </w:r>
          </w:p>
        </w:tc>
      </w:tr>
    </w:tbl>
    <w:p/>
    <w:p>
      <w:pPr>
        <w:spacing w:after="80"/>
        <w:jc w:val="left"/>
      </w:pPr>
      <w:r>
        <w:rPr>
          <w:b w:val="0"/>
          <w:i w:val="0"/>
        </w:rPr>
        <w:t>The guideline says ESP business logic should be exposed through APIs or MCP-compatible services. It does not mandate MCP for every service. fileciteturn9file0L14-L20</w:t>
      </w:r>
    </w:p>
    <w:p>
      <w:pPr>
        <w:pStyle w:val="Heading1"/>
      </w:pPr>
      <w:r>
        <w:t>13. Context Assembly Workflow</w:t>
      </w:r>
    </w:p>
    <w:p>
      <w:pPr>
        <w:ind w:left="259" w:right="259"/>
      </w:pPr>
      <w:r>
        <w:rPr>
          <w:rFonts w:ascii="Consolas" w:hAnsi="Consolas"/>
          <w:sz w:val="14"/>
        </w:rPr>
        <w:t>1. Resolve tenant/user</w:t>
        <w:br/>
      </w:r>
      <w:r>
        <w:rPr>
          <w:rFonts w:ascii="Consolas" w:hAnsi="Consolas"/>
          <w:sz w:val="14"/>
        </w:rPr>
        <w:t>2. Resolve exact asset + time window</w:t>
        <w:br/>
      </w:r>
      <w:r>
        <w:rPr>
          <w:rFonts w:ascii="Consolas" w:hAnsi="Consolas"/>
          <w:sz w:val="14"/>
        </w:rPr>
        <w:t>3. Load asset context</w:t>
        <w:br/>
      </w:r>
      <w:r>
        <w:rPr>
          <w:rFonts w:ascii="Consolas" w:hAnsi="Consolas"/>
          <w:sz w:val="14"/>
        </w:rPr>
        <w:t>4. Determine required context based on objective</w:t>
        <w:br/>
      </w:r>
      <w:r>
        <w:rPr>
          <w:rFonts w:ascii="Consolas" w:hAnsi="Consolas"/>
          <w:sz w:val="14"/>
        </w:rPr>
        <w:t>5. Fetch minimum live/history telemetry</w:t>
        <w:br/>
      </w:r>
      <w:r>
        <w:rPr>
          <w:rFonts w:ascii="Consolas" w:hAnsi="Consolas"/>
          <w:sz w:val="14"/>
        </w:rPr>
        <w:t>6. Run data-quality gate</w:t>
        <w:br/>
      </w:r>
      <w:r>
        <w:rPr>
          <w:rFonts w:ascii="Consolas" w:hAnsi="Consolas"/>
          <w:sz w:val="14"/>
        </w:rPr>
        <w:t>7. Retrieve relevant KB/fault/case evidence</w:t>
        <w:br/>
      </w:r>
      <w:r>
        <w:rPr>
          <w:rFonts w:ascii="Consolas" w:hAnsi="Consolas"/>
          <w:sz w:val="14"/>
        </w:rPr>
        <w:t>8. Run deterministic engineering tools</w:t>
        <w:br/>
      </w:r>
      <w:r>
        <w:rPr>
          <w:rFonts w:ascii="Consolas" w:hAnsi="Consolas"/>
          <w:sz w:val="14"/>
        </w:rPr>
        <w:t>9. Call relevant ML services</w:t>
        <w:br/>
      </w:r>
      <w:r>
        <w:rPr>
          <w:rFonts w:ascii="Consolas" w:hAnsi="Consolas"/>
          <w:sz w:val="14"/>
        </w:rPr>
        <w:t>10. Collect all observations</w:t>
        <w:br/>
      </w:r>
      <w:r>
        <w:rPr>
          <w:rFonts w:ascii="Consolas" w:hAnsi="Consolas"/>
          <w:sz w:val="14"/>
        </w:rPr>
        <w:t>11. Normalize units/timestamps/source/version</w:t>
        <w:br/>
      </w:r>
      <w:r>
        <w:rPr>
          <w:rFonts w:ascii="Consolas" w:hAnsi="Consolas"/>
          <w:sz w:val="14"/>
        </w:rPr>
        <w:t>12. Detect conflicts</w:t>
        <w:br/>
      </w:r>
      <w:r>
        <w:rPr>
          <w:rFonts w:ascii="Consolas" w:hAnsi="Consolas"/>
          <w:sz w:val="14"/>
        </w:rPr>
        <w:t>13. Apply evidence authority policy</w:t>
        <w:br/>
      </w:r>
      <w:r>
        <w:rPr>
          <w:rFonts w:ascii="Consolas" w:hAnsi="Consolas"/>
          <w:sz w:val="14"/>
        </w:rPr>
        <w:t>14. Build Evidence Pack</w:t>
        <w:br/>
      </w:r>
      <w:r>
        <w:rPr>
          <w:rFonts w:ascii="Consolas" w:hAnsi="Consolas"/>
          <w:sz w:val="14"/>
        </w:rPr>
        <w:t>15. Apply token/context budget</w:t>
        <w:br/>
      </w:r>
      <w:r>
        <w:rPr>
          <w:rFonts w:ascii="Consolas" w:hAnsi="Consolas"/>
          <w:sz w:val="14"/>
        </w:rPr>
        <w:t>16. Pass objective-specific context to specialist/LLM</w:t>
        <w:br/>
      </w:r>
      <w:r>
        <w:rPr>
          <w:rFonts w:ascii="Consolas" w:hAnsi="Consolas"/>
          <w:sz w:val="14"/>
        </w:rPr>
        <w:t>17. Generate structured advisory</w:t>
        <w:br/>
      </w:r>
      <w:r>
        <w:rPr>
          <w:rFonts w:ascii="Consolas" w:hAnsi="Consolas"/>
          <w:sz w:val="14"/>
        </w:rPr>
        <w:t>18. Persist evidence/tool/model trace</w:t>
        <w:br/>
      </w:r>
    </w:p>
    <w:p/>
    <w:p>
      <w:pPr>
        <w:spacing w:after="80"/>
        <w:jc w:val="left"/>
      </w:pPr>
      <w:r>
        <w:rPr>
          <w:b w:val="0"/>
          <w:i w:val="0"/>
        </w:rPr>
        <w:t>This directly follows the guideline's mandatory question-handling method. fileciteturn10file0L22-L49</w:t>
      </w:r>
    </w:p>
    <w:p>
      <w:pPr>
        <w:pStyle w:val="Heading1"/>
      </w:pPr>
      <w:r>
        <w:t>14. Evidence Pack — The Intermediate Contract</w:t>
      </w:r>
    </w:p>
    <w:p>
      <w:pPr>
        <w:ind w:left="259" w:right="259"/>
      </w:pPr>
      <w:r>
        <w:rPr>
          <w:rFonts w:ascii="Consolas" w:hAnsi="Consolas"/>
          <w:sz w:val="14"/>
        </w:rPr>
        <w:t>EvidencePack</w:t>
        <w:br/>
      </w:r>
      <w:r>
        <w:rPr>
          <w:rFonts w:ascii="Consolas" w:hAnsi="Consolas"/>
          <w:sz w:val="14"/>
        </w:rPr>
        <w:t>|</w:t>
        <w:br/>
      </w:r>
      <w:r>
        <w:rPr>
          <w:rFonts w:ascii="Consolas" w:hAnsi="Consolas"/>
          <w:sz w:val="14"/>
        </w:rPr>
        <w:t>+-- request</w:t>
        <w:br/>
      </w:r>
      <w:r>
        <w:rPr>
          <w:rFonts w:ascii="Consolas" w:hAnsi="Consolas"/>
          <w:sz w:val="14"/>
        </w:rPr>
        <w:t>|    request_id / tenant / user / objective / time</w:t>
        <w:br/>
      </w:r>
      <w:r>
        <w:rPr>
          <w:rFonts w:ascii="Consolas" w:hAnsi="Consolas"/>
          <w:sz w:val="14"/>
        </w:rPr>
        <w:t>|</w:t>
        <w:br/>
      </w:r>
      <w:r>
        <w:rPr>
          <w:rFonts w:ascii="Consolas" w:hAnsi="Consolas"/>
          <w:sz w:val="14"/>
        </w:rPr>
        <w:t>+-- asset_context</w:t>
        <w:br/>
      </w:r>
      <w:r>
        <w:rPr>
          <w:rFonts w:ascii="Consolas" w:hAnsi="Consolas"/>
          <w:sz w:val="14"/>
        </w:rPr>
        <w:t>|    asset_id / well / equipment / config_version</w:t>
        <w:br/>
      </w:r>
      <w:r>
        <w:rPr>
          <w:rFonts w:ascii="Consolas" w:hAnsi="Consolas"/>
          <w:sz w:val="14"/>
        </w:rPr>
        <w:t>|</w:t>
        <w:br/>
      </w:r>
      <w:r>
        <w:rPr>
          <w:rFonts w:ascii="Consolas" w:hAnsi="Consolas"/>
          <w:sz w:val="14"/>
        </w:rPr>
        <w:t>+-- runtime</w:t>
        <w:br/>
      </w:r>
      <w:r>
        <w:rPr>
          <w:rFonts w:ascii="Consolas" w:hAnsi="Consolas"/>
          <w:sz w:val="14"/>
        </w:rPr>
        <w:t>|    current values / history / QoD / events</w:t>
        <w:br/>
      </w:r>
      <w:r>
        <w:rPr>
          <w:rFonts w:ascii="Consolas" w:hAnsi="Consolas"/>
          <w:sz w:val="14"/>
        </w:rPr>
        <w:t>|</w:t>
        <w:br/>
      </w:r>
      <w:r>
        <w:rPr>
          <w:rFonts w:ascii="Consolas" w:hAnsi="Consolas"/>
          <w:sz w:val="14"/>
        </w:rPr>
        <w:t>+-- engineering</w:t>
        <w:br/>
      </w:r>
      <w:r>
        <w:rPr>
          <w:rFonts w:ascii="Consolas" w:hAnsi="Consolas"/>
          <w:sz w:val="14"/>
        </w:rPr>
        <w:t>|    calculation_id / inputs / outputs / version</w:t>
        <w:br/>
      </w:r>
      <w:r>
        <w:rPr>
          <w:rFonts w:ascii="Consolas" w:hAnsi="Consolas"/>
          <w:sz w:val="14"/>
        </w:rPr>
        <w:t>|</w:t>
        <w:br/>
      </w:r>
      <w:r>
        <w:rPr>
          <w:rFonts w:ascii="Consolas" w:hAnsi="Consolas"/>
          <w:sz w:val="14"/>
        </w:rPr>
        <w:t>+-- ml</w:t>
        <w:br/>
      </w:r>
      <w:r>
        <w:rPr>
          <w:rFonts w:ascii="Consolas" w:hAnsi="Consolas"/>
          <w:sz w:val="14"/>
        </w:rPr>
        <w:t>|    model_id / version / outputs / confidence</w:t>
        <w:br/>
      </w:r>
      <w:r>
        <w:rPr>
          <w:rFonts w:ascii="Consolas" w:hAnsi="Consolas"/>
          <w:sz w:val="14"/>
        </w:rPr>
        <w:t>|</w:t>
        <w:br/>
      </w:r>
      <w:r>
        <w:rPr>
          <w:rFonts w:ascii="Consolas" w:hAnsi="Consolas"/>
          <w:sz w:val="14"/>
        </w:rPr>
        <w:t>+-- knowledge</w:t>
        <w:br/>
      </w:r>
      <w:r>
        <w:rPr>
          <w:rFonts w:ascii="Consolas" w:hAnsi="Consolas"/>
          <w:sz w:val="14"/>
        </w:rPr>
        <w:t>|    source / revision / authority / page / score</w:t>
        <w:br/>
      </w:r>
      <w:r>
        <w:rPr>
          <w:rFonts w:ascii="Consolas" w:hAnsi="Consolas"/>
          <w:sz w:val="14"/>
        </w:rPr>
        <w:t>|</w:t>
        <w:br/>
      </w:r>
      <w:r>
        <w:rPr>
          <w:rFonts w:ascii="Consolas" w:hAnsi="Consolas"/>
          <w:sz w:val="14"/>
        </w:rPr>
        <w:t>+-- cases</w:t>
        <w:br/>
      </w:r>
      <w:r>
        <w:rPr>
          <w:rFonts w:ascii="Consolas" w:hAnsi="Consolas"/>
          <w:sz w:val="14"/>
        </w:rPr>
        <w:t>|    case_id / similarity / confirmed cause / outcome</w:t>
        <w:br/>
      </w:r>
      <w:r>
        <w:rPr>
          <w:rFonts w:ascii="Consolas" w:hAnsi="Consolas"/>
          <w:sz w:val="14"/>
        </w:rPr>
        <w:t>|</w:t>
        <w:br/>
      </w:r>
      <w:r>
        <w:rPr>
          <w:rFonts w:ascii="Consolas" w:hAnsi="Consolas"/>
          <w:sz w:val="14"/>
        </w:rPr>
        <w:t>+-- conflicts</w:t>
        <w:br/>
      </w:r>
      <w:r>
        <w:rPr>
          <w:rFonts w:ascii="Consolas" w:hAnsi="Consolas"/>
          <w:sz w:val="14"/>
        </w:rPr>
        <w:t>|    evidence_a vs evidence_b / authority decision</w:t>
        <w:br/>
      </w:r>
      <w:r>
        <w:rPr>
          <w:rFonts w:ascii="Consolas" w:hAnsi="Consolas"/>
          <w:sz w:val="14"/>
        </w:rPr>
        <w:t>|</w:t>
        <w:br/>
      </w:r>
      <w:r>
        <w:rPr>
          <w:rFonts w:ascii="Consolas" w:hAnsi="Consolas"/>
          <w:sz w:val="14"/>
        </w:rPr>
        <w:t>+-- constraints</w:t>
        <w:br/>
      </w:r>
      <w:r>
        <w:rPr>
          <w:rFonts w:ascii="Consolas" w:hAnsi="Consolas"/>
          <w:sz w:val="14"/>
        </w:rPr>
        <w:t>|    limits / operating envelope</w:t>
        <w:br/>
      </w:r>
      <w:r>
        <w:rPr>
          <w:rFonts w:ascii="Consolas" w:hAnsi="Consolas"/>
          <w:sz w:val="14"/>
        </w:rPr>
        <w:t>|</w:t>
        <w:br/>
      </w:r>
      <w:r>
        <w:rPr>
          <w:rFonts w:ascii="Consolas" w:hAnsi="Consolas"/>
          <w:sz w:val="14"/>
        </w:rPr>
        <w:t>+-- provenance</w:t>
        <w:br/>
      </w:r>
      <w:r>
        <w:rPr>
          <w:rFonts w:ascii="Consolas" w:hAnsi="Consolas"/>
          <w:sz w:val="14"/>
        </w:rPr>
        <w:t>|    source / timestamp / version / trace</w:t>
        <w:br/>
      </w:r>
    </w:p>
    <w:p/>
    <w:p>
      <w:pPr>
        <w:pStyle w:val="Heading1"/>
      </w:pPr>
      <w:r>
        <w:t>15. Example Context Object</w:t>
      </w:r>
    </w:p>
    <w:p>
      <w:pPr>
        <w:ind w:left="259" w:right="259"/>
      </w:pPr>
      <w:r>
        <w:rPr>
          <w:rFonts w:ascii="Consolas" w:hAnsi="Consolas"/>
          <w:sz w:val="14"/>
        </w:rPr>
        <w:t>{</w:t>
        <w:br/>
      </w:r>
      <w:r>
        <w:rPr>
          <w:rFonts w:ascii="Consolas" w:hAnsi="Consolas"/>
          <w:sz w:val="14"/>
        </w:rPr>
        <w:t xml:space="preserve">  "request_id": "REQ-123",</w:t>
        <w:br/>
      </w:r>
      <w:r>
        <w:rPr>
          <w:rFonts w:ascii="Consolas" w:hAnsi="Consolas"/>
          <w:sz w:val="14"/>
        </w:rPr>
        <w:t xml:space="preserve">  "tenant_id": "TEN-01",</w:t>
        <w:br/>
      </w:r>
      <w:r>
        <w:rPr>
          <w:rFonts w:ascii="Consolas" w:hAnsi="Consolas"/>
          <w:sz w:val="14"/>
        </w:rPr>
        <w:t xml:space="preserve">  "asset_id": "ESP-104",</w:t>
        <w:br/>
      </w:r>
      <w:r>
        <w:rPr>
          <w:rFonts w:ascii="Consolas" w:hAnsi="Consolas"/>
          <w:sz w:val="14"/>
        </w:rPr>
        <w:t xml:space="preserve">  "time_window": {</w:t>
        <w:br/>
      </w:r>
      <w:r>
        <w:rPr>
          <w:rFonts w:ascii="Consolas" w:hAnsi="Consolas"/>
          <w:sz w:val="14"/>
        </w:rPr>
        <w:t xml:space="preserve">    "start": "2026-08-25T08:00:00Z",</w:t>
        <w:br/>
      </w:r>
      <w:r>
        <w:rPr>
          <w:rFonts w:ascii="Consolas" w:hAnsi="Consolas"/>
          <w:sz w:val="14"/>
        </w:rPr>
        <w:t xml:space="preserve">    "end": "2026-08-25T14:00:00Z"</w:t>
        <w:br/>
      </w:r>
      <w:r>
        <w:rPr>
          <w:rFonts w:ascii="Consolas" w:hAnsi="Consolas"/>
          <w:sz w:val="14"/>
        </w:rPr>
        <w:t xml:space="preserve">  },</w:t>
        <w:br/>
      </w:r>
      <w:r>
        <w:rPr>
          <w:rFonts w:ascii="Consolas" w:hAnsi="Consolas"/>
          <w:sz w:val="14"/>
        </w:rPr>
        <w:br/>
      </w:r>
      <w:r>
        <w:rPr>
          <w:rFonts w:ascii="Consolas" w:hAnsi="Consolas"/>
          <w:sz w:val="14"/>
        </w:rPr>
        <w:t xml:space="preserve">  "asset_context": {</w:t>
        <w:br/>
      </w:r>
      <w:r>
        <w:rPr>
          <w:rFonts w:ascii="Consolas" w:hAnsi="Consolas"/>
          <w:sz w:val="14"/>
        </w:rPr>
        <w:t xml:space="preserve">    "well_id": "W-104",</w:t>
        <w:br/>
      </w:r>
      <w:r>
        <w:rPr>
          <w:rFonts w:ascii="Consolas" w:hAnsi="Consolas"/>
          <w:sz w:val="14"/>
        </w:rPr>
        <w:t xml:space="preserve">    "pump_model": "P-X123",</w:t>
        <w:br/>
      </w:r>
      <w:r>
        <w:rPr>
          <w:rFonts w:ascii="Consolas" w:hAnsi="Consolas"/>
          <w:sz w:val="14"/>
        </w:rPr>
        <w:t xml:space="preserve">    "stages": 120,</w:t>
        <w:br/>
      </w:r>
      <w:r>
        <w:rPr>
          <w:rFonts w:ascii="Consolas" w:hAnsi="Consolas"/>
          <w:sz w:val="14"/>
        </w:rPr>
        <w:t xml:space="preserve">    "motor_model": "M-81",</w:t>
        <w:br/>
      </w:r>
      <w:r>
        <w:rPr>
          <w:rFonts w:ascii="Consolas" w:hAnsi="Consolas"/>
          <w:sz w:val="14"/>
        </w:rPr>
        <w:t xml:space="preserve">    "vsd": "VSD-07",</w:t>
        <w:br/>
      </w:r>
      <w:r>
        <w:rPr>
          <w:rFonts w:ascii="Consolas" w:hAnsi="Consolas"/>
          <w:sz w:val="14"/>
        </w:rPr>
        <w:t xml:space="preserve">    "config_version": "CFG-42"</w:t>
        <w:br/>
      </w:r>
      <w:r>
        <w:rPr>
          <w:rFonts w:ascii="Consolas" w:hAnsi="Consolas"/>
          <w:sz w:val="14"/>
        </w:rPr>
        <w:t xml:space="preserve">  },</w:t>
        <w:br/>
      </w:r>
      <w:r>
        <w:rPr>
          <w:rFonts w:ascii="Consolas" w:hAnsi="Consolas"/>
          <w:sz w:val="14"/>
        </w:rPr>
        <w:br/>
      </w:r>
      <w:r>
        <w:rPr>
          <w:rFonts w:ascii="Consolas" w:hAnsi="Consolas"/>
          <w:sz w:val="14"/>
        </w:rPr>
        <w:t xml:space="preserve">  "runtime": {</w:t>
        <w:br/>
      </w:r>
      <w:r>
        <w:rPr>
          <w:rFonts w:ascii="Consolas" w:hAnsi="Consolas"/>
          <w:sz w:val="14"/>
        </w:rPr>
        <w:t xml:space="preserve">    "frequency_hz": 52,</w:t>
        <w:br/>
      </w:r>
      <w:r>
        <w:rPr>
          <w:rFonts w:ascii="Consolas" w:hAnsi="Consolas"/>
          <w:sz w:val="14"/>
        </w:rPr>
        <w:t xml:space="preserve">    "flow_bpd": 8420,</w:t>
        <w:br/>
      </w:r>
      <w:r>
        <w:rPr>
          <w:rFonts w:ascii="Consolas" w:hAnsi="Consolas"/>
          <w:sz w:val="14"/>
        </w:rPr>
        <w:t xml:space="preserve">    "pip_psi": 485,</w:t>
        <w:br/>
      </w:r>
      <w:r>
        <w:rPr>
          <w:rFonts w:ascii="Consolas" w:hAnsi="Consolas"/>
          <w:sz w:val="14"/>
        </w:rPr>
        <w:t xml:space="preserve">    "pdp_psi": 1250,</w:t>
        <w:br/>
      </w:r>
      <w:r>
        <w:rPr>
          <w:rFonts w:ascii="Consolas" w:hAnsi="Consolas"/>
          <w:sz w:val="14"/>
        </w:rPr>
        <w:t xml:space="preserve">    "motor_temp_c": 142,</w:t>
        <w:br/>
      </w:r>
      <w:r>
        <w:rPr>
          <w:rFonts w:ascii="Consolas" w:hAnsi="Consolas"/>
          <w:sz w:val="14"/>
        </w:rPr>
        <w:t xml:space="preserve">    "quality": "VALID"</w:t>
        <w:br/>
      </w:r>
      <w:r>
        <w:rPr>
          <w:rFonts w:ascii="Consolas" w:hAnsi="Consolas"/>
          <w:sz w:val="14"/>
        </w:rPr>
        <w:t xml:space="preserve">  },</w:t>
        <w:br/>
      </w:r>
      <w:r>
        <w:rPr>
          <w:rFonts w:ascii="Consolas" w:hAnsi="Consolas"/>
          <w:sz w:val="14"/>
        </w:rPr>
        <w:br/>
      </w:r>
      <w:r>
        <w:rPr>
          <w:rFonts w:ascii="Consolas" w:hAnsi="Consolas"/>
          <w:sz w:val="14"/>
        </w:rPr>
        <w:t xml:space="preserve">  "engineering": {</w:t>
        <w:br/>
      </w:r>
      <w:r>
        <w:rPr>
          <w:rFonts w:ascii="Consolas" w:hAnsi="Consolas"/>
          <w:sz w:val="14"/>
        </w:rPr>
        <w:t xml:space="preserve">    "pump_delta_p": "...",</w:t>
        <w:br/>
      </w:r>
      <w:r>
        <w:rPr>
          <w:rFonts w:ascii="Consolas" w:hAnsi="Consolas"/>
          <w:sz w:val="14"/>
        </w:rPr>
        <w:t xml:space="preserve">    "bep_deviation_pct": "...",</w:t>
        <w:br/>
      </w:r>
      <w:r>
        <w:rPr>
          <w:rFonts w:ascii="Consolas" w:hAnsi="Consolas"/>
          <w:sz w:val="14"/>
        </w:rPr>
        <w:t xml:space="preserve">    "ror_margin_pct": "...",</w:t>
        <w:br/>
      </w:r>
      <w:r>
        <w:rPr>
          <w:rFonts w:ascii="Consolas" w:hAnsi="Consolas"/>
          <w:sz w:val="14"/>
        </w:rPr>
        <w:t xml:space="preserve">    "tdh": "...",</w:t>
        <w:br/>
      </w:r>
      <w:r>
        <w:rPr>
          <w:rFonts w:ascii="Consolas" w:hAnsi="Consolas"/>
          <w:sz w:val="14"/>
        </w:rPr>
        <w:t xml:space="preserve">    "service_version": "ENG-1.4"</w:t>
        <w:br/>
      </w:r>
      <w:r>
        <w:rPr>
          <w:rFonts w:ascii="Consolas" w:hAnsi="Consolas"/>
          <w:sz w:val="14"/>
        </w:rPr>
        <w:t xml:space="preserve">  },</w:t>
        <w:br/>
      </w:r>
      <w:r>
        <w:rPr>
          <w:rFonts w:ascii="Consolas" w:hAnsi="Consolas"/>
          <w:sz w:val="14"/>
        </w:rPr>
        <w:br/>
      </w:r>
      <w:r>
        <w:rPr>
          <w:rFonts w:ascii="Consolas" w:hAnsi="Consolas"/>
          <w:sz w:val="14"/>
        </w:rPr>
        <w:t xml:space="preserve">  "ml": {</w:t>
        <w:br/>
      </w:r>
      <w:r>
        <w:rPr>
          <w:rFonts w:ascii="Consolas" w:hAnsi="Consolas"/>
          <w:sz w:val="14"/>
        </w:rPr>
        <w:t xml:space="preserve">    "anomaly_score": 0.84,</w:t>
        <w:br/>
      </w:r>
      <w:r>
        <w:rPr>
          <w:rFonts w:ascii="Consolas" w:hAnsi="Consolas"/>
          <w:sz w:val="14"/>
        </w:rPr>
        <w:t xml:space="preserve">    "failure_risk_7d": 0.48,</w:t>
        <w:br/>
      </w:r>
      <w:r>
        <w:rPr>
          <w:rFonts w:ascii="Consolas" w:hAnsi="Consolas"/>
          <w:sz w:val="14"/>
        </w:rPr>
        <w:t xml:space="preserve">    "model_versions": ["AN-2.1","FR-3.2"]</w:t>
        <w:br/>
      </w:r>
      <w:r>
        <w:rPr>
          <w:rFonts w:ascii="Consolas" w:hAnsi="Consolas"/>
          <w:sz w:val="14"/>
        </w:rPr>
        <w:t xml:space="preserve">  },</w:t>
        <w:br/>
      </w:r>
      <w:r>
        <w:rPr>
          <w:rFonts w:ascii="Consolas" w:hAnsi="Consolas"/>
          <w:sz w:val="14"/>
        </w:rPr>
        <w:br/>
      </w:r>
      <w:r>
        <w:rPr>
          <w:rFonts w:ascii="Consolas" w:hAnsi="Consolas"/>
          <w:sz w:val="14"/>
        </w:rPr>
        <w:t xml:space="preserve">  "knowledge": [</w:t>
        <w:br/>
      </w:r>
      <w:r>
        <w:rPr>
          <w:rFonts w:ascii="Consolas" w:hAnsi="Consolas"/>
          <w:sz w:val="14"/>
        </w:rPr>
        <w:t xml:space="preserve">    {</w:t>
        <w:br/>
      </w:r>
      <w:r>
        <w:rPr>
          <w:rFonts w:ascii="Consolas" w:hAnsi="Consolas"/>
          <w:sz w:val="14"/>
        </w:rPr>
        <w:t xml:space="preserve">      "source_id": "OEM-X123-REV-C",</w:t>
        <w:br/>
      </w:r>
      <w:r>
        <w:rPr>
          <w:rFonts w:ascii="Consolas" w:hAnsi="Consolas"/>
          <w:sz w:val="14"/>
        </w:rPr>
        <w:t xml:space="preserve">      "authority": "B",</w:t>
        <w:br/>
      </w:r>
      <w:r>
        <w:rPr>
          <w:rFonts w:ascii="Consolas" w:hAnsi="Consolas"/>
          <w:sz w:val="14"/>
        </w:rPr>
        <w:t xml:space="preserve">      "page": 14</w:t>
        <w:br/>
      </w:r>
      <w:r>
        <w:rPr>
          <w:rFonts w:ascii="Consolas" w:hAnsi="Consolas"/>
          <w:sz w:val="14"/>
        </w:rPr>
        <w:t xml:space="preserve">    }</w:t>
        <w:br/>
      </w:r>
      <w:r>
        <w:rPr>
          <w:rFonts w:ascii="Consolas" w:hAnsi="Consolas"/>
          <w:sz w:val="14"/>
        </w:rPr>
        <w:t xml:space="preserve">  ],</w:t>
        <w:br/>
      </w:r>
      <w:r>
        <w:rPr>
          <w:rFonts w:ascii="Consolas" w:hAnsi="Consolas"/>
          <w:sz w:val="14"/>
        </w:rPr>
        <w:br/>
      </w:r>
      <w:r>
        <w:rPr>
          <w:rFonts w:ascii="Consolas" w:hAnsi="Consolas"/>
          <w:sz w:val="14"/>
        </w:rPr>
        <w:t xml:space="preserve">  "cases": [</w:t>
        <w:br/>
      </w:r>
      <w:r>
        <w:rPr>
          <w:rFonts w:ascii="Consolas" w:hAnsi="Consolas"/>
          <w:sz w:val="14"/>
        </w:rPr>
        <w:t xml:space="preserve">    {</w:t>
        <w:br/>
      </w:r>
      <w:r>
        <w:rPr>
          <w:rFonts w:ascii="Consolas" w:hAnsi="Consolas"/>
          <w:sz w:val="14"/>
        </w:rPr>
        <w:t xml:space="preserve">      "case_id": "RCA-221",</w:t>
        <w:br/>
      </w:r>
      <w:r>
        <w:rPr>
          <w:rFonts w:ascii="Consolas" w:hAnsi="Consolas"/>
          <w:sz w:val="14"/>
        </w:rPr>
        <w:t xml:space="preserve">      "similarity": 0.88,</w:t>
        <w:br/>
      </w:r>
      <w:r>
        <w:rPr>
          <w:rFonts w:ascii="Consolas" w:hAnsi="Consolas"/>
          <w:sz w:val="14"/>
        </w:rPr>
        <w:t xml:space="preserve">      "confirmed_cause": "pump_degradation"</w:t>
        <w:br/>
      </w:r>
      <w:r>
        <w:rPr>
          <w:rFonts w:ascii="Consolas" w:hAnsi="Consolas"/>
          <w:sz w:val="14"/>
        </w:rPr>
        <w:t xml:space="preserve">    }</w:t>
        <w:br/>
      </w:r>
      <w:r>
        <w:rPr>
          <w:rFonts w:ascii="Consolas" w:hAnsi="Consolas"/>
          <w:sz w:val="14"/>
        </w:rPr>
        <w:t xml:space="preserve">  ]</w:t>
        <w:br/>
      </w:r>
      <w:r>
        <w:rPr>
          <w:rFonts w:ascii="Consolas" w:hAnsi="Consolas"/>
          <w:sz w:val="14"/>
        </w:rPr>
        <w:t>}</w:t>
        <w:br/>
      </w:r>
    </w:p>
    <w:p/>
    <w:p>
      <w:pPr>
        <w:pStyle w:val="Heading1"/>
      </w:pPr>
      <w:r>
        <w:t>16. Data Normalization Rules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Normalization</w:t>
            </w:r>
          </w:p>
        </w:tc>
        <w:tc>
          <w:tcPr>
            <w:tcW w:type="dxa" w:w="5227"/>
            <w:shd w:fill="D9EAF7"/>
          </w:tcPr>
          <w:p>
            <w:r>
              <w:rPr>
                <w:b/>
                <w:sz w:val="14"/>
              </w:rPr>
              <w:t>Rule</w:t>
            </w:r>
          </w:p>
        </w:tc>
      </w:tr>
      <w:tr>
        <w:tc>
          <w:tcPr>
            <w:tcW w:type="dxa" w:w="5227"/>
            <w:vAlign w:val="center"/>
          </w:tcPr>
          <w:p>
            <w:r>
              <w:rPr>
                <w:sz w:val="14"/>
              </w:rPr>
              <w:t>Asset IDs</w:t>
            </w:r>
          </w:p>
        </w:tc>
        <w:tc>
          <w:tcPr>
            <w:tcW w:type="dxa" w:w="5227"/>
            <w:vAlign w:val="center"/>
          </w:tcPr>
          <w:p>
            <w:r>
              <w:rPr>
                <w:sz w:val="14"/>
              </w:rPr>
              <w:t>Use canonical internal asset_id across all tools</w:t>
            </w:r>
          </w:p>
        </w:tc>
      </w:tr>
      <w:tr>
        <w:tc>
          <w:tcPr>
            <w:tcW w:type="dxa" w:w="5227"/>
            <w:vAlign w:val="center"/>
          </w:tcPr>
          <w:p>
            <w:r>
              <w:rPr>
                <w:sz w:val="14"/>
              </w:rPr>
              <w:t>Time</w:t>
            </w:r>
          </w:p>
        </w:tc>
        <w:tc>
          <w:tcPr>
            <w:tcW w:type="dxa" w:w="5227"/>
            <w:vAlign w:val="center"/>
          </w:tcPr>
          <w:p>
            <w:r>
              <w:rPr>
                <w:sz w:val="14"/>
              </w:rPr>
              <w:t>UTC internally; preserve source timezone for display</w:t>
            </w:r>
          </w:p>
        </w:tc>
      </w:tr>
      <w:tr>
        <w:tc>
          <w:tcPr>
            <w:tcW w:type="dxa" w:w="5227"/>
            <w:vAlign w:val="center"/>
          </w:tcPr>
          <w:p>
            <w:r>
              <w:rPr>
                <w:sz w:val="14"/>
              </w:rPr>
              <w:t>Units</w:t>
            </w:r>
          </w:p>
        </w:tc>
        <w:tc>
          <w:tcPr>
            <w:tcW w:type="dxa" w:w="5227"/>
            <w:vAlign w:val="center"/>
          </w:tcPr>
          <w:p>
            <w:r>
              <w:rPr>
                <w:sz w:val="14"/>
              </w:rPr>
              <w:t>Normalize to canonical engineering units; retain original unit for provenance</w:t>
            </w:r>
          </w:p>
        </w:tc>
      </w:tr>
      <w:tr>
        <w:tc>
          <w:tcPr>
            <w:tcW w:type="dxa" w:w="5227"/>
            <w:vAlign w:val="center"/>
          </w:tcPr>
          <w:p>
            <w:r>
              <w:rPr>
                <w:sz w:val="14"/>
              </w:rPr>
              <w:t>Quality</w:t>
            </w:r>
          </w:p>
        </w:tc>
        <w:tc>
          <w:tcPr>
            <w:tcW w:type="dxa" w:w="5227"/>
            <w:vAlign w:val="center"/>
          </w:tcPr>
          <w:p>
            <w:r>
              <w:rPr>
                <w:sz w:val="14"/>
              </w:rPr>
              <w:t>Every telemetry value carries QoD state</w:t>
            </w:r>
          </w:p>
        </w:tc>
      </w:tr>
      <w:tr>
        <w:tc>
          <w:tcPr>
            <w:tcW w:type="dxa" w:w="5227"/>
            <w:vAlign w:val="center"/>
          </w:tcPr>
          <w:p>
            <w:r>
              <w:rPr>
                <w:sz w:val="14"/>
              </w:rPr>
              <w:t>Model version</w:t>
            </w:r>
          </w:p>
        </w:tc>
        <w:tc>
          <w:tcPr>
            <w:tcW w:type="dxa" w:w="5227"/>
            <w:vAlign w:val="center"/>
          </w:tcPr>
          <w:p>
            <w:r>
              <w:rPr>
                <w:sz w:val="14"/>
              </w:rPr>
              <w:t>Every ML output carries model/version timestamp</w:t>
            </w:r>
          </w:p>
        </w:tc>
      </w:tr>
      <w:tr>
        <w:tc>
          <w:tcPr>
            <w:tcW w:type="dxa" w:w="5227"/>
            <w:vAlign w:val="center"/>
          </w:tcPr>
          <w:p>
            <w:r>
              <w:rPr>
                <w:sz w:val="14"/>
              </w:rPr>
              <w:t>Engineering version</w:t>
            </w:r>
          </w:p>
        </w:tc>
        <w:tc>
          <w:tcPr>
            <w:tcW w:type="dxa" w:w="5227"/>
            <w:vAlign w:val="center"/>
          </w:tcPr>
          <w:p>
            <w:r>
              <w:rPr>
                <w:sz w:val="14"/>
              </w:rPr>
              <w:t>Every calculation carries service/correlation version</w:t>
            </w:r>
          </w:p>
        </w:tc>
      </w:tr>
      <w:tr>
        <w:tc>
          <w:tcPr>
            <w:tcW w:type="dxa" w:w="5227"/>
            <w:vAlign w:val="center"/>
          </w:tcPr>
          <w:p>
            <w:r>
              <w:rPr>
                <w:sz w:val="14"/>
              </w:rPr>
              <w:t>KB source</w:t>
            </w:r>
          </w:p>
        </w:tc>
        <w:tc>
          <w:tcPr>
            <w:tcW w:type="dxa" w:w="5227"/>
            <w:vAlign w:val="center"/>
          </w:tcPr>
          <w:p>
            <w:r>
              <w:rPr>
                <w:sz w:val="14"/>
              </w:rPr>
              <w:t>Every material knowledge item carries authority/source/revision</w:t>
            </w:r>
          </w:p>
        </w:tc>
      </w:tr>
      <w:tr>
        <w:tc>
          <w:tcPr>
            <w:tcW w:type="dxa" w:w="5227"/>
            <w:vAlign w:val="center"/>
          </w:tcPr>
          <w:p>
            <w:r>
              <w:rPr>
                <w:sz w:val="14"/>
              </w:rPr>
              <w:t>Case provenance</w:t>
            </w:r>
          </w:p>
        </w:tc>
        <w:tc>
          <w:tcPr>
            <w:tcW w:type="dxa" w:w="5227"/>
            <w:vAlign w:val="center"/>
          </w:tcPr>
          <w:p>
            <w:r>
              <w:rPr>
                <w:sz w:val="14"/>
              </w:rPr>
              <w:t>Every case has case_id and approval state</w:t>
            </w:r>
          </w:p>
        </w:tc>
      </w:tr>
    </w:tbl>
    <w:p/>
    <w:p>
      <w:pPr>
        <w:pStyle w:val="Heading1"/>
      </w:pPr>
      <w:r>
        <w:t>17. Context Selection — Do NOT Fetch Everything</w:t>
      </w:r>
    </w:p>
    <w:p>
      <w:pPr>
        <w:spacing w:after="80"/>
        <w:jc w:val="left"/>
      </w:pPr>
      <w:r>
        <w:rPr>
          <w:b w:val="0"/>
          <w:i w:val="0"/>
        </w:rPr>
        <w:t>The Agent Context Builder must be objective-driven. The LLM should not receive every telemetry tag, every KB document and every model output for every question.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Objective</w:t>
            </w:r>
          </w:p>
        </w:tc>
        <w:tc>
          <w:tcPr>
            <w:tcW w:type="dxa" w:w="5227"/>
            <w:shd w:fill="D9EAF7"/>
          </w:tcPr>
          <w:p>
            <w:r>
              <w:rPr>
                <w:b/>
                <w:sz w:val="14"/>
              </w:rPr>
              <w:t>Minimum context example</w:t>
            </w:r>
          </w:p>
        </w:tc>
      </w:tr>
      <w:tr>
        <w:tc>
          <w:tcPr>
            <w:tcW w:type="dxa" w:w="5227"/>
            <w:vAlign w:val="center"/>
          </w:tcPr>
          <w:p>
            <w:r>
              <w:rPr>
                <w:sz w:val="14"/>
              </w:rPr>
              <w:t>Current Condition</w:t>
            </w:r>
          </w:p>
        </w:tc>
        <w:tc>
          <w:tcPr>
            <w:tcW w:type="dxa" w:w="5227"/>
            <w:vAlign w:val="center"/>
          </w:tcPr>
          <w:p>
            <w:r>
              <w:rPr>
                <w:sz w:val="14"/>
              </w:rPr>
              <w:t>Asset + live snapshot + 24h history + operating point + anomaly</w:t>
            </w:r>
          </w:p>
        </w:tc>
      </w:tr>
      <w:tr>
        <w:tc>
          <w:tcPr>
            <w:tcW w:type="dxa" w:w="5227"/>
            <w:vAlign w:val="center"/>
          </w:tcPr>
          <w:p>
            <w:r>
              <w:rPr>
                <w:sz w:val="14"/>
              </w:rPr>
              <w:t>Production Decline</w:t>
            </w:r>
          </w:p>
        </w:tc>
        <w:tc>
          <w:tcPr>
            <w:tcW w:type="dxa" w:w="5227"/>
            <w:vAlign w:val="center"/>
          </w:tcPr>
          <w:p>
            <w:r>
              <w:rPr>
                <w:sz w:val="14"/>
              </w:rPr>
              <w:t>Asset + 6h/24h trends + events + pump ΔP/curve + fault/case + anomaly</w:t>
            </w:r>
          </w:p>
        </w:tc>
      </w:tr>
      <w:tr>
        <w:tc>
          <w:tcPr>
            <w:tcW w:type="dxa" w:w="5227"/>
            <w:vAlign w:val="center"/>
          </w:tcPr>
          <w:p>
            <w:r>
              <w:rPr>
                <w:sz w:val="14"/>
              </w:rPr>
              <w:t>Frequency Optimization</w:t>
            </w:r>
          </w:p>
        </w:tc>
        <w:tc>
          <w:tcPr>
            <w:tcW w:type="dxa" w:w="5227"/>
            <w:vAlign w:val="center"/>
          </w:tcPr>
          <w:p>
            <w:r>
              <w:rPr>
                <w:sz w:val="14"/>
              </w:rPr>
              <w:t>Asset limits + current state + pump curve + PIP/gas + motor/electrical + ROR/BEP + Twin</w:t>
            </w:r>
          </w:p>
        </w:tc>
      </w:tr>
      <w:tr>
        <w:tc>
          <w:tcPr>
            <w:tcW w:type="dxa" w:w="5227"/>
            <w:vAlign w:val="center"/>
          </w:tcPr>
          <w:p>
            <w:r>
              <w:rPr>
                <w:sz w:val="14"/>
              </w:rPr>
              <w:t>Failure Risk</w:t>
            </w:r>
          </w:p>
        </w:tc>
        <w:tc>
          <w:tcPr>
            <w:tcW w:type="dxa" w:w="5227"/>
            <w:vAlign w:val="center"/>
          </w:tcPr>
          <w:p>
            <w:r>
              <w:rPr>
                <w:sz w:val="14"/>
              </w:rPr>
              <w:t>Asset + current anomalies + failure model horizons + engineering severity + production consequence</w:t>
            </w:r>
          </w:p>
        </w:tc>
      </w:tr>
      <w:tr>
        <w:tc>
          <w:tcPr>
            <w:tcW w:type="dxa" w:w="5227"/>
            <w:vAlign w:val="center"/>
          </w:tcPr>
          <w:p>
            <w:r>
              <w:rPr>
                <w:sz w:val="14"/>
              </w:rPr>
              <w:t>Trip RCA</w:t>
            </w:r>
          </w:p>
        </w:tc>
        <w:tc>
          <w:tcPr>
            <w:tcW w:type="dxa" w:w="5227"/>
            <w:vAlign w:val="center"/>
          </w:tcPr>
          <w:p>
            <w:r>
              <w:rPr>
                <w:sz w:val="14"/>
              </w:rPr>
              <w:t>Asset + pre-trip history + events + alarms + engineering trends + fault library</w:t>
            </w:r>
          </w:p>
        </w:tc>
      </w:tr>
      <w:tr>
        <w:tc>
          <w:tcPr>
            <w:tcW w:type="dxa" w:w="5227"/>
            <w:vAlign w:val="center"/>
          </w:tcPr>
          <w:p>
            <w:r>
              <w:rPr>
                <w:sz w:val="14"/>
              </w:rPr>
              <w:t>Historical Similarity</w:t>
            </w:r>
          </w:p>
        </w:tc>
        <w:tc>
          <w:tcPr>
            <w:tcW w:type="dxa" w:w="5227"/>
            <w:vAlign w:val="center"/>
          </w:tcPr>
          <w:p>
            <w:r>
              <w:rPr>
                <w:sz w:val="14"/>
              </w:rPr>
              <w:t>Asset/equipment signature + fault features + case index</w:t>
            </w:r>
          </w:p>
        </w:tc>
      </w:tr>
    </w:tbl>
    <w:p/>
    <w:p>
      <w:pPr>
        <w:spacing w:after="80"/>
        <w:jc w:val="left"/>
      </w:pPr>
      <w:r>
        <w:rPr>
          <w:b w:val="0"/>
          <w:i w:val="0"/>
        </w:rPr>
        <w:t>The guideline's Appendix A gives corresponding minimum evidence/tool paths for these query classes. fileciteturn10file2L167-L194</w:t>
      </w:r>
    </w:p>
    <w:p>
      <w:pPr>
        <w:pStyle w:val="Heading1"/>
      </w:pPr>
      <w:r>
        <w:t>18. Conflict Resolution</w:t>
      </w:r>
    </w:p>
    <w:p>
      <w:pPr>
        <w:ind w:left="259"/>
      </w:pPr>
      <w:r>
        <w:rPr>
          <w:rFonts w:ascii="Consolas" w:hAnsi="Consolas"/>
          <w:sz w:val="14"/>
        </w:rPr>
        <w:t>Evidence collected</w:t>
        <w:br/>
      </w:r>
      <w:r>
        <w:rPr>
          <w:rFonts w:ascii="Consolas" w:hAnsi="Consolas"/>
          <w:sz w:val="14"/>
        </w:rPr>
        <w:t xml:space="preserve">      |</w:t>
        <w:br/>
      </w:r>
      <w:r>
        <w:rPr>
          <w:rFonts w:ascii="Consolas" w:hAnsi="Consolas"/>
          <w:sz w:val="14"/>
        </w:rPr>
        <w:t xml:space="preserve">      v</w:t>
        <w:br/>
      </w:r>
      <w:r>
        <w:rPr>
          <w:rFonts w:ascii="Consolas" w:hAnsi="Consolas"/>
          <w:sz w:val="14"/>
        </w:rPr>
        <w:t>Source / authority classification</w:t>
        <w:br/>
      </w:r>
      <w:r>
        <w:rPr>
          <w:rFonts w:ascii="Consolas" w:hAnsi="Consolas"/>
          <w:sz w:val="14"/>
        </w:rPr>
        <w:t xml:space="preserve">      |</w:t>
        <w:br/>
      </w:r>
      <w:r>
        <w:rPr>
          <w:rFonts w:ascii="Consolas" w:hAnsi="Consolas"/>
          <w:sz w:val="14"/>
        </w:rPr>
        <w:t>+-----+--------------------------+</w:t>
        <w:br/>
      </w:r>
      <w:r>
        <w:rPr>
          <w:rFonts w:ascii="Consolas" w:hAnsi="Consolas"/>
          <w:sz w:val="14"/>
        </w:rPr>
        <w:t>|                                |</w:t>
        <w:br/>
      </w:r>
      <w:r>
        <w:rPr>
          <w:rFonts w:ascii="Consolas" w:hAnsi="Consolas"/>
          <w:sz w:val="14"/>
        </w:rPr>
        <w:t>no conflict                    conflict</w:t>
        <w:br/>
      </w:r>
      <w:r>
        <w:rPr>
          <w:rFonts w:ascii="Consolas" w:hAnsi="Consolas"/>
          <w:sz w:val="14"/>
        </w:rPr>
        <w:t>|                                |</w:t>
        <w:br/>
      </w:r>
      <w:r>
        <w:rPr>
          <w:rFonts w:ascii="Consolas" w:hAnsi="Consolas"/>
          <w:sz w:val="14"/>
        </w:rPr>
        <w:t>v                                v</w:t>
        <w:br/>
      </w:r>
      <w:r>
        <w:rPr>
          <w:rFonts w:ascii="Consolas" w:hAnsi="Consolas"/>
          <w:sz w:val="14"/>
        </w:rPr>
        <w:t>use evidence            authority comparison</w:t>
        <w:br/>
      </w:r>
      <w:r>
        <w:rPr>
          <w:rFonts w:ascii="Consolas" w:hAnsi="Consolas"/>
          <w:sz w:val="14"/>
        </w:rPr>
        <w:t xml:space="preserve">                                |</w:t>
        <w:br/>
      </w:r>
      <w:r>
        <w:rPr>
          <w:rFonts w:ascii="Consolas" w:hAnsi="Consolas"/>
          <w:sz w:val="14"/>
        </w:rPr>
        <w:t xml:space="preserve">                         A &gt; B &gt; C &gt; D &gt; E &gt; F</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resolved                 material conflict</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Evidence Pack          report conflict</w:t>
        <w:br/>
      </w:r>
    </w:p>
    <w:p/>
    <w:p>
      <w:pPr>
        <w:spacing w:after="80"/>
        <w:jc w:val="left"/>
      </w:pPr>
      <w:r>
        <w:rPr>
          <w:b w:val="0"/>
          <w:i w:val="0"/>
        </w:rPr>
        <w:t>The guideline requires installed/approved information to win over generic/model knowledge and requires the Agent to report the conflict instead of silently reconciling it. fileciteturn11file0L43-L47</w:t>
      </w:r>
    </w:p>
    <w:p>
      <w:pPr>
        <w:pStyle w:val="Heading1"/>
      </w:pPr>
      <w:r>
        <w:t>19. Context Builder Responsibilities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Responsibility</w:t>
            </w:r>
          </w:p>
        </w:tc>
        <w:tc>
          <w:tcPr>
            <w:tcW w:type="dxa" w:w="5227"/>
            <w:shd w:fill="D9EAF7"/>
          </w:tcPr>
          <w:p>
            <w:r>
              <w:rPr>
                <w:b/>
                <w:sz w:val="14"/>
              </w:rPr>
              <w:t>What it does</w:t>
            </w:r>
          </w:p>
        </w:tc>
      </w:tr>
      <w:tr>
        <w:tc>
          <w:tcPr>
            <w:tcW w:type="dxa" w:w="5227"/>
            <w:vAlign w:val="center"/>
          </w:tcPr>
          <w:p>
            <w:r>
              <w:rPr>
                <w:sz w:val="14"/>
              </w:rPr>
              <w:t>Dependency planning</w:t>
            </w:r>
          </w:p>
        </w:tc>
        <w:tc>
          <w:tcPr>
            <w:tcW w:type="dxa" w:w="5227"/>
            <w:vAlign w:val="center"/>
          </w:tcPr>
          <w:p>
            <w:r>
              <w:rPr>
                <w:sz w:val="14"/>
              </w:rPr>
              <w:t>Knows which context families the objective needs</w:t>
            </w:r>
          </w:p>
        </w:tc>
      </w:tr>
      <w:tr>
        <w:tc>
          <w:tcPr>
            <w:tcW w:type="dxa" w:w="5227"/>
            <w:vAlign w:val="center"/>
          </w:tcPr>
          <w:p>
            <w:r>
              <w:rPr>
                <w:sz w:val="14"/>
              </w:rPr>
              <w:t>Tool execution</w:t>
            </w:r>
          </w:p>
        </w:tc>
        <w:tc>
          <w:tcPr>
            <w:tcW w:type="dxa" w:w="5227"/>
            <w:vAlign w:val="center"/>
          </w:tcPr>
          <w:p>
            <w:r>
              <w:rPr>
                <w:sz w:val="14"/>
              </w:rPr>
              <w:t>Calls only required tools</w:t>
            </w:r>
          </w:p>
        </w:tc>
      </w:tr>
      <w:tr>
        <w:tc>
          <w:tcPr>
            <w:tcW w:type="dxa" w:w="5227"/>
            <w:vAlign w:val="center"/>
          </w:tcPr>
          <w:p>
            <w:r>
              <w:rPr>
                <w:sz w:val="14"/>
              </w:rPr>
              <w:t>Normalization</w:t>
            </w:r>
          </w:p>
        </w:tc>
        <w:tc>
          <w:tcPr>
            <w:tcW w:type="dxa" w:w="5227"/>
            <w:vAlign w:val="center"/>
          </w:tcPr>
          <w:p>
            <w:r>
              <w:rPr>
                <w:sz w:val="14"/>
              </w:rPr>
              <w:t>Units/time/IDs</w:t>
            </w:r>
          </w:p>
        </w:tc>
      </w:tr>
      <w:tr>
        <w:tc>
          <w:tcPr>
            <w:tcW w:type="dxa" w:w="5227"/>
            <w:vAlign w:val="center"/>
          </w:tcPr>
          <w:p>
            <w:r>
              <w:rPr>
                <w:sz w:val="14"/>
              </w:rPr>
              <w:t>QoD gate</w:t>
            </w:r>
          </w:p>
        </w:tc>
        <w:tc>
          <w:tcPr>
            <w:tcW w:type="dxa" w:w="5227"/>
            <w:vAlign w:val="center"/>
          </w:tcPr>
          <w:p>
            <w:r>
              <w:rPr>
                <w:sz w:val="14"/>
              </w:rPr>
              <w:t>Rejects or downgrades bad evidence</w:t>
            </w:r>
          </w:p>
        </w:tc>
      </w:tr>
      <w:tr>
        <w:tc>
          <w:tcPr>
            <w:tcW w:type="dxa" w:w="5227"/>
            <w:vAlign w:val="center"/>
          </w:tcPr>
          <w:p>
            <w:r>
              <w:rPr>
                <w:sz w:val="14"/>
              </w:rPr>
              <w:t>Authority</w:t>
            </w:r>
          </w:p>
        </w:tc>
        <w:tc>
          <w:tcPr>
            <w:tcW w:type="dxa" w:w="5227"/>
            <w:vAlign w:val="center"/>
          </w:tcPr>
          <w:p>
            <w:r>
              <w:rPr>
                <w:sz w:val="14"/>
              </w:rPr>
              <w:t>Applies source precedence</w:t>
            </w:r>
          </w:p>
        </w:tc>
      </w:tr>
      <w:tr>
        <w:tc>
          <w:tcPr>
            <w:tcW w:type="dxa" w:w="5227"/>
            <w:vAlign w:val="center"/>
          </w:tcPr>
          <w:p>
            <w:r>
              <w:rPr>
                <w:sz w:val="14"/>
              </w:rPr>
              <w:t>Deduplication</w:t>
            </w:r>
          </w:p>
        </w:tc>
        <w:tc>
          <w:tcPr>
            <w:tcW w:type="dxa" w:w="5227"/>
            <w:vAlign w:val="center"/>
          </w:tcPr>
          <w:p>
            <w:r>
              <w:rPr>
                <w:sz w:val="14"/>
              </w:rPr>
              <w:t>Prevents repeated evidence</w:t>
            </w:r>
          </w:p>
        </w:tc>
      </w:tr>
      <w:tr>
        <w:tc>
          <w:tcPr>
            <w:tcW w:type="dxa" w:w="5227"/>
            <w:vAlign w:val="center"/>
          </w:tcPr>
          <w:p>
            <w:r>
              <w:rPr>
                <w:sz w:val="14"/>
              </w:rPr>
              <w:t>Conflict detection</w:t>
            </w:r>
          </w:p>
        </w:tc>
        <w:tc>
          <w:tcPr>
            <w:tcW w:type="dxa" w:w="5227"/>
            <w:vAlign w:val="center"/>
          </w:tcPr>
          <w:p>
            <w:r>
              <w:rPr>
                <w:sz w:val="14"/>
              </w:rPr>
              <w:t>Detects contradictory values/sources</w:t>
            </w:r>
          </w:p>
        </w:tc>
      </w:tr>
      <w:tr>
        <w:tc>
          <w:tcPr>
            <w:tcW w:type="dxa" w:w="5227"/>
            <w:vAlign w:val="center"/>
          </w:tcPr>
          <w:p>
            <w:r>
              <w:rPr>
                <w:sz w:val="14"/>
              </w:rPr>
              <w:t>Evidence compression</w:t>
            </w:r>
          </w:p>
        </w:tc>
        <w:tc>
          <w:tcPr>
            <w:tcW w:type="dxa" w:w="5227"/>
            <w:vAlign w:val="center"/>
          </w:tcPr>
          <w:p>
            <w:r>
              <w:rPr>
                <w:sz w:val="14"/>
              </w:rPr>
              <w:t>Summarizes series without losing traceability</w:t>
            </w:r>
          </w:p>
        </w:tc>
      </w:tr>
      <w:tr>
        <w:tc>
          <w:tcPr>
            <w:tcW w:type="dxa" w:w="5227"/>
            <w:vAlign w:val="center"/>
          </w:tcPr>
          <w:p>
            <w:r>
              <w:rPr>
                <w:sz w:val="14"/>
              </w:rPr>
              <w:t>Token budgeting</w:t>
            </w:r>
          </w:p>
        </w:tc>
        <w:tc>
          <w:tcPr>
            <w:tcW w:type="dxa" w:w="5227"/>
            <w:vAlign w:val="center"/>
          </w:tcPr>
          <w:p>
            <w:r>
              <w:rPr>
                <w:sz w:val="14"/>
              </w:rPr>
              <w:t>Selects relevant text and structured values</w:t>
            </w:r>
          </w:p>
        </w:tc>
      </w:tr>
      <w:tr>
        <w:tc>
          <w:tcPr>
            <w:tcW w:type="dxa" w:w="5227"/>
            <w:vAlign w:val="center"/>
          </w:tcPr>
          <w:p>
            <w:r>
              <w:rPr>
                <w:sz w:val="14"/>
              </w:rPr>
              <w:t>Provenance</w:t>
            </w:r>
          </w:p>
        </w:tc>
        <w:tc>
          <w:tcPr>
            <w:tcW w:type="dxa" w:w="5227"/>
            <w:vAlign w:val="center"/>
          </w:tcPr>
          <w:p>
            <w:r>
              <w:rPr>
                <w:sz w:val="14"/>
              </w:rPr>
              <w:t>Keeps source/version/timestamp</w:t>
            </w:r>
          </w:p>
        </w:tc>
      </w:tr>
      <w:tr>
        <w:tc>
          <w:tcPr>
            <w:tcW w:type="dxa" w:w="5227"/>
            <w:vAlign w:val="center"/>
          </w:tcPr>
          <w:p>
            <w:r>
              <w:rPr>
                <w:sz w:val="14"/>
              </w:rPr>
              <w:t>Context versioning</w:t>
            </w:r>
          </w:p>
        </w:tc>
        <w:tc>
          <w:tcPr>
            <w:tcW w:type="dxa" w:w="5227"/>
            <w:vAlign w:val="center"/>
          </w:tcPr>
          <w:p>
            <w:r>
              <w:rPr>
                <w:sz w:val="14"/>
              </w:rPr>
              <w:t>Makes context reproducible for audit</w:t>
            </w:r>
          </w:p>
        </w:tc>
      </w:tr>
    </w:tbl>
    <w:p/>
    <w:p>
      <w:pPr>
        <w:pStyle w:val="Heading1"/>
      </w:pPr>
      <w:r>
        <w:t>20. Agent Tool Registry Schema</w:t>
      </w:r>
    </w:p>
    <w:p>
      <w:pPr>
        <w:ind w:left="259" w:right="259"/>
      </w:pPr>
      <w:r>
        <w:rPr>
          <w:rFonts w:ascii="Consolas" w:hAnsi="Consolas"/>
          <w:sz w:val="14"/>
        </w:rPr>
        <w:t>tool_id</w:t>
        <w:br/>
      </w:r>
      <w:r>
        <w:rPr>
          <w:rFonts w:ascii="Consolas" w:hAnsi="Consolas"/>
          <w:sz w:val="14"/>
        </w:rPr>
        <w:t>tool_version</w:t>
        <w:br/>
      </w:r>
      <w:r>
        <w:rPr>
          <w:rFonts w:ascii="Consolas" w:hAnsi="Consolas"/>
          <w:sz w:val="14"/>
        </w:rPr>
        <w:t>name</w:t>
        <w:br/>
      </w:r>
      <w:r>
        <w:rPr>
          <w:rFonts w:ascii="Consolas" w:hAnsi="Consolas"/>
          <w:sz w:val="14"/>
        </w:rPr>
        <w:t>description</w:t>
        <w:br/>
      </w:r>
      <w:r>
        <w:rPr>
          <w:rFonts w:ascii="Consolas" w:hAnsi="Consolas"/>
          <w:sz w:val="14"/>
        </w:rPr>
        <w:t>input_schema</w:t>
        <w:br/>
      </w:r>
      <w:r>
        <w:rPr>
          <w:rFonts w:ascii="Consolas" w:hAnsi="Consolas"/>
          <w:sz w:val="14"/>
        </w:rPr>
        <w:t>output_schema</w:t>
        <w:br/>
      </w:r>
      <w:r>
        <w:rPr>
          <w:rFonts w:ascii="Consolas" w:hAnsi="Consolas"/>
          <w:sz w:val="14"/>
        </w:rPr>
        <w:t>service</w:t>
        <w:br/>
      </w:r>
      <w:r>
        <w:rPr>
          <w:rFonts w:ascii="Consolas" w:hAnsi="Consolas"/>
          <w:sz w:val="14"/>
        </w:rPr>
        <w:t>transport</w:t>
        <w:br/>
      </w:r>
      <w:r>
        <w:rPr>
          <w:rFonts w:ascii="Consolas" w:hAnsi="Consolas"/>
          <w:sz w:val="14"/>
        </w:rPr>
        <w:t>timeout_ms</w:t>
        <w:br/>
      </w:r>
      <w:r>
        <w:rPr>
          <w:rFonts w:ascii="Consolas" w:hAnsi="Consolas"/>
          <w:sz w:val="14"/>
        </w:rPr>
        <w:t>retry_policy</w:t>
        <w:br/>
      </w:r>
      <w:r>
        <w:rPr>
          <w:rFonts w:ascii="Consolas" w:hAnsi="Consolas"/>
          <w:sz w:val="14"/>
        </w:rPr>
        <w:t>required_role</w:t>
        <w:br/>
      </w:r>
      <w:r>
        <w:rPr>
          <w:rFonts w:ascii="Consolas" w:hAnsi="Consolas"/>
          <w:sz w:val="14"/>
        </w:rPr>
        <w:t>allowed_objectives[]</w:t>
        <w:br/>
      </w:r>
      <w:r>
        <w:rPr>
          <w:rFonts w:ascii="Consolas" w:hAnsi="Consolas"/>
          <w:sz w:val="14"/>
        </w:rPr>
        <w:t>allowed_specialists[]</w:t>
        <w:br/>
      </w:r>
      <w:r>
        <w:rPr>
          <w:rFonts w:ascii="Consolas" w:hAnsi="Consolas"/>
          <w:sz w:val="14"/>
        </w:rPr>
        <w:t>tenant_scope</w:t>
        <w:br/>
      </w:r>
      <w:r>
        <w:rPr>
          <w:rFonts w:ascii="Consolas" w:hAnsi="Consolas"/>
          <w:sz w:val="14"/>
        </w:rPr>
        <w:t>read_only</w:t>
        <w:br/>
      </w:r>
      <w:r>
        <w:rPr>
          <w:rFonts w:ascii="Consolas" w:hAnsi="Consolas"/>
          <w:sz w:val="14"/>
        </w:rPr>
        <w:t>data_class</w:t>
        <w:br/>
      </w:r>
      <w:r>
        <w:rPr>
          <w:rFonts w:ascii="Consolas" w:hAnsi="Consolas"/>
          <w:sz w:val="14"/>
        </w:rPr>
        <w:t>provenance_fields[]</w:t>
        <w:br/>
      </w:r>
      <w:r>
        <w:rPr>
          <w:rFonts w:ascii="Consolas" w:hAnsi="Consolas"/>
          <w:sz w:val="14"/>
        </w:rPr>
        <w:t>health_check</w:t>
        <w:br/>
      </w:r>
    </w:p>
    <w:p/>
    <w:p>
      <w:pPr>
        <w:pStyle w:val="Heading1"/>
      </w:pPr>
      <w:r>
        <w:t>21. Tool Permissions</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c>
          <w:tcPr>
            <w:tcW w:type="dxa" w:w="1493"/>
            <w:shd w:fill="D9EAF7"/>
          </w:tcPr>
          <w:p>
            <w:r>
              <w:rPr>
                <w:b/>
                <w:sz w:val="14"/>
              </w:rPr>
              <w:t>Tool group</w:t>
            </w:r>
          </w:p>
        </w:tc>
        <w:tc>
          <w:tcPr>
            <w:tcW w:type="dxa" w:w="1493"/>
            <w:shd w:fill="D9EAF7"/>
          </w:tcPr>
          <w:p>
            <w:r>
              <w:rPr>
                <w:b/>
                <w:sz w:val="14"/>
              </w:rPr>
              <w:t>Supervisor</w:t>
            </w:r>
          </w:p>
        </w:tc>
        <w:tc>
          <w:tcPr>
            <w:tcW w:type="dxa" w:w="1493"/>
            <w:shd w:fill="D9EAF7"/>
          </w:tcPr>
          <w:p>
            <w:r>
              <w:rPr>
                <w:b/>
                <w:sz w:val="14"/>
              </w:rPr>
              <w:t>Well Perf</w:t>
            </w:r>
          </w:p>
        </w:tc>
        <w:tc>
          <w:tcPr>
            <w:tcW w:type="dxa" w:w="1493"/>
            <w:shd w:fill="D9EAF7"/>
          </w:tcPr>
          <w:p>
            <w:r>
              <w:rPr>
                <w:b/>
                <w:sz w:val="14"/>
              </w:rPr>
              <w:t>Reliability</w:t>
            </w:r>
          </w:p>
        </w:tc>
        <w:tc>
          <w:tcPr>
            <w:tcW w:type="dxa" w:w="1493"/>
            <w:shd w:fill="D9EAF7"/>
          </w:tcPr>
          <w:p>
            <w:r>
              <w:rPr>
                <w:b/>
                <w:sz w:val="14"/>
              </w:rPr>
              <w:t>Knowledge</w:t>
            </w:r>
          </w:p>
        </w:tc>
        <w:tc>
          <w:tcPr>
            <w:tcW w:type="dxa" w:w="1493"/>
            <w:shd w:fill="D9EAF7"/>
          </w:tcPr>
          <w:p>
            <w:r>
              <w:rPr>
                <w:b/>
                <w:sz w:val="14"/>
              </w:rPr>
              <w:t>Optimization</w:t>
            </w:r>
          </w:p>
        </w:tc>
        <w:tc>
          <w:tcPr>
            <w:tcW w:type="dxa" w:w="1493"/>
            <w:shd w:fill="D9EAF7"/>
          </w:tcPr>
          <w:p>
            <w:r>
              <w:rPr>
                <w:b/>
                <w:sz w:val="14"/>
              </w:rPr>
              <w:t>Maintenance</w:t>
            </w:r>
          </w:p>
        </w:tc>
      </w:tr>
      <w:tr>
        <w:tc>
          <w:tcPr>
            <w:tcW w:type="dxa" w:w="1493"/>
            <w:vAlign w:val="center"/>
          </w:tcPr>
          <w:p>
            <w:r>
              <w:rPr>
                <w:sz w:val="14"/>
              </w:rPr>
              <w:t>Asset read</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Limited</w:t>
            </w:r>
          </w:p>
        </w:tc>
        <w:tc>
          <w:tcPr>
            <w:tcW w:type="dxa" w:w="1493"/>
            <w:vAlign w:val="center"/>
          </w:tcPr>
          <w:p>
            <w:r>
              <w:rPr>
                <w:sz w:val="14"/>
              </w:rPr>
              <w:t>Yes</w:t>
            </w:r>
          </w:p>
        </w:tc>
        <w:tc>
          <w:tcPr>
            <w:tcW w:type="dxa" w:w="1493"/>
            <w:vAlign w:val="center"/>
          </w:tcPr>
          <w:p>
            <w:r>
              <w:rPr>
                <w:sz w:val="14"/>
              </w:rPr>
              <w:t>Yes</w:t>
            </w:r>
          </w:p>
        </w:tc>
      </w:tr>
      <w:tr>
        <w:tc>
          <w:tcPr>
            <w:tcW w:type="dxa" w:w="1493"/>
            <w:vAlign w:val="center"/>
          </w:tcPr>
          <w:p>
            <w:r>
              <w:rPr>
                <w:sz w:val="14"/>
              </w:rPr>
              <w:t>Telemetry/history</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Limited</w:t>
            </w:r>
          </w:p>
        </w:tc>
        <w:tc>
          <w:tcPr>
            <w:tcW w:type="dxa" w:w="1493"/>
            <w:vAlign w:val="center"/>
          </w:tcPr>
          <w:p>
            <w:r>
              <w:rPr>
                <w:sz w:val="14"/>
              </w:rPr>
              <w:t>Yes</w:t>
            </w:r>
          </w:p>
        </w:tc>
        <w:tc>
          <w:tcPr>
            <w:tcW w:type="dxa" w:w="1493"/>
            <w:vAlign w:val="center"/>
          </w:tcPr>
          <w:p>
            <w:r>
              <w:rPr>
                <w:sz w:val="14"/>
              </w:rPr>
              <w:t>Yes</w:t>
            </w:r>
          </w:p>
        </w:tc>
      </w:tr>
      <w:tr>
        <w:tc>
          <w:tcPr>
            <w:tcW w:type="dxa" w:w="1493"/>
            <w:vAlign w:val="center"/>
          </w:tcPr>
          <w:p>
            <w:r>
              <w:rPr>
                <w:sz w:val="14"/>
              </w:rPr>
              <w:t>Engineering hydraulic</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No</w:t>
            </w:r>
          </w:p>
        </w:tc>
        <w:tc>
          <w:tcPr>
            <w:tcW w:type="dxa" w:w="1493"/>
            <w:vAlign w:val="center"/>
          </w:tcPr>
          <w:p>
            <w:r>
              <w:rPr>
                <w:sz w:val="14"/>
              </w:rPr>
              <w:t>Yes</w:t>
            </w:r>
          </w:p>
        </w:tc>
        <w:tc>
          <w:tcPr>
            <w:tcW w:type="dxa" w:w="1493"/>
            <w:vAlign w:val="center"/>
          </w:tcPr>
          <w:p>
            <w:r>
              <w:rPr>
                <w:sz w:val="14"/>
              </w:rPr>
              <w:t>Limited</w:t>
            </w:r>
          </w:p>
        </w:tc>
      </w:tr>
      <w:tr>
        <w:tc>
          <w:tcPr>
            <w:tcW w:type="dxa" w:w="1493"/>
            <w:vAlign w:val="center"/>
          </w:tcPr>
          <w:p>
            <w:r>
              <w:rPr>
                <w:sz w:val="14"/>
              </w:rPr>
              <w:t>Engineering electrical</w:t>
            </w:r>
          </w:p>
        </w:tc>
        <w:tc>
          <w:tcPr>
            <w:tcW w:type="dxa" w:w="1493"/>
            <w:vAlign w:val="center"/>
          </w:tcPr>
          <w:p>
            <w:r>
              <w:rPr>
                <w:sz w:val="14"/>
              </w:rPr>
              <w:t>Yes</w:t>
            </w:r>
          </w:p>
        </w:tc>
        <w:tc>
          <w:tcPr>
            <w:tcW w:type="dxa" w:w="1493"/>
            <w:vAlign w:val="center"/>
          </w:tcPr>
          <w:p>
            <w:r>
              <w:rPr>
                <w:sz w:val="14"/>
              </w:rPr>
              <w:t>Limited</w:t>
            </w:r>
          </w:p>
        </w:tc>
        <w:tc>
          <w:tcPr>
            <w:tcW w:type="dxa" w:w="1493"/>
            <w:vAlign w:val="center"/>
          </w:tcPr>
          <w:p>
            <w:r>
              <w:rPr>
                <w:sz w:val="14"/>
              </w:rPr>
              <w:t>Yes</w:t>
            </w:r>
          </w:p>
        </w:tc>
        <w:tc>
          <w:tcPr>
            <w:tcW w:type="dxa" w:w="1493"/>
            <w:vAlign w:val="center"/>
          </w:tcPr>
          <w:p>
            <w:r>
              <w:rPr>
                <w:sz w:val="14"/>
              </w:rPr>
              <w:t>No</w:t>
            </w:r>
          </w:p>
        </w:tc>
        <w:tc>
          <w:tcPr>
            <w:tcW w:type="dxa" w:w="1493"/>
            <w:vAlign w:val="center"/>
          </w:tcPr>
          <w:p>
            <w:r>
              <w:rPr>
                <w:sz w:val="14"/>
              </w:rPr>
              <w:t>Yes</w:t>
            </w:r>
          </w:p>
        </w:tc>
        <w:tc>
          <w:tcPr>
            <w:tcW w:type="dxa" w:w="1493"/>
            <w:vAlign w:val="center"/>
          </w:tcPr>
          <w:p>
            <w:r>
              <w:rPr>
                <w:sz w:val="14"/>
              </w:rPr>
              <w:t>Limited</w:t>
            </w:r>
          </w:p>
        </w:tc>
      </w:tr>
      <w:tr>
        <w:tc>
          <w:tcPr>
            <w:tcW w:type="dxa" w:w="1493"/>
            <w:vAlign w:val="center"/>
          </w:tcPr>
          <w:p>
            <w:r>
              <w:rPr>
                <w:sz w:val="14"/>
              </w:rPr>
              <w:t>ML anomaly/failure</w:t>
            </w:r>
          </w:p>
        </w:tc>
        <w:tc>
          <w:tcPr>
            <w:tcW w:type="dxa" w:w="1493"/>
            <w:vAlign w:val="center"/>
          </w:tcPr>
          <w:p>
            <w:r>
              <w:rPr>
                <w:sz w:val="14"/>
              </w:rPr>
              <w:t>Yes</w:t>
            </w:r>
          </w:p>
        </w:tc>
        <w:tc>
          <w:tcPr>
            <w:tcW w:type="dxa" w:w="1493"/>
            <w:vAlign w:val="center"/>
          </w:tcPr>
          <w:p>
            <w:r>
              <w:rPr>
                <w:sz w:val="14"/>
              </w:rPr>
              <w:t>Limited</w:t>
            </w:r>
          </w:p>
        </w:tc>
        <w:tc>
          <w:tcPr>
            <w:tcW w:type="dxa" w:w="1493"/>
            <w:vAlign w:val="center"/>
          </w:tcPr>
          <w:p>
            <w:r>
              <w:rPr>
                <w:sz w:val="14"/>
              </w:rPr>
              <w:t>Yes</w:t>
            </w:r>
          </w:p>
        </w:tc>
        <w:tc>
          <w:tcPr>
            <w:tcW w:type="dxa" w:w="1493"/>
            <w:vAlign w:val="center"/>
          </w:tcPr>
          <w:p>
            <w:r>
              <w:rPr>
                <w:sz w:val="14"/>
              </w:rPr>
              <w:t>No</w:t>
            </w:r>
          </w:p>
        </w:tc>
        <w:tc>
          <w:tcPr>
            <w:tcW w:type="dxa" w:w="1493"/>
            <w:vAlign w:val="center"/>
          </w:tcPr>
          <w:p>
            <w:r>
              <w:rPr>
                <w:sz w:val="14"/>
              </w:rPr>
              <w:t>Yes</w:t>
            </w:r>
          </w:p>
        </w:tc>
        <w:tc>
          <w:tcPr>
            <w:tcW w:type="dxa" w:w="1493"/>
            <w:vAlign w:val="center"/>
          </w:tcPr>
          <w:p>
            <w:r>
              <w:rPr>
                <w:sz w:val="14"/>
              </w:rPr>
              <w:t>Yes</w:t>
            </w:r>
          </w:p>
        </w:tc>
      </w:tr>
      <w:tr>
        <w:tc>
          <w:tcPr>
            <w:tcW w:type="dxa" w:w="1493"/>
            <w:vAlign w:val="center"/>
          </w:tcPr>
          <w:p>
            <w:r>
              <w:rPr>
                <w:sz w:val="14"/>
              </w:rPr>
              <w:t>Knowledge search</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r>
      <w:tr>
        <w:tc>
          <w:tcPr>
            <w:tcW w:type="dxa" w:w="1493"/>
            <w:vAlign w:val="center"/>
          </w:tcPr>
          <w:p>
            <w:r>
              <w:rPr>
                <w:sz w:val="14"/>
              </w:rPr>
              <w:t>Case similarity</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c>
          <w:tcPr>
            <w:tcW w:type="dxa" w:w="1493"/>
            <w:vAlign w:val="center"/>
          </w:tcPr>
          <w:p>
            <w:r>
              <w:rPr>
                <w:sz w:val="14"/>
              </w:rPr>
              <w:t>Yes</w:t>
            </w:r>
          </w:p>
        </w:tc>
      </w:tr>
      <w:tr>
        <w:tc>
          <w:tcPr>
            <w:tcW w:type="dxa" w:w="1493"/>
            <w:vAlign w:val="center"/>
          </w:tcPr>
          <w:p>
            <w:r>
              <w:rPr>
                <w:sz w:val="14"/>
              </w:rPr>
              <w:t>Digital Twin</w:t>
            </w:r>
          </w:p>
        </w:tc>
        <w:tc>
          <w:tcPr>
            <w:tcW w:type="dxa" w:w="1493"/>
            <w:vAlign w:val="center"/>
          </w:tcPr>
          <w:p>
            <w:r>
              <w:rPr>
                <w:sz w:val="14"/>
              </w:rPr>
              <w:t>Yes</w:t>
            </w:r>
          </w:p>
        </w:tc>
        <w:tc>
          <w:tcPr>
            <w:tcW w:type="dxa" w:w="1493"/>
            <w:vAlign w:val="center"/>
          </w:tcPr>
          <w:p>
            <w:r>
              <w:rPr>
                <w:sz w:val="14"/>
              </w:rPr>
              <w:t>No</w:t>
            </w:r>
          </w:p>
        </w:tc>
        <w:tc>
          <w:tcPr>
            <w:tcW w:type="dxa" w:w="1493"/>
            <w:vAlign w:val="center"/>
          </w:tcPr>
          <w:p>
            <w:r>
              <w:rPr>
                <w:sz w:val="14"/>
              </w:rPr>
              <w:t>Yes</w:t>
            </w:r>
          </w:p>
        </w:tc>
        <w:tc>
          <w:tcPr>
            <w:tcW w:type="dxa" w:w="1493"/>
            <w:vAlign w:val="center"/>
          </w:tcPr>
          <w:p>
            <w:r>
              <w:rPr>
                <w:sz w:val="14"/>
              </w:rPr>
              <w:t>No</w:t>
            </w:r>
          </w:p>
        </w:tc>
        <w:tc>
          <w:tcPr>
            <w:tcW w:type="dxa" w:w="1493"/>
            <w:vAlign w:val="center"/>
          </w:tcPr>
          <w:p>
            <w:r>
              <w:rPr>
                <w:sz w:val="14"/>
              </w:rPr>
              <w:t>Yes</w:t>
            </w:r>
          </w:p>
        </w:tc>
        <w:tc>
          <w:tcPr>
            <w:tcW w:type="dxa" w:w="1493"/>
            <w:vAlign w:val="center"/>
          </w:tcPr>
          <w:p>
            <w:r>
              <w:rPr>
                <w:sz w:val="14"/>
              </w:rPr>
              <w:t>Limited</w:t>
            </w:r>
          </w:p>
        </w:tc>
      </w:tr>
      <w:tr>
        <w:tc>
          <w:tcPr>
            <w:tcW w:type="dxa" w:w="1493"/>
            <w:vAlign w:val="center"/>
          </w:tcPr>
          <w:p>
            <w:r>
              <w:rPr>
                <w:sz w:val="14"/>
              </w:rPr>
              <w:t>Control/write tools</w:t>
            </w:r>
          </w:p>
        </w:tc>
        <w:tc>
          <w:tcPr>
            <w:tcW w:type="dxa" w:w="1493"/>
            <w:vAlign w:val="center"/>
          </w:tcPr>
          <w:p>
            <w:r>
              <w:rPr>
                <w:sz w:val="14"/>
              </w:rPr>
              <w:t>No in initial release</w:t>
            </w:r>
          </w:p>
        </w:tc>
        <w:tc>
          <w:tcPr>
            <w:tcW w:type="dxa" w:w="1493"/>
            <w:vAlign w:val="center"/>
          </w:tcPr>
          <w:p>
            <w:r>
              <w:rPr>
                <w:sz w:val="14"/>
              </w:rPr>
              <w:t>No</w:t>
            </w:r>
          </w:p>
        </w:tc>
        <w:tc>
          <w:tcPr>
            <w:tcW w:type="dxa" w:w="1493"/>
            <w:vAlign w:val="center"/>
          </w:tcPr>
          <w:p>
            <w:r>
              <w:rPr>
                <w:sz w:val="14"/>
              </w:rPr>
              <w:t>No</w:t>
            </w:r>
          </w:p>
        </w:tc>
        <w:tc>
          <w:tcPr>
            <w:tcW w:type="dxa" w:w="1493"/>
            <w:vAlign w:val="center"/>
          </w:tcPr>
          <w:p>
            <w:r>
              <w:rPr>
                <w:sz w:val="14"/>
              </w:rPr>
              <w:t>No</w:t>
            </w:r>
          </w:p>
        </w:tc>
        <w:tc>
          <w:tcPr>
            <w:tcW w:type="dxa" w:w="1493"/>
            <w:vAlign w:val="center"/>
          </w:tcPr>
          <w:p>
            <w:r>
              <w:rPr>
                <w:sz w:val="14"/>
              </w:rPr>
              <w:t>No</w:t>
            </w:r>
          </w:p>
        </w:tc>
        <w:tc>
          <w:tcPr>
            <w:tcW w:type="dxa" w:w="1493"/>
            <w:vAlign w:val="center"/>
          </w:tcPr>
          <w:p>
            <w:r>
              <w:rPr>
                <w:sz w:val="14"/>
              </w:rPr>
              <w:t>No</w:t>
            </w:r>
          </w:p>
        </w:tc>
      </w:tr>
    </w:tbl>
    <w:p/>
    <w:p>
      <w:pPr>
        <w:spacing w:after="80"/>
        <w:jc w:val="left"/>
      </w:pPr>
      <w:r>
        <w:rPr>
          <w:b w:val="0"/>
          <w:i w:val="0"/>
        </w:rPr>
        <w:t>The guideline requires least privilege: diagnostic agents should use read-only historian access, performance/optimization agents use engineering calculators, and initial production releases have no write/control tools. fileciteturn7file1L85-L88</w:t>
      </w:r>
    </w:p>
    <w:p>
      <w:pPr>
        <w:pStyle w:val="Heading1"/>
      </w:pPr>
      <w:r>
        <w:t>22. Observability and Audit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Trace element</w:t>
            </w:r>
          </w:p>
        </w:tc>
        <w:tc>
          <w:tcPr>
            <w:tcW w:type="dxa" w:w="5227"/>
            <w:shd w:fill="D9EAF7"/>
          </w:tcPr>
          <w:p>
            <w:r>
              <w:rPr>
                <w:b/>
                <w:sz w:val="14"/>
              </w:rPr>
              <w:t>Required</w:t>
            </w:r>
          </w:p>
        </w:tc>
      </w:tr>
      <w:tr>
        <w:tc>
          <w:tcPr>
            <w:tcW w:type="dxa" w:w="5227"/>
            <w:vAlign w:val="center"/>
          </w:tcPr>
          <w:p>
            <w:r>
              <w:rPr>
                <w:sz w:val="14"/>
              </w:rPr>
              <w:t>Context request</w:t>
            </w:r>
          </w:p>
        </w:tc>
        <w:tc>
          <w:tcPr>
            <w:tcW w:type="dxa" w:w="5227"/>
            <w:vAlign w:val="center"/>
          </w:tcPr>
          <w:p>
            <w:r>
              <w:rPr>
                <w:sz w:val="14"/>
              </w:rPr>
              <w:t>request_id, tenant, user, asset, objective</w:t>
            </w:r>
          </w:p>
        </w:tc>
      </w:tr>
      <w:tr>
        <w:tc>
          <w:tcPr>
            <w:tcW w:type="dxa" w:w="5227"/>
            <w:vAlign w:val="center"/>
          </w:tcPr>
          <w:p>
            <w:r>
              <w:rPr>
                <w:sz w:val="14"/>
              </w:rPr>
              <w:t>Tool trace</w:t>
            </w:r>
          </w:p>
        </w:tc>
        <w:tc>
          <w:tcPr>
            <w:tcW w:type="dxa" w:w="5227"/>
            <w:vAlign w:val="center"/>
          </w:tcPr>
          <w:p>
            <w:r>
              <w:rPr>
                <w:sz w:val="14"/>
              </w:rPr>
              <w:t>tool_id/version, request, response status, latency</w:t>
            </w:r>
          </w:p>
        </w:tc>
      </w:tr>
      <w:tr>
        <w:tc>
          <w:tcPr>
            <w:tcW w:type="dxa" w:w="5227"/>
            <w:vAlign w:val="center"/>
          </w:tcPr>
          <w:p>
            <w:r>
              <w:rPr>
                <w:sz w:val="14"/>
              </w:rPr>
              <w:t>Telemetry evidence</w:t>
            </w:r>
          </w:p>
        </w:tc>
        <w:tc>
          <w:tcPr>
            <w:tcW w:type="dxa" w:w="5227"/>
            <w:vAlign w:val="center"/>
          </w:tcPr>
          <w:p>
            <w:r>
              <w:rPr>
                <w:sz w:val="14"/>
              </w:rPr>
              <w:t>tag, timestamp, unit, QoD</w:t>
            </w:r>
          </w:p>
        </w:tc>
      </w:tr>
      <w:tr>
        <w:tc>
          <w:tcPr>
            <w:tcW w:type="dxa" w:w="5227"/>
            <w:vAlign w:val="center"/>
          </w:tcPr>
          <w:p>
            <w:r>
              <w:rPr>
                <w:sz w:val="14"/>
              </w:rPr>
              <w:t>Engineering evidence</w:t>
            </w:r>
          </w:p>
        </w:tc>
        <w:tc>
          <w:tcPr>
            <w:tcW w:type="dxa" w:w="5227"/>
            <w:vAlign w:val="center"/>
          </w:tcPr>
          <w:p>
            <w:r>
              <w:rPr>
                <w:sz w:val="14"/>
              </w:rPr>
              <w:t>inputs, outputs, calculation/service version</w:t>
            </w:r>
          </w:p>
        </w:tc>
      </w:tr>
      <w:tr>
        <w:tc>
          <w:tcPr>
            <w:tcW w:type="dxa" w:w="5227"/>
            <w:vAlign w:val="center"/>
          </w:tcPr>
          <w:p>
            <w:r>
              <w:rPr>
                <w:sz w:val="14"/>
              </w:rPr>
              <w:t>ML evidence</w:t>
            </w:r>
          </w:p>
        </w:tc>
        <w:tc>
          <w:tcPr>
            <w:tcW w:type="dxa" w:w="5227"/>
            <w:vAlign w:val="center"/>
          </w:tcPr>
          <w:p>
            <w:r>
              <w:rPr>
                <w:sz w:val="14"/>
              </w:rPr>
              <w:t>model/version, timestamp, output/confidence</w:t>
            </w:r>
          </w:p>
        </w:tc>
      </w:tr>
      <w:tr>
        <w:tc>
          <w:tcPr>
            <w:tcW w:type="dxa" w:w="5227"/>
            <w:vAlign w:val="center"/>
          </w:tcPr>
          <w:p>
            <w:r>
              <w:rPr>
                <w:sz w:val="14"/>
              </w:rPr>
              <w:t>KB evidence</w:t>
            </w:r>
          </w:p>
        </w:tc>
        <w:tc>
          <w:tcPr>
            <w:tcW w:type="dxa" w:w="5227"/>
            <w:vAlign w:val="center"/>
          </w:tcPr>
          <w:p>
            <w:r>
              <w:rPr>
                <w:sz w:val="14"/>
              </w:rPr>
              <w:t>source/revision/page/authority</w:t>
            </w:r>
          </w:p>
        </w:tc>
      </w:tr>
      <w:tr>
        <w:tc>
          <w:tcPr>
            <w:tcW w:type="dxa" w:w="5227"/>
            <w:vAlign w:val="center"/>
          </w:tcPr>
          <w:p>
            <w:r>
              <w:rPr>
                <w:sz w:val="14"/>
              </w:rPr>
              <w:t>Case evidence</w:t>
            </w:r>
          </w:p>
        </w:tc>
        <w:tc>
          <w:tcPr>
            <w:tcW w:type="dxa" w:w="5227"/>
            <w:vAlign w:val="center"/>
          </w:tcPr>
          <w:p>
            <w:r>
              <w:rPr>
                <w:sz w:val="14"/>
              </w:rPr>
              <w:t>case_id/similarity/approval</w:t>
            </w:r>
          </w:p>
        </w:tc>
      </w:tr>
      <w:tr>
        <w:tc>
          <w:tcPr>
            <w:tcW w:type="dxa" w:w="5227"/>
            <w:vAlign w:val="center"/>
          </w:tcPr>
          <w:p>
            <w:r>
              <w:rPr>
                <w:sz w:val="14"/>
              </w:rPr>
              <w:t>Conflict</w:t>
            </w:r>
          </w:p>
        </w:tc>
        <w:tc>
          <w:tcPr>
            <w:tcW w:type="dxa" w:w="5227"/>
            <w:vAlign w:val="center"/>
          </w:tcPr>
          <w:p>
            <w:r>
              <w:rPr>
                <w:sz w:val="14"/>
              </w:rPr>
              <w:t>sources compared + resolution</w:t>
            </w:r>
          </w:p>
        </w:tc>
      </w:tr>
      <w:tr>
        <w:tc>
          <w:tcPr>
            <w:tcW w:type="dxa" w:w="5227"/>
            <w:vAlign w:val="center"/>
          </w:tcPr>
          <w:p>
            <w:r>
              <w:rPr>
                <w:sz w:val="14"/>
              </w:rPr>
              <w:t>Final advisory</w:t>
            </w:r>
          </w:p>
        </w:tc>
        <w:tc>
          <w:tcPr>
            <w:tcW w:type="dxa" w:w="5227"/>
            <w:vAlign w:val="center"/>
          </w:tcPr>
          <w:p>
            <w:r>
              <w:rPr>
                <w:sz w:val="14"/>
              </w:rPr>
              <w:t>schema version + evidence refs</w:t>
            </w:r>
          </w:p>
        </w:tc>
      </w:tr>
      <w:tr>
        <w:tc>
          <w:tcPr>
            <w:tcW w:type="dxa" w:w="5227"/>
            <w:vAlign w:val="center"/>
          </w:tcPr>
          <w:p>
            <w:r>
              <w:rPr>
                <w:sz w:val="14"/>
              </w:rPr>
              <w:t>Outcome</w:t>
            </w:r>
          </w:p>
        </w:tc>
        <w:tc>
          <w:tcPr>
            <w:tcW w:type="dxa" w:w="5227"/>
            <w:vAlign w:val="center"/>
          </w:tcPr>
          <w:p>
            <w:r>
              <w:rPr>
                <w:sz w:val="14"/>
              </w:rPr>
              <w:t>operator decision/result</w:t>
            </w:r>
          </w:p>
        </w:tc>
      </w:tr>
    </w:tbl>
    <w:p/>
    <w:p>
      <w:pPr>
        <w:spacing w:after="80"/>
        <w:jc w:val="left"/>
      </w:pPr>
      <w:r>
        <w:rPr>
          <w:b w:val="0"/>
          <w:i w:val="0"/>
        </w:rPr>
        <w:t>The guideline requires complete audit/reproducibility and pinned model/engineering-service versions for release. fileciteturn10file4L324-L346</w:t>
      </w:r>
    </w:p>
    <w:p>
      <w:pPr>
        <w:pStyle w:val="Heading1"/>
      </w:pPr>
      <w:r>
        <w:t>23. Implementation Plan</w:t>
      </w:r>
    </w:p>
    <w:p>
      <w:pPr>
        <w:pStyle w:val="Heading2"/>
      </w:pPr>
      <w:r>
        <w:t>Phase 1 — Contracts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S1</w:t>
            </w:r>
          </w:p>
        </w:tc>
        <w:tc>
          <w:tcPr>
            <w:tcW w:type="dxa" w:w="2091"/>
            <w:vAlign w:val="center"/>
          </w:tcPr>
          <w:p>
            <w:r>
              <w:rPr>
                <w:sz w:val="13"/>
              </w:rPr>
              <w:t>Canonical Asset Context schema</w:t>
            </w:r>
          </w:p>
        </w:tc>
        <w:tc>
          <w:tcPr>
            <w:tcW w:type="dxa" w:w="2091"/>
            <w:vAlign w:val="center"/>
          </w:tcPr>
          <w:p>
            <w:r>
              <w:rPr>
                <w:sz w:val="13"/>
              </w:rPr>
              <w:t>IDs/hierarchy/tags/config/version/freshness</w:t>
            </w:r>
          </w:p>
        </w:tc>
        <w:tc>
          <w:tcPr>
            <w:tcW w:type="dxa" w:w="2091"/>
            <w:vAlign w:val="center"/>
          </w:tcPr>
          <w:p>
            <w:r>
              <w:rPr>
                <w:sz w:val="13"/>
              </w:rPr>
              <w:t>Advait contract</w:t>
            </w:r>
          </w:p>
        </w:tc>
        <w:tc>
          <w:tcPr>
            <w:tcW w:type="dxa" w:w="2091"/>
            <w:vAlign w:val="center"/>
          </w:tcPr>
          <w:p>
            <w:r>
              <w:rPr>
                <w:sz w:val="13"/>
              </w:rPr>
              <w:t>Schema signed</w:t>
            </w:r>
          </w:p>
        </w:tc>
      </w:tr>
      <w:tr>
        <w:tc>
          <w:tcPr>
            <w:tcW w:type="dxa" w:w="2091"/>
            <w:vAlign w:val="center"/>
          </w:tcPr>
          <w:p>
            <w:r>
              <w:rPr>
                <w:sz w:val="13"/>
              </w:rPr>
              <w:t>S2</w:t>
            </w:r>
          </w:p>
        </w:tc>
        <w:tc>
          <w:tcPr>
            <w:tcW w:type="dxa" w:w="2091"/>
            <w:vAlign w:val="center"/>
          </w:tcPr>
          <w:p>
            <w:r>
              <w:rPr>
                <w:sz w:val="13"/>
              </w:rPr>
              <w:t>Telemetry schema</w:t>
            </w:r>
          </w:p>
        </w:tc>
        <w:tc>
          <w:tcPr>
            <w:tcW w:type="dxa" w:w="2091"/>
            <w:vAlign w:val="center"/>
          </w:tcPr>
          <w:p>
            <w:r>
              <w:rPr>
                <w:sz w:val="13"/>
              </w:rPr>
              <w:t>fields/units/time/QoD/history windows</w:t>
            </w:r>
          </w:p>
        </w:tc>
        <w:tc>
          <w:tcPr>
            <w:tcW w:type="dxa" w:w="2091"/>
            <w:vAlign w:val="center"/>
          </w:tcPr>
          <w:p>
            <w:r>
              <w:rPr>
                <w:sz w:val="13"/>
              </w:rPr>
              <w:t>OT contract</w:t>
            </w:r>
          </w:p>
        </w:tc>
        <w:tc>
          <w:tcPr>
            <w:tcW w:type="dxa" w:w="2091"/>
            <w:vAlign w:val="center"/>
          </w:tcPr>
          <w:p>
            <w:r>
              <w:rPr>
                <w:sz w:val="13"/>
              </w:rPr>
              <w:t>Schema signed</w:t>
            </w:r>
          </w:p>
        </w:tc>
      </w:tr>
      <w:tr>
        <w:tc>
          <w:tcPr>
            <w:tcW w:type="dxa" w:w="2091"/>
            <w:vAlign w:val="center"/>
          </w:tcPr>
          <w:p>
            <w:r>
              <w:rPr>
                <w:sz w:val="13"/>
              </w:rPr>
              <w:t>S3</w:t>
            </w:r>
          </w:p>
        </w:tc>
        <w:tc>
          <w:tcPr>
            <w:tcW w:type="dxa" w:w="2091"/>
            <w:vAlign w:val="center"/>
          </w:tcPr>
          <w:p>
            <w:r>
              <w:rPr>
                <w:sz w:val="13"/>
              </w:rPr>
              <w:t>Engineering schema</w:t>
            </w:r>
          </w:p>
        </w:tc>
        <w:tc>
          <w:tcPr>
            <w:tcW w:type="dxa" w:w="2091"/>
            <w:vAlign w:val="center"/>
          </w:tcPr>
          <w:p>
            <w:r>
              <w:rPr>
                <w:sz w:val="13"/>
              </w:rPr>
              <w:t>calculators/units/version/errors</w:t>
            </w:r>
          </w:p>
        </w:tc>
        <w:tc>
          <w:tcPr>
            <w:tcW w:type="dxa" w:w="2091"/>
            <w:vAlign w:val="center"/>
          </w:tcPr>
          <w:p>
            <w:r>
              <w:rPr>
                <w:sz w:val="13"/>
              </w:rPr>
              <w:t>Engineering contract</w:t>
            </w:r>
          </w:p>
        </w:tc>
        <w:tc>
          <w:tcPr>
            <w:tcW w:type="dxa" w:w="2091"/>
            <w:vAlign w:val="center"/>
          </w:tcPr>
          <w:p>
            <w:r>
              <w:rPr>
                <w:sz w:val="13"/>
              </w:rPr>
              <w:t>API contract</w:t>
            </w:r>
          </w:p>
        </w:tc>
      </w:tr>
      <w:tr>
        <w:tc>
          <w:tcPr>
            <w:tcW w:type="dxa" w:w="2091"/>
            <w:vAlign w:val="center"/>
          </w:tcPr>
          <w:p>
            <w:r>
              <w:rPr>
                <w:sz w:val="13"/>
              </w:rPr>
              <w:t>S4</w:t>
            </w:r>
          </w:p>
        </w:tc>
        <w:tc>
          <w:tcPr>
            <w:tcW w:type="dxa" w:w="2091"/>
            <w:vAlign w:val="center"/>
          </w:tcPr>
          <w:p>
            <w:r>
              <w:rPr>
                <w:sz w:val="13"/>
              </w:rPr>
              <w:t>ML schema</w:t>
            </w:r>
          </w:p>
        </w:tc>
        <w:tc>
          <w:tcPr>
            <w:tcW w:type="dxa" w:w="2091"/>
            <w:vAlign w:val="center"/>
          </w:tcPr>
          <w:p>
            <w:r>
              <w:rPr>
                <w:sz w:val="13"/>
              </w:rPr>
              <w:t>outputs/version/confidence/history</w:t>
            </w:r>
          </w:p>
        </w:tc>
        <w:tc>
          <w:tcPr>
            <w:tcW w:type="dxa" w:w="2091"/>
            <w:vAlign w:val="center"/>
          </w:tcPr>
          <w:p>
            <w:r>
              <w:rPr>
                <w:sz w:val="13"/>
              </w:rPr>
              <w:t>Model team</w:t>
            </w:r>
          </w:p>
        </w:tc>
        <w:tc>
          <w:tcPr>
            <w:tcW w:type="dxa" w:w="2091"/>
            <w:vAlign w:val="center"/>
          </w:tcPr>
          <w:p>
            <w:r>
              <w:rPr>
                <w:sz w:val="13"/>
              </w:rPr>
              <w:t>Model contract</w:t>
            </w:r>
          </w:p>
        </w:tc>
      </w:tr>
      <w:tr>
        <w:tc>
          <w:tcPr>
            <w:tcW w:type="dxa" w:w="2091"/>
            <w:vAlign w:val="center"/>
          </w:tcPr>
          <w:p>
            <w:r>
              <w:rPr>
                <w:sz w:val="13"/>
              </w:rPr>
              <w:t>S5</w:t>
            </w:r>
          </w:p>
        </w:tc>
        <w:tc>
          <w:tcPr>
            <w:tcW w:type="dxa" w:w="2091"/>
            <w:vAlign w:val="center"/>
          </w:tcPr>
          <w:p>
            <w:r>
              <w:rPr>
                <w:sz w:val="13"/>
              </w:rPr>
              <w:t>Knowledge schema</w:t>
            </w:r>
          </w:p>
        </w:tc>
        <w:tc>
          <w:tcPr>
            <w:tcW w:type="dxa" w:w="2091"/>
            <w:vAlign w:val="center"/>
          </w:tcPr>
          <w:p>
            <w:r>
              <w:rPr>
                <w:sz w:val="13"/>
              </w:rPr>
              <w:t>source/authority/ACL/revision</w:t>
            </w:r>
          </w:p>
        </w:tc>
        <w:tc>
          <w:tcPr>
            <w:tcW w:type="dxa" w:w="2091"/>
            <w:vAlign w:val="center"/>
          </w:tcPr>
          <w:p>
            <w:r>
              <w:rPr>
                <w:sz w:val="13"/>
              </w:rPr>
              <w:t>KB architecture</w:t>
            </w:r>
          </w:p>
        </w:tc>
        <w:tc>
          <w:tcPr>
            <w:tcW w:type="dxa" w:w="2091"/>
            <w:vAlign w:val="center"/>
          </w:tcPr>
          <w:p>
            <w:r>
              <w:rPr>
                <w:sz w:val="13"/>
              </w:rPr>
              <w:t>Metadata contract</w:t>
            </w:r>
          </w:p>
        </w:tc>
      </w:tr>
    </w:tbl>
    <w:p/>
    <w:p>
      <w:pPr>
        <w:pStyle w:val="Heading2"/>
      </w:pPr>
      <w:r>
        <w:t>Phase 2 — Services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S6</w:t>
            </w:r>
          </w:p>
        </w:tc>
        <w:tc>
          <w:tcPr>
            <w:tcW w:type="dxa" w:w="2091"/>
            <w:vAlign w:val="center"/>
          </w:tcPr>
          <w:p>
            <w:r>
              <w:rPr>
                <w:sz w:val="13"/>
              </w:rPr>
              <w:t>Asset Context Service</w:t>
            </w:r>
          </w:p>
        </w:tc>
        <w:tc>
          <w:tcPr>
            <w:tcW w:type="dxa" w:w="2091"/>
            <w:vAlign w:val="center"/>
          </w:tcPr>
          <w:p>
            <w:r>
              <w:rPr>
                <w:sz w:val="13"/>
              </w:rPr>
              <w:t>initial sync/cache/incremental sync</w:t>
            </w:r>
          </w:p>
        </w:tc>
        <w:tc>
          <w:tcPr>
            <w:tcW w:type="dxa" w:w="2091"/>
            <w:vAlign w:val="center"/>
          </w:tcPr>
          <w:p>
            <w:r>
              <w:rPr>
                <w:sz w:val="13"/>
              </w:rPr>
              <w:t>Asset contract</w:t>
            </w:r>
          </w:p>
        </w:tc>
        <w:tc>
          <w:tcPr>
            <w:tcW w:type="dxa" w:w="2091"/>
            <w:vAlign w:val="center"/>
          </w:tcPr>
          <w:p>
            <w:r>
              <w:rPr>
                <w:sz w:val="13"/>
              </w:rPr>
              <w:t>Context retrieval</w:t>
            </w:r>
          </w:p>
        </w:tc>
      </w:tr>
      <w:tr>
        <w:tc>
          <w:tcPr>
            <w:tcW w:type="dxa" w:w="2091"/>
            <w:vAlign w:val="center"/>
          </w:tcPr>
          <w:p>
            <w:r>
              <w:rPr>
                <w:sz w:val="13"/>
              </w:rPr>
              <w:t>S7</w:t>
            </w:r>
          </w:p>
        </w:tc>
        <w:tc>
          <w:tcPr>
            <w:tcW w:type="dxa" w:w="2091"/>
            <w:vAlign w:val="center"/>
          </w:tcPr>
          <w:p>
            <w:r>
              <w:rPr>
                <w:sz w:val="13"/>
              </w:rPr>
              <w:t>Telemetry Service</w:t>
            </w:r>
          </w:p>
        </w:tc>
        <w:tc>
          <w:tcPr>
            <w:tcW w:type="dxa" w:w="2091"/>
            <w:vAlign w:val="center"/>
          </w:tcPr>
          <w:p>
            <w:r>
              <w:rPr>
                <w:sz w:val="13"/>
              </w:rPr>
              <w:t>live/history/QoD</w:t>
            </w:r>
          </w:p>
        </w:tc>
        <w:tc>
          <w:tcPr>
            <w:tcW w:type="dxa" w:w="2091"/>
            <w:vAlign w:val="center"/>
          </w:tcPr>
          <w:p>
            <w:r>
              <w:rPr>
                <w:sz w:val="13"/>
              </w:rPr>
              <w:t>Telemetry contract</w:t>
            </w:r>
          </w:p>
        </w:tc>
        <w:tc>
          <w:tcPr>
            <w:tcW w:type="dxa" w:w="2091"/>
            <w:vAlign w:val="center"/>
          </w:tcPr>
          <w:p>
            <w:r>
              <w:rPr>
                <w:sz w:val="13"/>
              </w:rPr>
              <w:t>Real data</w:t>
            </w:r>
          </w:p>
        </w:tc>
      </w:tr>
      <w:tr>
        <w:tc>
          <w:tcPr>
            <w:tcW w:type="dxa" w:w="2091"/>
            <w:vAlign w:val="center"/>
          </w:tcPr>
          <w:p>
            <w:r>
              <w:rPr>
                <w:sz w:val="13"/>
              </w:rPr>
              <w:t>S8</w:t>
            </w:r>
          </w:p>
        </w:tc>
        <w:tc>
          <w:tcPr>
            <w:tcW w:type="dxa" w:w="2091"/>
            <w:vAlign w:val="center"/>
          </w:tcPr>
          <w:p>
            <w:r>
              <w:rPr>
                <w:sz w:val="13"/>
              </w:rPr>
              <w:t>Event Service</w:t>
            </w:r>
          </w:p>
        </w:tc>
        <w:tc>
          <w:tcPr>
            <w:tcW w:type="dxa" w:w="2091"/>
            <w:vAlign w:val="center"/>
          </w:tcPr>
          <w:p>
            <w:r>
              <w:rPr>
                <w:sz w:val="13"/>
              </w:rPr>
              <w:t>timeline/alerts/model events</w:t>
            </w:r>
          </w:p>
        </w:tc>
        <w:tc>
          <w:tcPr>
            <w:tcW w:type="dxa" w:w="2091"/>
            <w:vAlign w:val="center"/>
          </w:tcPr>
          <w:p>
            <w:r>
              <w:rPr>
                <w:sz w:val="13"/>
              </w:rPr>
              <w:t>Event contract</w:t>
            </w:r>
          </w:p>
        </w:tc>
        <w:tc>
          <w:tcPr>
            <w:tcW w:type="dxa" w:w="2091"/>
            <w:vAlign w:val="center"/>
          </w:tcPr>
          <w:p>
            <w:r>
              <w:rPr>
                <w:sz w:val="13"/>
              </w:rPr>
              <w:t>Timeline</w:t>
            </w:r>
          </w:p>
        </w:tc>
      </w:tr>
      <w:tr>
        <w:tc>
          <w:tcPr>
            <w:tcW w:type="dxa" w:w="2091"/>
            <w:vAlign w:val="center"/>
          </w:tcPr>
          <w:p>
            <w:r>
              <w:rPr>
                <w:sz w:val="13"/>
              </w:rPr>
              <w:t>S9</w:t>
            </w:r>
          </w:p>
        </w:tc>
        <w:tc>
          <w:tcPr>
            <w:tcW w:type="dxa" w:w="2091"/>
            <w:vAlign w:val="center"/>
          </w:tcPr>
          <w:p>
            <w:r>
              <w:rPr>
                <w:sz w:val="13"/>
              </w:rPr>
              <w:t>Engineering Service</w:t>
            </w:r>
          </w:p>
        </w:tc>
        <w:tc>
          <w:tcPr>
            <w:tcW w:type="dxa" w:w="2091"/>
            <w:vAlign w:val="center"/>
          </w:tcPr>
          <w:p>
            <w:r>
              <w:rPr>
                <w:sz w:val="13"/>
              </w:rPr>
              <w:t>deterministic calculations</w:t>
            </w:r>
          </w:p>
        </w:tc>
        <w:tc>
          <w:tcPr>
            <w:tcW w:type="dxa" w:w="2091"/>
            <w:vAlign w:val="center"/>
          </w:tcPr>
          <w:p>
            <w:r>
              <w:rPr>
                <w:sz w:val="13"/>
              </w:rPr>
              <w:t>Engineering contract</w:t>
            </w:r>
          </w:p>
        </w:tc>
        <w:tc>
          <w:tcPr>
            <w:tcW w:type="dxa" w:w="2091"/>
            <w:vAlign w:val="center"/>
          </w:tcPr>
          <w:p>
            <w:r>
              <w:rPr>
                <w:sz w:val="13"/>
              </w:rPr>
              <w:t>Numerical tests</w:t>
            </w:r>
          </w:p>
        </w:tc>
      </w:tr>
      <w:tr>
        <w:tc>
          <w:tcPr>
            <w:tcW w:type="dxa" w:w="2091"/>
            <w:vAlign w:val="center"/>
          </w:tcPr>
          <w:p>
            <w:r>
              <w:rPr>
                <w:sz w:val="13"/>
              </w:rPr>
              <w:t>S10</w:t>
            </w:r>
          </w:p>
        </w:tc>
        <w:tc>
          <w:tcPr>
            <w:tcW w:type="dxa" w:w="2091"/>
            <w:vAlign w:val="center"/>
          </w:tcPr>
          <w:p>
            <w:r>
              <w:rPr>
                <w:sz w:val="13"/>
              </w:rPr>
              <w:t>Model Adapter</w:t>
            </w:r>
          </w:p>
        </w:tc>
        <w:tc>
          <w:tcPr>
            <w:tcW w:type="dxa" w:w="2091"/>
            <w:vAlign w:val="center"/>
          </w:tcPr>
          <w:p>
            <w:r>
              <w:rPr>
                <w:sz w:val="13"/>
              </w:rPr>
              <w:t>normalize outputs/events</w:t>
            </w:r>
          </w:p>
        </w:tc>
        <w:tc>
          <w:tcPr>
            <w:tcW w:type="dxa" w:w="2091"/>
            <w:vAlign w:val="center"/>
          </w:tcPr>
          <w:p>
            <w:r>
              <w:rPr>
                <w:sz w:val="13"/>
              </w:rPr>
              <w:t>ML contract</w:t>
            </w:r>
          </w:p>
        </w:tc>
        <w:tc>
          <w:tcPr>
            <w:tcW w:type="dxa" w:w="2091"/>
            <w:vAlign w:val="center"/>
          </w:tcPr>
          <w:p>
            <w:r>
              <w:rPr>
                <w:sz w:val="13"/>
              </w:rPr>
              <w:t>Four-model reads</w:t>
            </w:r>
          </w:p>
        </w:tc>
      </w:tr>
      <w:tr>
        <w:tc>
          <w:tcPr>
            <w:tcW w:type="dxa" w:w="2091"/>
            <w:vAlign w:val="center"/>
          </w:tcPr>
          <w:p>
            <w:r>
              <w:rPr>
                <w:sz w:val="13"/>
              </w:rPr>
              <w:t>S11</w:t>
            </w:r>
          </w:p>
        </w:tc>
        <w:tc>
          <w:tcPr>
            <w:tcW w:type="dxa" w:w="2091"/>
            <w:vAlign w:val="center"/>
          </w:tcPr>
          <w:p>
            <w:r>
              <w:rPr>
                <w:sz w:val="13"/>
              </w:rPr>
              <w:t>Knowledge Service</w:t>
            </w:r>
          </w:p>
        </w:tc>
        <w:tc>
          <w:tcPr>
            <w:tcW w:type="dxa" w:w="2091"/>
            <w:vAlign w:val="center"/>
          </w:tcPr>
          <w:p>
            <w:r>
              <w:rPr>
                <w:sz w:val="13"/>
              </w:rPr>
              <w:t>hybrid retrieval/cases/faults</w:t>
            </w:r>
          </w:p>
        </w:tc>
        <w:tc>
          <w:tcPr>
            <w:tcW w:type="dxa" w:w="2091"/>
            <w:vAlign w:val="center"/>
          </w:tcPr>
          <w:p>
            <w:r>
              <w:rPr>
                <w:sz w:val="13"/>
              </w:rPr>
              <w:t>KB</w:t>
            </w:r>
          </w:p>
        </w:tc>
        <w:tc>
          <w:tcPr>
            <w:tcW w:type="dxa" w:w="2091"/>
            <w:vAlign w:val="center"/>
          </w:tcPr>
          <w:p>
            <w:r>
              <w:rPr>
                <w:sz w:val="13"/>
              </w:rPr>
              <w:t>Retrieval API</w:t>
            </w:r>
          </w:p>
        </w:tc>
      </w:tr>
    </w:tbl>
    <w:p/>
    <w:p>
      <w:pPr>
        <w:pStyle w:val="Heading2"/>
      </w:pPr>
      <w:r>
        <w:t>Phase 3 — Tools</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S12</w:t>
            </w:r>
          </w:p>
        </w:tc>
        <w:tc>
          <w:tcPr>
            <w:tcW w:type="dxa" w:w="2091"/>
            <w:vAlign w:val="center"/>
          </w:tcPr>
          <w:p>
            <w:r>
              <w:rPr>
                <w:sz w:val="13"/>
              </w:rPr>
              <w:t>Asset tools</w:t>
            </w:r>
          </w:p>
        </w:tc>
        <w:tc>
          <w:tcPr>
            <w:tcW w:type="dxa" w:w="2091"/>
            <w:vAlign w:val="center"/>
          </w:tcPr>
          <w:p>
            <w:r>
              <w:rPr>
                <w:sz w:val="13"/>
              </w:rPr>
              <w:t>get_asset_context/hierarchy/equipment/limits</w:t>
            </w:r>
          </w:p>
        </w:tc>
        <w:tc>
          <w:tcPr>
            <w:tcW w:type="dxa" w:w="2091"/>
            <w:vAlign w:val="center"/>
          </w:tcPr>
          <w:p>
            <w:r>
              <w:rPr>
                <w:sz w:val="13"/>
              </w:rPr>
              <w:t>Asset service</w:t>
            </w:r>
          </w:p>
        </w:tc>
        <w:tc>
          <w:tcPr>
            <w:tcW w:type="dxa" w:w="2091"/>
            <w:vAlign w:val="center"/>
          </w:tcPr>
          <w:p>
            <w:r>
              <w:rPr>
                <w:sz w:val="13"/>
              </w:rPr>
              <w:t>Tool tests</w:t>
            </w:r>
          </w:p>
        </w:tc>
      </w:tr>
      <w:tr>
        <w:tc>
          <w:tcPr>
            <w:tcW w:type="dxa" w:w="2091"/>
            <w:vAlign w:val="center"/>
          </w:tcPr>
          <w:p>
            <w:r>
              <w:rPr>
                <w:sz w:val="13"/>
              </w:rPr>
              <w:t>S13</w:t>
            </w:r>
          </w:p>
        </w:tc>
        <w:tc>
          <w:tcPr>
            <w:tcW w:type="dxa" w:w="2091"/>
            <w:vAlign w:val="center"/>
          </w:tcPr>
          <w:p>
            <w:r>
              <w:rPr>
                <w:sz w:val="13"/>
              </w:rPr>
              <w:t>Runtime tools</w:t>
            </w:r>
          </w:p>
        </w:tc>
        <w:tc>
          <w:tcPr>
            <w:tcW w:type="dxa" w:w="2091"/>
            <w:vAlign w:val="center"/>
          </w:tcPr>
          <w:p>
            <w:r>
              <w:rPr>
                <w:sz w:val="13"/>
              </w:rPr>
              <w:t>live/history/quality/events</w:t>
            </w:r>
          </w:p>
        </w:tc>
        <w:tc>
          <w:tcPr>
            <w:tcW w:type="dxa" w:w="2091"/>
            <w:vAlign w:val="center"/>
          </w:tcPr>
          <w:p>
            <w:r>
              <w:rPr>
                <w:sz w:val="13"/>
              </w:rPr>
              <w:t>Telemetry/event services</w:t>
            </w:r>
          </w:p>
        </w:tc>
        <w:tc>
          <w:tcPr>
            <w:tcW w:type="dxa" w:w="2091"/>
            <w:vAlign w:val="center"/>
          </w:tcPr>
          <w:p>
            <w:r>
              <w:rPr>
                <w:sz w:val="13"/>
              </w:rPr>
              <w:t>Tool tests</w:t>
            </w:r>
          </w:p>
        </w:tc>
      </w:tr>
      <w:tr>
        <w:tc>
          <w:tcPr>
            <w:tcW w:type="dxa" w:w="2091"/>
            <w:vAlign w:val="center"/>
          </w:tcPr>
          <w:p>
            <w:r>
              <w:rPr>
                <w:sz w:val="13"/>
              </w:rPr>
              <w:t>S14</w:t>
            </w:r>
          </w:p>
        </w:tc>
        <w:tc>
          <w:tcPr>
            <w:tcW w:type="dxa" w:w="2091"/>
            <w:vAlign w:val="center"/>
          </w:tcPr>
          <w:p>
            <w:r>
              <w:rPr>
                <w:sz w:val="13"/>
              </w:rPr>
              <w:t>Engineering tools</w:t>
            </w:r>
          </w:p>
        </w:tc>
        <w:tc>
          <w:tcPr>
            <w:tcW w:type="dxa" w:w="2091"/>
            <w:vAlign w:val="center"/>
          </w:tcPr>
          <w:p>
            <w:r>
              <w:rPr>
                <w:sz w:val="13"/>
              </w:rPr>
              <w:t>operating point/TDH/BEP/ROR/gas/electrical</w:t>
            </w:r>
          </w:p>
        </w:tc>
        <w:tc>
          <w:tcPr>
            <w:tcW w:type="dxa" w:w="2091"/>
            <w:vAlign w:val="center"/>
          </w:tcPr>
          <w:p>
            <w:r>
              <w:rPr>
                <w:sz w:val="13"/>
              </w:rPr>
              <w:t>Engineering service</w:t>
            </w:r>
          </w:p>
        </w:tc>
        <w:tc>
          <w:tcPr>
            <w:tcW w:type="dxa" w:w="2091"/>
            <w:vAlign w:val="center"/>
          </w:tcPr>
          <w:p>
            <w:r>
              <w:rPr>
                <w:sz w:val="13"/>
              </w:rPr>
              <w:t>Numerical tolerance</w:t>
            </w:r>
          </w:p>
        </w:tc>
      </w:tr>
      <w:tr>
        <w:tc>
          <w:tcPr>
            <w:tcW w:type="dxa" w:w="2091"/>
            <w:vAlign w:val="center"/>
          </w:tcPr>
          <w:p>
            <w:r>
              <w:rPr>
                <w:sz w:val="13"/>
              </w:rPr>
              <w:t>S15</w:t>
            </w:r>
          </w:p>
        </w:tc>
        <w:tc>
          <w:tcPr>
            <w:tcW w:type="dxa" w:w="2091"/>
            <w:vAlign w:val="center"/>
          </w:tcPr>
          <w:p>
            <w:r>
              <w:rPr>
                <w:sz w:val="13"/>
              </w:rPr>
              <w:t>ML tools</w:t>
            </w:r>
          </w:p>
        </w:tc>
        <w:tc>
          <w:tcPr>
            <w:tcW w:type="dxa" w:w="2091"/>
            <w:vAlign w:val="center"/>
          </w:tcPr>
          <w:p>
            <w:r>
              <w:rPr>
                <w:sz w:val="13"/>
              </w:rPr>
              <w:t>anomaly/failure/degradation/etc.</w:t>
            </w:r>
          </w:p>
        </w:tc>
        <w:tc>
          <w:tcPr>
            <w:tcW w:type="dxa" w:w="2091"/>
            <w:vAlign w:val="center"/>
          </w:tcPr>
          <w:p>
            <w:r>
              <w:rPr>
                <w:sz w:val="13"/>
              </w:rPr>
              <w:t>Model adapter</w:t>
            </w:r>
          </w:p>
        </w:tc>
        <w:tc>
          <w:tcPr>
            <w:tcW w:type="dxa" w:w="2091"/>
            <w:vAlign w:val="center"/>
          </w:tcPr>
          <w:p>
            <w:r>
              <w:rPr>
                <w:sz w:val="13"/>
              </w:rPr>
              <w:t>Semantic tests</w:t>
            </w:r>
          </w:p>
        </w:tc>
      </w:tr>
      <w:tr>
        <w:tc>
          <w:tcPr>
            <w:tcW w:type="dxa" w:w="2091"/>
            <w:vAlign w:val="center"/>
          </w:tcPr>
          <w:p>
            <w:r>
              <w:rPr>
                <w:sz w:val="13"/>
              </w:rPr>
              <w:t>S16</w:t>
            </w:r>
          </w:p>
        </w:tc>
        <w:tc>
          <w:tcPr>
            <w:tcW w:type="dxa" w:w="2091"/>
            <w:vAlign w:val="center"/>
          </w:tcPr>
          <w:p>
            <w:r>
              <w:rPr>
                <w:sz w:val="13"/>
              </w:rPr>
              <w:t>Knowledge tools</w:t>
            </w:r>
          </w:p>
        </w:tc>
        <w:tc>
          <w:tcPr>
            <w:tcW w:type="dxa" w:w="2091"/>
            <w:vAlign w:val="center"/>
          </w:tcPr>
          <w:p>
            <w:r>
              <w:rPr>
                <w:sz w:val="13"/>
              </w:rPr>
              <w:t>search/fault/case/procedure</w:t>
            </w:r>
          </w:p>
        </w:tc>
        <w:tc>
          <w:tcPr>
            <w:tcW w:type="dxa" w:w="2091"/>
            <w:vAlign w:val="center"/>
          </w:tcPr>
          <w:p>
            <w:r>
              <w:rPr>
                <w:sz w:val="13"/>
              </w:rPr>
              <w:t>Knowledge service</w:t>
            </w:r>
          </w:p>
        </w:tc>
        <w:tc>
          <w:tcPr>
            <w:tcW w:type="dxa" w:w="2091"/>
            <w:vAlign w:val="center"/>
          </w:tcPr>
          <w:p>
            <w:r>
              <w:rPr>
                <w:sz w:val="13"/>
              </w:rPr>
              <w:t>Citation tests</w:t>
            </w:r>
          </w:p>
        </w:tc>
      </w:tr>
    </w:tbl>
    <w:p/>
    <w:p>
      <w:pPr>
        <w:pStyle w:val="Heading2"/>
      </w:pPr>
      <w:r>
        <w:t>Phase 4 — Context Assembly</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S17</w:t>
            </w:r>
          </w:p>
        </w:tc>
        <w:tc>
          <w:tcPr>
            <w:tcW w:type="dxa" w:w="2091"/>
            <w:vAlign w:val="center"/>
          </w:tcPr>
          <w:p>
            <w:r>
              <w:rPr>
                <w:sz w:val="13"/>
              </w:rPr>
              <w:t>Context planner</w:t>
            </w:r>
          </w:p>
        </w:tc>
        <w:tc>
          <w:tcPr>
            <w:tcW w:type="dxa" w:w="2091"/>
            <w:vAlign w:val="center"/>
          </w:tcPr>
          <w:p>
            <w:r>
              <w:rPr>
                <w:sz w:val="13"/>
              </w:rPr>
              <w:t>objective→required context map</w:t>
            </w:r>
          </w:p>
        </w:tc>
        <w:tc>
          <w:tcPr>
            <w:tcW w:type="dxa" w:w="2091"/>
            <w:vAlign w:val="center"/>
          </w:tcPr>
          <w:p>
            <w:r>
              <w:rPr>
                <w:sz w:val="13"/>
              </w:rPr>
              <w:t>Objective registry</w:t>
            </w:r>
          </w:p>
        </w:tc>
        <w:tc>
          <w:tcPr>
            <w:tcW w:type="dxa" w:w="2091"/>
            <w:vAlign w:val="center"/>
          </w:tcPr>
          <w:p>
            <w:r>
              <w:rPr>
                <w:sz w:val="13"/>
              </w:rPr>
              <w:t>Plans correct</w:t>
            </w:r>
          </w:p>
        </w:tc>
      </w:tr>
      <w:tr>
        <w:tc>
          <w:tcPr>
            <w:tcW w:type="dxa" w:w="2091"/>
            <w:vAlign w:val="center"/>
          </w:tcPr>
          <w:p>
            <w:r>
              <w:rPr>
                <w:sz w:val="13"/>
              </w:rPr>
              <w:t>S18</w:t>
            </w:r>
          </w:p>
        </w:tc>
        <w:tc>
          <w:tcPr>
            <w:tcW w:type="dxa" w:w="2091"/>
            <w:vAlign w:val="center"/>
          </w:tcPr>
          <w:p>
            <w:r>
              <w:rPr>
                <w:sz w:val="13"/>
              </w:rPr>
              <w:t>Evidence normalizer</w:t>
            </w:r>
          </w:p>
        </w:tc>
        <w:tc>
          <w:tcPr>
            <w:tcW w:type="dxa" w:w="2091"/>
            <w:vAlign w:val="center"/>
          </w:tcPr>
          <w:p>
            <w:r>
              <w:rPr>
                <w:sz w:val="13"/>
              </w:rPr>
              <w:t>canonical object schemas</w:t>
            </w:r>
          </w:p>
        </w:tc>
        <w:tc>
          <w:tcPr>
            <w:tcW w:type="dxa" w:w="2091"/>
            <w:vAlign w:val="center"/>
          </w:tcPr>
          <w:p>
            <w:r>
              <w:rPr>
                <w:sz w:val="13"/>
              </w:rPr>
              <w:t>Tools</w:t>
            </w:r>
          </w:p>
        </w:tc>
        <w:tc>
          <w:tcPr>
            <w:tcW w:type="dxa" w:w="2091"/>
            <w:vAlign w:val="center"/>
          </w:tcPr>
          <w:p>
            <w:r>
              <w:rPr>
                <w:sz w:val="13"/>
              </w:rPr>
              <w:t>Normalized pack</w:t>
            </w:r>
          </w:p>
        </w:tc>
      </w:tr>
      <w:tr>
        <w:tc>
          <w:tcPr>
            <w:tcW w:type="dxa" w:w="2091"/>
            <w:vAlign w:val="center"/>
          </w:tcPr>
          <w:p>
            <w:r>
              <w:rPr>
                <w:sz w:val="13"/>
              </w:rPr>
              <w:t>S19</w:t>
            </w:r>
          </w:p>
        </w:tc>
        <w:tc>
          <w:tcPr>
            <w:tcW w:type="dxa" w:w="2091"/>
            <w:vAlign w:val="center"/>
          </w:tcPr>
          <w:p>
            <w:r>
              <w:rPr>
                <w:sz w:val="13"/>
              </w:rPr>
              <w:t>DQ gate</w:t>
            </w:r>
          </w:p>
        </w:tc>
        <w:tc>
          <w:tcPr>
            <w:tcW w:type="dxa" w:w="2091"/>
            <w:vAlign w:val="center"/>
          </w:tcPr>
          <w:p>
            <w:r>
              <w:rPr>
                <w:sz w:val="13"/>
              </w:rPr>
              <w:t>freshness/coverage/quality/conflict</w:t>
            </w:r>
          </w:p>
        </w:tc>
        <w:tc>
          <w:tcPr>
            <w:tcW w:type="dxa" w:w="2091"/>
            <w:vAlign w:val="center"/>
          </w:tcPr>
          <w:p>
            <w:r>
              <w:rPr>
                <w:sz w:val="13"/>
              </w:rPr>
              <w:t>Telemetry service</w:t>
            </w:r>
          </w:p>
        </w:tc>
        <w:tc>
          <w:tcPr>
            <w:tcW w:type="dxa" w:w="2091"/>
            <w:vAlign w:val="center"/>
          </w:tcPr>
          <w:p>
            <w:r>
              <w:rPr>
                <w:sz w:val="13"/>
              </w:rPr>
              <w:t>Bad evidence handled</w:t>
            </w:r>
          </w:p>
        </w:tc>
      </w:tr>
      <w:tr>
        <w:tc>
          <w:tcPr>
            <w:tcW w:type="dxa" w:w="2091"/>
            <w:vAlign w:val="center"/>
          </w:tcPr>
          <w:p>
            <w:r>
              <w:rPr>
                <w:sz w:val="13"/>
              </w:rPr>
              <w:t>S20</w:t>
            </w:r>
          </w:p>
        </w:tc>
        <w:tc>
          <w:tcPr>
            <w:tcW w:type="dxa" w:w="2091"/>
            <w:vAlign w:val="center"/>
          </w:tcPr>
          <w:p>
            <w:r>
              <w:rPr>
                <w:sz w:val="13"/>
              </w:rPr>
              <w:t>Authority/conflict</w:t>
            </w:r>
          </w:p>
        </w:tc>
        <w:tc>
          <w:tcPr>
            <w:tcW w:type="dxa" w:w="2091"/>
            <w:vAlign w:val="center"/>
          </w:tcPr>
          <w:p>
            <w:r>
              <w:rPr>
                <w:sz w:val="13"/>
              </w:rPr>
              <w:t>source precedence</w:t>
            </w:r>
          </w:p>
        </w:tc>
        <w:tc>
          <w:tcPr>
            <w:tcW w:type="dxa" w:w="2091"/>
            <w:vAlign w:val="center"/>
          </w:tcPr>
          <w:p>
            <w:r>
              <w:rPr>
                <w:sz w:val="13"/>
              </w:rPr>
              <w:t>Policy</w:t>
            </w:r>
          </w:p>
        </w:tc>
        <w:tc>
          <w:tcPr>
            <w:tcW w:type="dxa" w:w="2091"/>
            <w:vAlign w:val="center"/>
          </w:tcPr>
          <w:p>
            <w:r>
              <w:rPr>
                <w:sz w:val="13"/>
              </w:rPr>
              <w:t>Conflict benchmark</w:t>
            </w:r>
          </w:p>
        </w:tc>
      </w:tr>
      <w:tr>
        <w:tc>
          <w:tcPr>
            <w:tcW w:type="dxa" w:w="2091"/>
            <w:vAlign w:val="center"/>
          </w:tcPr>
          <w:p>
            <w:r>
              <w:rPr>
                <w:sz w:val="13"/>
              </w:rPr>
              <w:t>S21</w:t>
            </w:r>
          </w:p>
        </w:tc>
        <w:tc>
          <w:tcPr>
            <w:tcW w:type="dxa" w:w="2091"/>
            <w:vAlign w:val="center"/>
          </w:tcPr>
          <w:p>
            <w:r>
              <w:rPr>
                <w:sz w:val="13"/>
              </w:rPr>
              <w:t>Context builder</w:t>
            </w:r>
          </w:p>
        </w:tc>
        <w:tc>
          <w:tcPr>
            <w:tcW w:type="dxa" w:w="2091"/>
            <w:vAlign w:val="center"/>
          </w:tcPr>
          <w:p>
            <w:r>
              <w:rPr>
                <w:sz w:val="13"/>
              </w:rPr>
              <w:t>selection/dedup/token budget</w:t>
            </w:r>
          </w:p>
        </w:tc>
        <w:tc>
          <w:tcPr>
            <w:tcW w:type="dxa" w:w="2091"/>
            <w:vAlign w:val="center"/>
          </w:tcPr>
          <w:p>
            <w:r>
              <w:rPr>
                <w:sz w:val="13"/>
              </w:rPr>
              <w:t>Evidence pack</w:t>
            </w:r>
          </w:p>
        </w:tc>
        <w:tc>
          <w:tcPr>
            <w:tcW w:type="dxa" w:w="2091"/>
            <w:vAlign w:val="center"/>
          </w:tcPr>
          <w:p>
            <w:r>
              <w:rPr>
                <w:sz w:val="13"/>
              </w:rPr>
              <w:t>Objective contexts</w:t>
            </w:r>
          </w:p>
        </w:tc>
      </w:tr>
    </w:tbl>
    <w:p/>
    <w:p>
      <w:pPr>
        <w:pStyle w:val="Heading2"/>
      </w:pPr>
      <w:r>
        <w:t>Phase 5 — LangGraph Integration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S22</w:t>
            </w:r>
          </w:p>
        </w:tc>
        <w:tc>
          <w:tcPr>
            <w:tcW w:type="dxa" w:w="2091"/>
            <w:vAlign w:val="center"/>
          </w:tcPr>
          <w:p>
            <w:r>
              <w:rPr>
                <w:sz w:val="13"/>
              </w:rPr>
              <w:t>Supervisor graph</w:t>
            </w:r>
          </w:p>
        </w:tc>
        <w:tc>
          <w:tcPr>
            <w:tcW w:type="dxa" w:w="2091"/>
            <w:vAlign w:val="center"/>
          </w:tcPr>
          <w:p>
            <w:r>
              <w:rPr>
                <w:sz w:val="13"/>
              </w:rPr>
              <w:t>intent/asset/time/context</w:t>
            </w:r>
          </w:p>
        </w:tc>
        <w:tc>
          <w:tcPr>
            <w:tcW w:type="dxa" w:w="2091"/>
            <w:vAlign w:val="center"/>
          </w:tcPr>
          <w:p>
            <w:r>
              <w:rPr>
                <w:sz w:val="13"/>
              </w:rPr>
              <w:t>Context builder</w:t>
            </w:r>
          </w:p>
        </w:tc>
        <w:tc>
          <w:tcPr>
            <w:tcW w:type="dxa" w:w="2091"/>
            <w:vAlign w:val="center"/>
          </w:tcPr>
          <w:p>
            <w:r>
              <w:rPr>
                <w:sz w:val="13"/>
              </w:rPr>
              <w:t>Supervisor works</w:t>
            </w:r>
          </w:p>
        </w:tc>
      </w:tr>
      <w:tr>
        <w:tc>
          <w:tcPr>
            <w:tcW w:type="dxa" w:w="2091"/>
            <w:vAlign w:val="center"/>
          </w:tcPr>
          <w:p>
            <w:r>
              <w:rPr>
                <w:sz w:val="13"/>
              </w:rPr>
              <w:t>S23</w:t>
            </w:r>
          </w:p>
        </w:tc>
        <w:tc>
          <w:tcPr>
            <w:tcW w:type="dxa" w:w="2091"/>
            <w:vAlign w:val="center"/>
          </w:tcPr>
          <w:p>
            <w:r>
              <w:rPr>
                <w:sz w:val="13"/>
              </w:rPr>
              <w:t>Specialist subgraphs</w:t>
            </w:r>
          </w:p>
        </w:tc>
        <w:tc>
          <w:tcPr>
            <w:tcW w:type="dxa" w:w="2091"/>
            <w:vAlign w:val="center"/>
          </w:tcPr>
          <w:p>
            <w:r>
              <w:rPr>
                <w:sz w:val="13"/>
              </w:rPr>
              <w:t>Knowledge/Reliability/Well Performance/etc.</w:t>
            </w:r>
          </w:p>
        </w:tc>
        <w:tc>
          <w:tcPr>
            <w:tcW w:type="dxa" w:w="2091"/>
            <w:vAlign w:val="center"/>
          </w:tcPr>
          <w:p>
            <w:r>
              <w:rPr>
                <w:sz w:val="13"/>
              </w:rPr>
              <w:t>Tools</w:t>
            </w:r>
          </w:p>
        </w:tc>
        <w:tc>
          <w:tcPr>
            <w:tcW w:type="dxa" w:w="2091"/>
            <w:vAlign w:val="center"/>
          </w:tcPr>
          <w:p>
            <w:r>
              <w:rPr>
                <w:sz w:val="13"/>
              </w:rPr>
              <w:t>Subgraphs work</w:t>
            </w:r>
          </w:p>
        </w:tc>
      </w:tr>
      <w:tr>
        <w:tc>
          <w:tcPr>
            <w:tcW w:type="dxa" w:w="2091"/>
            <w:vAlign w:val="center"/>
          </w:tcPr>
          <w:p>
            <w:r>
              <w:rPr>
                <w:sz w:val="13"/>
              </w:rPr>
              <w:t>S24</w:t>
            </w:r>
          </w:p>
        </w:tc>
        <w:tc>
          <w:tcPr>
            <w:tcW w:type="dxa" w:w="2091"/>
            <w:vAlign w:val="center"/>
          </w:tcPr>
          <w:p>
            <w:r>
              <w:rPr>
                <w:sz w:val="13"/>
              </w:rPr>
              <w:t>Evidence fusion</w:t>
            </w:r>
          </w:p>
        </w:tc>
        <w:tc>
          <w:tcPr>
            <w:tcW w:type="dxa" w:w="2091"/>
            <w:vAlign w:val="center"/>
          </w:tcPr>
          <w:p>
            <w:r>
              <w:rPr>
                <w:sz w:val="13"/>
              </w:rPr>
              <w:t>combine tool/specialist evidence</w:t>
            </w:r>
          </w:p>
        </w:tc>
        <w:tc>
          <w:tcPr>
            <w:tcW w:type="dxa" w:w="2091"/>
            <w:vAlign w:val="center"/>
          </w:tcPr>
          <w:p>
            <w:r>
              <w:rPr>
                <w:sz w:val="13"/>
              </w:rPr>
              <w:t>Evidence Pack</w:t>
            </w:r>
          </w:p>
        </w:tc>
        <w:tc>
          <w:tcPr>
            <w:tcW w:type="dxa" w:w="2091"/>
            <w:vAlign w:val="center"/>
          </w:tcPr>
          <w:p>
            <w:r>
              <w:rPr>
                <w:sz w:val="13"/>
              </w:rPr>
              <w:t>Fused advisory</w:t>
            </w:r>
          </w:p>
        </w:tc>
      </w:tr>
    </w:tbl>
    <w:p/>
    <w:p>
      <w:pPr>
        <w:pStyle w:val="Heading2"/>
      </w:pPr>
      <w:r>
        <w:t>Phase 6 — UI/Proactive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S25</w:t>
            </w:r>
          </w:p>
        </w:tc>
        <w:tc>
          <w:tcPr>
            <w:tcW w:type="dxa" w:w="2091"/>
            <w:vAlign w:val="center"/>
          </w:tcPr>
          <w:p>
            <w:r>
              <w:rPr>
                <w:sz w:val="13"/>
              </w:rPr>
              <w:t>Dashboard context</w:t>
            </w:r>
          </w:p>
        </w:tc>
        <w:tc>
          <w:tcPr>
            <w:tcW w:type="dxa" w:w="2091"/>
            <w:vAlign w:val="center"/>
          </w:tcPr>
          <w:p>
            <w:r>
              <w:rPr>
                <w:sz w:val="13"/>
              </w:rPr>
              <w:t>asset/widget/metric/time</w:t>
            </w:r>
          </w:p>
        </w:tc>
        <w:tc>
          <w:tcPr>
            <w:tcW w:type="dxa" w:w="2091"/>
            <w:vAlign w:val="center"/>
          </w:tcPr>
          <w:p>
            <w:r>
              <w:rPr>
                <w:sz w:val="13"/>
              </w:rPr>
              <w:t>Frontend</w:t>
            </w:r>
          </w:p>
        </w:tc>
        <w:tc>
          <w:tcPr>
            <w:tcW w:type="dxa" w:w="2091"/>
            <w:vAlign w:val="center"/>
          </w:tcPr>
          <w:p>
            <w:r>
              <w:rPr>
                <w:sz w:val="13"/>
              </w:rPr>
              <w:t>Graph-aware context</w:t>
            </w:r>
          </w:p>
        </w:tc>
      </w:tr>
      <w:tr>
        <w:tc>
          <w:tcPr>
            <w:tcW w:type="dxa" w:w="2091"/>
            <w:vAlign w:val="center"/>
          </w:tcPr>
          <w:p>
            <w:r>
              <w:rPr>
                <w:sz w:val="13"/>
              </w:rPr>
              <w:t>S26</w:t>
            </w:r>
          </w:p>
        </w:tc>
        <w:tc>
          <w:tcPr>
            <w:tcW w:type="dxa" w:w="2091"/>
            <w:vAlign w:val="center"/>
          </w:tcPr>
          <w:p>
            <w:r>
              <w:rPr>
                <w:sz w:val="13"/>
              </w:rPr>
              <w:t>Proactive scheduler</w:t>
            </w:r>
          </w:p>
        </w:tc>
        <w:tc>
          <w:tcPr>
            <w:tcW w:type="dxa" w:w="2091"/>
            <w:vAlign w:val="center"/>
          </w:tcPr>
          <w:p>
            <w:r>
              <w:rPr>
                <w:sz w:val="13"/>
              </w:rPr>
              <w:t>fleet scans</w:t>
            </w:r>
          </w:p>
        </w:tc>
        <w:tc>
          <w:tcPr>
            <w:tcW w:type="dxa" w:w="2091"/>
            <w:vAlign w:val="center"/>
          </w:tcPr>
          <w:p>
            <w:r>
              <w:rPr>
                <w:sz w:val="13"/>
              </w:rPr>
              <w:t>Events/models</w:t>
            </w:r>
          </w:p>
        </w:tc>
        <w:tc>
          <w:tcPr>
            <w:tcW w:type="dxa" w:w="2091"/>
            <w:vAlign w:val="center"/>
          </w:tcPr>
          <w:p>
            <w:r>
              <w:rPr>
                <w:sz w:val="13"/>
              </w:rPr>
              <w:t>Material events</w:t>
            </w:r>
          </w:p>
        </w:tc>
      </w:tr>
      <w:tr>
        <w:tc>
          <w:tcPr>
            <w:tcW w:type="dxa" w:w="2091"/>
            <w:vAlign w:val="center"/>
          </w:tcPr>
          <w:p>
            <w:r>
              <w:rPr>
                <w:sz w:val="13"/>
              </w:rPr>
              <w:t>S27</w:t>
            </w:r>
          </w:p>
        </w:tc>
        <w:tc>
          <w:tcPr>
            <w:tcW w:type="dxa" w:w="2091"/>
            <w:vAlign w:val="center"/>
          </w:tcPr>
          <w:p>
            <w:r>
              <w:rPr>
                <w:sz w:val="13"/>
              </w:rPr>
              <w:t>Outcome capture</w:t>
            </w:r>
          </w:p>
        </w:tc>
        <w:tc>
          <w:tcPr>
            <w:tcW w:type="dxa" w:w="2091"/>
            <w:vAlign w:val="center"/>
          </w:tcPr>
          <w:p>
            <w:r>
              <w:rPr>
                <w:sz w:val="13"/>
              </w:rPr>
              <w:t>operator action/verification</w:t>
            </w:r>
          </w:p>
        </w:tc>
        <w:tc>
          <w:tcPr>
            <w:tcW w:type="dxa" w:w="2091"/>
            <w:vAlign w:val="center"/>
          </w:tcPr>
          <w:p>
            <w:r>
              <w:rPr>
                <w:sz w:val="13"/>
              </w:rPr>
              <w:t>Audit</w:t>
            </w:r>
          </w:p>
        </w:tc>
        <w:tc>
          <w:tcPr>
            <w:tcW w:type="dxa" w:w="2091"/>
            <w:vAlign w:val="center"/>
          </w:tcPr>
          <w:p>
            <w:r>
              <w:rPr>
                <w:sz w:val="13"/>
              </w:rPr>
              <w:t>Cases created</w:t>
            </w:r>
          </w:p>
        </w:tc>
      </w:tr>
    </w:tbl>
    <w:p/>
    <w:p>
      <w:pPr>
        <w:pStyle w:val="Heading2"/>
      </w:pPr>
      <w:r>
        <w:t>Phase 7 — Production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Pr>
          <w:p>
            <w:r>
              <w:rPr>
                <w:b/>
                <w:sz w:val="13"/>
              </w:rPr>
              <w:t>Sprint</w:t>
            </w:r>
          </w:p>
        </w:tc>
        <w:tc>
          <w:tcPr>
            <w:tcW w:type="dxa" w:w="2091"/>
            <w:shd w:fill="D9EAF7"/>
          </w:tcPr>
          <w:p>
            <w:r>
              <w:rPr>
                <w:b/>
                <w:sz w:val="13"/>
              </w:rPr>
              <w:t>Task</w:t>
            </w:r>
          </w:p>
        </w:tc>
        <w:tc>
          <w:tcPr>
            <w:tcW w:type="dxa" w:w="2091"/>
            <w:shd w:fill="D9EAF7"/>
          </w:tcPr>
          <w:p>
            <w:r>
              <w:rPr>
                <w:b/>
                <w:sz w:val="13"/>
              </w:rPr>
              <w:t>Subtasks</w:t>
            </w:r>
          </w:p>
        </w:tc>
        <w:tc>
          <w:tcPr>
            <w:tcW w:type="dxa" w:w="2091"/>
            <w:shd w:fill="D9EAF7"/>
          </w:tcPr>
          <w:p>
            <w:r>
              <w:rPr>
                <w:b/>
                <w:sz w:val="13"/>
              </w:rPr>
              <w:t>Prereq</w:t>
            </w:r>
          </w:p>
        </w:tc>
        <w:tc>
          <w:tcPr>
            <w:tcW w:type="dxa" w:w="2091"/>
            <w:shd w:fill="D9EAF7"/>
          </w:tcPr>
          <w:p>
            <w:r>
              <w:rPr>
                <w:b/>
                <w:sz w:val="13"/>
              </w:rPr>
              <w:t>Exit</w:t>
            </w:r>
          </w:p>
        </w:tc>
      </w:tr>
      <w:tr>
        <w:tc>
          <w:tcPr>
            <w:tcW w:type="dxa" w:w="2091"/>
            <w:vAlign w:val="center"/>
          </w:tcPr>
          <w:p>
            <w:r>
              <w:rPr>
                <w:sz w:val="13"/>
              </w:rPr>
              <w:t>S28</w:t>
            </w:r>
          </w:p>
        </w:tc>
        <w:tc>
          <w:tcPr>
            <w:tcW w:type="dxa" w:w="2091"/>
            <w:vAlign w:val="center"/>
          </w:tcPr>
          <w:p>
            <w:r>
              <w:rPr>
                <w:sz w:val="13"/>
              </w:rPr>
              <w:t>Evaluation</w:t>
            </w:r>
          </w:p>
        </w:tc>
        <w:tc>
          <w:tcPr>
            <w:tcW w:type="dxa" w:w="2091"/>
            <w:vAlign w:val="center"/>
          </w:tcPr>
          <w:p>
            <w:r>
              <w:rPr>
                <w:sz w:val="13"/>
              </w:rPr>
              <w:t>mock questions + golden scenarios</w:t>
            </w:r>
          </w:p>
        </w:tc>
        <w:tc>
          <w:tcPr>
            <w:tcW w:type="dxa" w:w="2091"/>
            <w:vAlign w:val="center"/>
          </w:tcPr>
          <w:p>
            <w:r>
              <w:rPr>
                <w:sz w:val="13"/>
              </w:rPr>
              <w:t>All services</w:t>
            </w:r>
          </w:p>
        </w:tc>
        <w:tc>
          <w:tcPr>
            <w:tcW w:type="dxa" w:w="2091"/>
            <w:vAlign w:val="center"/>
          </w:tcPr>
          <w:p>
            <w:r>
              <w:rPr>
                <w:sz w:val="13"/>
              </w:rPr>
              <w:t>Benchmark pass</w:t>
            </w:r>
          </w:p>
        </w:tc>
      </w:tr>
      <w:tr>
        <w:tc>
          <w:tcPr>
            <w:tcW w:type="dxa" w:w="2091"/>
            <w:vAlign w:val="center"/>
          </w:tcPr>
          <w:p>
            <w:r>
              <w:rPr>
                <w:sz w:val="13"/>
              </w:rPr>
              <w:t>S29</w:t>
            </w:r>
          </w:p>
        </w:tc>
        <w:tc>
          <w:tcPr>
            <w:tcW w:type="dxa" w:w="2091"/>
            <w:vAlign w:val="center"/>
          </w:tcPr>
          <w:p>
            <w:r>
              <w:rPr>
                <w:sz w:val="13"/>
              </w:rPr>
              <w:t>Security</w:t>
            </w:r>
          </w:p>
        </w:tc>
        <w:tc>
          <w:tcPr>
            <w:tcW w:type="dxa" w:w="2091"/>
            <w:vAlign w:val="center"/>
          </w:tcPr>
          <w:p>
            <w:r>
              <w:rPr>
                <w:sz w:val="13"/>
              </w:rPr>
              <w:t>tenant/RBAC/tool ACL/injection</w:t>
            </w:r>
          </w:p>
        </w:tc>
        <w:tc>
          <w:tcPr>
            <w:tcW w:type="dxa" w:w="2091"/>
            <w:vAlign w:val="center"/>
          </w:tcPr>
          <w:p>
            <w:r>
              <w:rPr>
                <w:sz w:val="13"/>
              </w:rPr>
              <w:t>Governance</w:t>
            </w:r>
          </w:p>
        </w:tc>
        <w:tc>
          <w:tcPr>
            <w:tcW w:type="dxa" w:w="2091"/>
            <w:vAlign w:val="center"/>
          </w:tcPr>
          <w:p>
            <w:r>
              <w:rPr>
                <w:sz w:val="13"/>
              </w:rPr>
              <w:t>Security pass</w:t>
            </w:r>
          </w:p>
        </w:tc>
      </w:tr>
      <w:tr>
        <w:tc>
          <w:tcPr>
            <w:tcW w:type="dxa" w:w="2091"/>
            <w:vAlign w:val="center"/>
          </w:tcPr>
          <w:p>
            <w:r>
              <w:rPr>
                <w:sz w:val="13"/>
              </w:rPr>
              <w:t>S30</w:t>
            </w:r>
          </w:p>
        </w:tc>
        <w:tc>
          <w:tcPr>
            <w:tcW w:type="dxa" w:w="2091"/>
            <w:vAlign w:val="center"/>
          </w:tcPr>
          <w:p>
            <w:r>
              <w:rPr>
                <w:sz w:val="13"/>
              </w:rPr>
              <w:t>Observability</w:t>
            </w:r>
          </w:p>
        </w:tc>
        <w:tc>
          <w:tcPr>
            <w:tcW w:type="dxa" w:w="2091"/>
            <w:vAlign w:val="center"/>
          </w:tcPr>
          <w:p>
            <w:r>
              <w:rPr>
                <w:sz w:val="13"/>
              </w:rPr>
              <w:t>OTel/logs/metrics/context trace</w:t>
            </w:r>
          </w:p>
        </w:tc>
        <w:tc>
          <w:tcPr>
            <w:tcW w:type="dxa" w:w="2091"/>
            <w:vAlign w:val="center"/>
          </w:tcPr>
          <w:p>
            <w:r>
              <w:rPr>
                <w:sz w:val="13"/>
              </w:rPr>
              <w:t>Platform</w:t>
            </w:r>
          </w:p>
        </w:tc>
        <w:tc>
          <w:tcPr>
            <w:tcW w:type="dxa" w:w="2091"/>
            <w:vAlign w:val="center"/>
          </w:tcPr>
          <w:p>
            <w:r>
              <w:rPr>
                <w:sz w:val="13"/>
              </w:rPr>
              <w:t>Operational dashboard</w:t>
            </w:r>
          </w:p>
        </w:tc>
      </w:tr>
      <w:tr>
        <w:tc>
          <w:tcPr>
            <w:tcW w:type="dxa" w:w="2091"/>
            <w:vAlign w:val="center"/>
          </w:tcPr>
          <w:p>
            <w:r>
              <w:rPr>
                <w:sz w:val="13"/>
              </w:rPr>
              <w:t>S31</w:t>
            </w:r>
          </w:p>
        </w:tc>
        <w:tc>
          <w:tcPr>
            <w:tcW w:type="dxa" w:w="2091"/>
            <w:vAlign w:val="center"/>
          </w:tcPr>
          <w:p>
            <w:r>
              <w:rPr>
                <w:sz w:val="13"/>
              </w:rPr>
              <w:t>Release</w:t>
            </w:r>
          </w:p>
        </w:tc>
        <w:tc>
          <w:tcPr>
            <w:tcW w:type="dxa" w:w="2091"/>
            <w:vAlign w:val="center"/>
          </w:tcPr>
          <w:p>
            <w:r>
              <w:rPr>
                <w:sz w:val="13"/>
              </w:rPr>
              <w:t>version/rollback/offline package</w:t>
            </w:r>
          </w:p>
        </w:tc>
        <w:tc>
          <w:tcPr>
            <w:tcW w:type="dxa" w:w="2091"/>
            <w:vAlign w:val="center"/>
          </w:tcPr>
          <w:p>
            <w:r>
              <w:rPr>
                <w:sz w:val="13"/>
              </w:rPr>
              <w:t>MLOps</w:t>
            </w:r>
          </w:p>
        </w:tc>
        <w:tc>
          <w:tcPr>
            <w:tcW w:type="dxa" w:w="2091"/>
            <w:vAlign w:val="center"/>
          </w:tcPr>
          <w:p>
            <w:r>
              <w:rPr>
                <w:sz w:val="13"/>
              </w:rPr>
              <w:t>Release candidate</w:t>
            </w:r>
          </w:p>
        </w:tc>
      </w:tr>
    </w:tbl>
    <w:p/>
    <w:p>
      <w:pPr>
        <w:pStyle w:val="Heading1"/>
      </w:pPr>
      <w:r>
        <w:t>24. Minimum Viable Agent Context</w:t>
      </w:r>
    </w:p>
    <w:p>
      <w:pPr>
        <w:spacing w:after="80"/>
        <w:jc w:val="left"/>
      </w:pPr>
      <w:r>
        <w:rPr>
          <w:b w:val="0"/>
          <w:i w:val="0"/>
        </w:rPr>
        <w:t>For the first working vertical slice, do not build every context family. The minimum credible slice is:</w:t>
      </w:r>
    </w:p>
    <w:p>
      <w:pPr>
        <w:ind w:left="259" w:right="259"/>
      </w:pPr>
      <w:r>
        <w:rPr>
          <w:rFonts w:ascii="Consolas" w:hAnsi="Consolas"/>
          <w:sz w:val="14"/>
        </w:rPr>
        <w:t>ONE ESP</w:t>
        <w:br/>
      </w:r>
      <w:r>
        <w:rPr>
          <w:rFonts w:ascii="Consolas" w:hAnsi="Consolas"/>
          <w:sz w:val="14"/>
        </w:rPr>
        <w:t xml:space="preserve">  ↓</w:t>
        <w:br/>
      </w:r>
      <w:r>
        <w:rPr>
          <w:rFonts w:ascii="Consolas" w:hAnsi="Consolas"/>
          <w:sz w:val="14"/>
        </w:rPr>
        <w:t>Asset Context</w:t>
        <w:br/>
      </w:r>
      <w:r>
        <w:rPr>
          <w:rFonts w:ascii="Consolas" w:hAnsi="Consolas"/>
          <w:sz w:val="14"/>
        </w:rPr>
        <w:t xml:space="preserve">  - installed pump/motor/VSD</w:t>
        <w:br/>
      </w:r>
      <w:r>
        <w:rPr>
          <w:rFonts w:ascii="Consolas" w:hAnsi="Consolas"/>
          <w:sz w:val="14"/>
        </w:rPr>
        <w:t xml:space="preserve">  - pump curve reference</w:t>
        <w:br/>
      </w:r>
      <w:r>
        <w:rPr>
          <w:rFonts w:ascii="Consolas" w:hAnsi="Consolas"/>
          <w:sz w:val="14"/>
        </w:rPr>
        <w:t xml:space="preserve">  - limits</w:t>
        <w:br/>
      </w:r>
      <w:r>
        <w:rPr>
          <w:rFonts w:ascii="Consolas" w:hAnsi="Consolas"/>
          <w:sz w:val="14"/>
        </w:rPr>
        <w:t xml:space="preserve">  ↓</w:t>
        <w:br/>
      </w:r>
      <w:r>
        <w:rPr>
          <w:rFonts w:ascii="Consolas" w:hAnsi="Consolas"/>
          <w:sz w:val="14"/>
        </w:rPr>
        <w:t>Live + 24h Telemetry</w:t>
        <w:br/>
      </w:r>
      <w:r>
        <w:rPr>
          <w:rFonts w:ascii="Consolas" w:hAnsi="Consolas"/>
          <w:sz w:val="14"/>
        </w:rPr>
        <w:t xml:space="preserve">  - flow/PIP/PDP/frequency/current/temp</w:t>
        <w:br/>
      </w:r>
      <w:r>
        <w:rPr>
          <w:rFonts w:ascii="Consolas" w:hAnsi="Consolas"/>
          <w:sz w:val="14"/>
        </w:rPr>
        <w:t xml:space="preserve">  - QoD</w:t>
        <w:br/>
      </w:r>
      <w:r>
        <w:rPr>
          <w:rFonts w:ascii="Consolas" w:hAnsi="Consolas"/>
          <w:sz w:val="14"/>
        </w:rPr>
        <w:t xml:space="preserve">  ↓</w:t>
        <w:br/>
      </w:r>
      <w:r>
        <w:rPr>
          <w:rFonts w:ascii="Consolas" w:hAnsi="Consolas"/>
          <w:sz w:val="14"/>
        </w:rPr>
        <w:t>Engineering</w:t>
        <w:br/>
      </w:r>
      <w:r>
        <w:rPr>
          <w:rFonts w:ascii="Consolas" w:hAnsi="Consolas"/>
          <w:sz w:val="14"/>
        </w:rPr>
        <w:t xml:space="preserve">  - operating point</w:t>
        <w:br/>
      </w:r>
      <w:r>
        <w:rPr>
          <w:rFonts w:ascii="Consolas" w:hAnsi="Consolas"/>
          <w:sz w:val="14"/>
        </w:rPr>
        <w:t xml:space="preserve">  - pump ΔP</w:t>
        <w:br/>
      </w:r>
      <w:r>
        <w:rPr>
          <w:rFonts w:ascii="Consolas" w:hAnsi="Consolas"/>
          <w:sz w:val="14"/>
        </w:rPr>
        <w:t xml:space="preserve">  - BEP/ROR</w:t>
        <w:br/>
      </w:r>
      <w:r>
        <w:rPr>
          <w:rFonts w:ascii="Consolas" w:hAnsi="Consolas"/>
          <w:sz w:val="14"/>
        </w:rPr>
        <w:t xml:space="preserve">  ↓</w:t>
        <w:br/>
      </w:r>
      <w:r>
        <w:rPr>
          <w:rFonts w:ascii="Consolas" w:hAnsi="Consolas"/>
          <w:sz w:val="14"/>
        </w:rPr>
        <w:t>Model</w:t>
        <w:br/>
      </w:r>
      <w:r>
        <w:rPr>
          <w:rFonts w:ascii="Consolas" w:hAnsi="Consolas"/>
          <w:sz w:val="14"/>
        </w:rPr>
        <w:t xml:space="preserve">  - anomaly</w:t>
        <w:br/>
      </w:r>
      <w:r>
        <w:rPr>
          <w:rFonts w:ascii="Consolas" w:hAnsi="Consolas"/>
          <w:sz w:val="14"/>
        </w:rPr>
        <w:t xml:space="preserve">  - failure risk</w:t>
        <w:br/>
      </w:r>
      <w:r>
        <w:rPr>
          <w:rFonts w:ascii="Consolas" w:hAnsi="Consolas"/>
          <w:sz w:val="14"/>
        </w:rPr>
        <w:t xml:space="preserve">  ↓</w:t>
        <w:br/>
      </w:r>
      <w:r>
        <w:rPr>
          <w:rFonts w:ascii="Consolas" w:hAnsi="Consolas"/>
          <w:sz w:val="14"/>
        </w:rPr>
        <w:t>Knowledge</w:t>
        <w:br/>
      </w:r>
      <w:r>
        <w:rPr>
          <w:rFonts w:ascii="Consolas" w:hAnsi="Consolas"/>
          <w:sz w:val="14"/>
        </w:rPr>
        <w:t xml:space="preserve">  - relevant fault object</w:t>
        <w:br/>
      </w:r>
      <w:r>
        <w:rPr>
          <w:rFonts w:ascii="Consolas" w:hAnsi="Consolas"/>
          <w:sz w:val="14"/>
        </w:rPr>
        <w:t xml:space="preserve">  - OEM source</w:t>
        <w:br/>
      </w:r>
      <w:r>
        <w:rPr>
          <w:rFonts w:ascii="Consolas" w:hAnsi="Consolas"/>
          <w:sz w:val="14"/>
        </w:rPr>
        <w:t xml:space="preserve">  ↓</w:t>
        <w:br/>
      </w:r>
      <w:r>
        <w:rPr>
          <w:rFonts w:ascii="Consolas" w:hAnsi="Consolas"/>
          <w:sz w:val="14"/>
        </w:rPr>
        <w:t>Evidence Pack</w:t>
        <w:br/>
      </w:r>
      <w:r>
        <w:rPr>
          <w:rFonts w:ascii="Consolas" w:hAnsi="Consolas"/>
          <w:sz w:val="14"/>
        </w:rPr>
        <w:t xml:space="preserve">  ↓</w:t>
        <w:br/>
      </w:r>
      <w:r>
        <w:rPr>
          <w:rFonts w:ascii="Consolas" w:hAnsi="Consolas"/>
          <w:sz w:val="14"/>
        </w:rPr>
        <w:t>Supervisor / Reliability + Knowledge subgraphs</w:t>
        <w:br/>
      </w:r>
      <w:r>
        <w:rPr>
          <w:rFonts w:ascii="Consolas" w:hAnsi="Consolas"/>
          <w:sz w:val="14"/>
        </w:rPr>
        <w:t xml:space="preserve">  ↓</w:t>
        <w:br/>
      </w:r>
      <w:r>
        <w:rPr>
          <w:rFonts w:ascii="Consolas" w:hAnsi="Consolas"/>
          <w:sz w:val="14"/>
        </w:rPr>
        <w:t>Advisory</w:t>
        <w:br/>
      </w:r>
    </w:p>
    <w:p/>
    <w:p>
      <w:pPr>
        <w:pStyle w:val="Heading1"/>
      </w:pPr>
      <w:r>
        <w:t>25. Final Architecture Rule</w:t>
      </w:r>
    </w:p>
    <w:p>
      <w:pPr>
        <w:spacing w:after="80"/>
        <w:jc w:val="left"/>
      </w:pPr>
      <w:r>
        <w:rPr>
          <w:b w:val="0"/>
          <w:i w:val="0"/>
        </w:rPr>
        <w:t>The Agent does not 'see the whole ESP' through one giant context object or one giant KB. It obtains a **bounded, objective-specific Agent Context** assembled by tools and services from multiple authoritative sources.</w:t>
      </w:r>
    </w:p>
    <w:p>
      <w:pPr>
        <w:spacing w:after="80"/>
        <w:jc w:val="left"/>
      </w:pPr>
      <w:r>
        <w:rPr>
          <w:b w:val="0"/>
          <w:i w:val="0"/>
        </w:rPr>
        <w:t>The Agent Context should therefore be treated as a first-class subsystem with its own contracts, tools, data-quality rules, authority policy, evidence schema, observability and tests.</w:t>
      </w:r>
    </w:p>
    <w:p>
      <w:pPr>
        <w:pStyle w:val="Heading1"/>
      </w:pPr>
      <w:r>
        <w:t>26. Source Basis</w:t>
      </w:r>
    </w:p>
    <w:p>
      <w:pPr>
        <w:spacing w:after="80"/>
        <w:jc w:val="left"/>
      </w:pPr>
      <w:r>
        <w:rPr>
          <w:b w:val="0"/>
          <w:i w:val="0"/>
        </w:rPr>
        <w:t>Primary basis: ADVAIT ESP APM AI Agent Development Guideline Rev 1.1. The guideline explicitly separates Asset Context, Data Services, Engineering Services, Knowledge Services, ML Services and Digital Twin; requires the Agent to resolve asset/time, apply data-quality gates, retrieve minimum evidence, use deterministic engineering tools, use ML/specialists as appropriate, fuse evidence and capture outcomes. fileciteturn11file0L57-L69 fileciteturn10file0L22-L49</w:t>
      </w:r>
    </w:p>
    <w:p>
      <w:pPr>
        <w:spacing w:after="80"/>
        <w:jc w:val="left"/>
      </w:pPr>
      <w:r>
        <w:rPr>
          <w:b w:val="0"/>
          <w:i w:val="0"/>
        </w:rPr>
        <w:t>Appendix B defines small, deterministic and testable tool/service contracts such as asset.get_context, historian.get_window, events.get_timeline, engineering.operating_point, knowledge.search, ml.anomaly, ml.failure_risk, case.search_similar and audit.record_advisory. fileciteturn10file2L195-L213</w:t>
      </w:r>
    </w:p>
    <w:p>
      <w:pPr>
        <w:spacing w:after="80"/>
        <w:jc w:val="left"/>
      </w:pPr>
      <w:r>
        <w:rPr>
          <w:b w:val="0"/>
          <w:i w:val="0"/>
        </w:rPr>
        <w:t>This document adds implementation-level recommendations for tool names, service boundaries, context schemas and sequencing. Those recommendations are not claims that every technology is mandated by the source.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ESP APM Agent Context — Architecture, Toolset, Services &amp; Context Assembly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