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B365D"/>
          <w:sz w:val="52"/>
        </w:rPr>
        <w:t>Shipper — Debugging &amp; Fixes Log</w:t>
      </w:r>
    </w:p>
    <w:p>
      <w:pPr>
        <w:spacing w:after="360"/>
      </w:pPr>
      <w:r>
        <w:rPr>
          <w:i/>
          <w:color w:val="4A779D"/>
          <w:sz w:val="26"/>
        </w:rPr>
        <w:t>A comprehensive chronological troubleshooting ledger and architectural health index.</w:t>
      </w:r>
    </w:p>
    <w:tbl>
      <w:tblPr>
        <w:tblW w:type="auto" w:w="0"/>
        <w:jc w:val="center"/>
        <w:tblLook w:firstColumn="1" w:firstRow="1" w:lastColumn="0" w:lastRow="0" w:noHBand="0" w:noVBand="1" w:val="04A0"/>
      </w:tblPr>
      <w:tblGrid>
        <w:gridCol w:w="4680"/>
        <w:gridCol w:w="4680"/>
      </w:tblGrid>
      <w:tr>
        <w:tc>
          <w:tcPr>
            <w:tcW w:type="dxa" w:w="4680"/>
            <w:shd w:val="clear" w:color="auto" w:fill="F4F6F8"/>
            <w:tcMar>
              <w:top w:w="80" w:type="dxa"/>
              <w:bottom w:w="80" w:type="dxa"/>
              <w:left w:w="120" w:type="dxa"/>
              <w:right w:w="120" w:type="dxa"/>
            </w:tcMar>
          </w:tcPr>
          <w:p>
            <w:r>
              <w:rPr>
                <w:b/>
                <w:color w:val="1B365D"/>
                <w:sz w:val="20"/>
              </w:rPr>
              <w:t>Project Architecture</w:t>
            </w:r>
          </w:p>
        </w:tc>
        <w:tc>
          <w:tcPr>
            <w:tcW w:type="dxa" w:w="4680"/>
            <w:tcMar>
              <w:top w:w="80" w:type="dxa"/>
              <w:bottom w:w="80" w:type="dxa"/>
              <w:left w:w="120" w:type="dxa"/>
              <w:right w:w="120" w:type="dxa"/>
            </w:tcMar>
          </w:tcPr>
          <w:p>
            <w:r>
              <w:rPr>
                <w:sz w:val="20"/>
              </w:rPr>
              <w:t>FastAPI Backend + React Router 7 Frontend + SQLite Database</w:t>
            </w:r>
          </w:p>
        </w:tc>
      </w:tr>
      <w:tr>
        <w:tc>
          <w:tcPr>
            <w:tcW w:type="dxa" w:w="4680"/>
            <w:shd w:val="clear" w:color="auto" w:fill="F4F6F8"/>
            <w:tcMar>
              <w:top w:w="80" w:type="dxa"/>
              <w:bottom w:w="80" w:type="dxa"/>
              <w:left w:w="120" w:type="dxa"/>
              <w:right w:w="120" w:type="dxa"/>
            </w:tcMar>
          </w:tcPr>
          <w:p>
            <w:r>
              <w:rPr>
                <w:b/>
                <w:color w:val="1B365D"/>
                <w:sz w:val="20"/>
              </w:rPr>
              <w:t>Primary Database File</w:t>
            </w:r>
          </w:p>
        </w:tc>
        <w:tc>
          <w:tcPr>
            <w:tcW w:type="dxa" w:w="4680"/>
            <w:tcMar>
              <w:top w:w="80" w:type="dxa"/>
              <w:bottom w:w="80" w:type="dxa"/>
              <w:left w:w="120" w:type="dxa"/>
              <w:right w:w="120" w:type="dxa"/>
            </w:tcMar>
          </w:tcPr>
          <w:p>
            <w:r>
              <w:rPr>
                <w:sz w:val="20"/>
              </w:rPr>
              <w:t>backend/shipper_Test.db</w:t>
            </w:r>
          </w:p>
        </w:tc>
      </w:tr>
      <w:tr>
        <w:tc>
          <w:tcPr>
            <w:tcW w:type="dxa" w:w="4680"/>
            <w:shd w:val="clear" w:color="auto" w:fill="F4F6F8"/>
            <w:tcMar>
              <w:top w:w="80" w:type="dxa"/>
              <w:bottom w:w="80" w:type="dxa"/>
              <w:left w:w="120" w:type="dxa"/>
              <w:right w:w="120" w:type="dxa"/>
            </w:tcMar>
          </w:tcPr>
          <w:p>
            <w:r>
              <w:rPr>
                <w:b/>
                <w:color w:val="1B365D"/>
                <w:sz w:val="20"/>
              </w:rPr>
              <w:t>Default API Base URL</w:t>
            </w:r>
          </w:p>
        </w:tc>
        <w:tc>
          <w:tcPr>
            <w:tcW w:type="dxa" w:w="4680"/>
            <w:tcMar>
              <w:top w:w="80" w:type="dxa"/>
              <w:bottom w:w="80" w:type="dxa"/>
              <w:left w:w="120" w:type="dxa"/>
              <w:right w:w="120" w:type="dxa"/>
            </w:tcMar>
          </w:tcPr>
          <w:p>
            <w:r>
              <w:rPr>
                <w:sz w:val="20"/>
              </w:rPr>
              <w:t>http://127.0.0.1:8001 (Port updated from default 8000)</w:t>
            </w:r>
          </w:p>
        </w:tc>
      </w:tr>
    </w:tbl>
    <w:p>
      <w:pPr>
        <w:spacing w:after="240"/>
      </w:pPr>
    </w:p>
    <w:p>
      <w:pPr>
        <w:keepNext/>
        <w:spacing w:before="360" w:after="120"/>
      </w:pPr>
      <w:r>
        <w:rPr>
          <w:b/>
          <w:color w:val="1B365D"/>
          <w:sz w:val="32"/>
        </w:rPr>
        <w:t>1. Initial State of the Project</w:t>
      </w:r>
    </w:p>
    <w:p>
      <w:pPr>
        <w:spacing w:after="80" w:line="276" w:lineRule="auto"/>
      </w:pPr>
      <w:r>
        <w:rPr>
          <w:i w:val="0"/>
        </w:rPr>
        <w:t>Prior to engineering interventions, a comprehensive code audit was conducted across the ecosystem to isolate baseline operational capacity and core structural vulnerabilities.</w:t>
      </w:r>
    </w:p>
    <w:p>
      <w:pPr>
        <w:keepNext/>
        <w:spacing w:before="240" w:after="80"/>
      </w:pPr>
      <w:r>
        <w:rPr>
          <w:b/>
          <w:color w:val="4A779D"/>
          <w:sz w:val="26"/>
        </w:rPr>
        <w:t>Baseline Status Matrix</w:t>
      </w:r>
    </w:p>
    <w:tbl>
      <w:tblPr>
        <w:tblW w:type="auto" w:w="0"/>
        <w:jc w:val="center"/>
        <w:tblLook w:firstColumn="1" w:firstRow="1" w:lastColumn="0" w:lastRow="0" w:noHBand="0" w:noVBand="1" w:val="04A0"/>
      </w:tblPr>
      <w:tblGrid>
        <w:gridCol w:w="4680"/>
        <w:gridCol w:w="4680"/>
      </w:tblGrid>
      <w:tr>
        <w:tc>
          <w:tcPr>
            <w:tcW w:type="dxa" w:w="4680"/>
            <w:shd w:val="clear" w:color="auto" w:fill="1B365D"/>
            <w:tcMar>
              <w:top w:w="100" w:type="dxa"/>
              <w:bottom w:w="100" w:type="dxa"/>
              <w:left w:w="120" w:type="dxa"/>
              <w:right w:w="120" w:type="dxa"/>
            </w:tcMar>
          </w:tcPr>
          <w:p>
            <w:r>
              <w:rPr>
                <w:b/>
                <w:color w:val="FFFFFF"/>
                <w:sz w:val="21"/>
              </w:rPr>
              <w:t>Functional Area</w:t>
            </w:r>
          </w:p>
        </w:tc>
        <w:tc>
          <w:tcPr>
            <w:tcW w:type="dxa" w:w="4680"/>
            <w:shd w:val="clear" w:color="auto" w:fill="1B365D"/>
            <w:tcMar>
              <w:top w:w="100" w:type="dxa"/>
              <w:bottom w:w="100" w:type="dxa"/>
              <w:left w:w="120" w:type="dxa"/>
              <w:right w:w="120" w:type="dxa"/>
            </w:tcMar>
          </w:tcPr>
          <w:p>
            <w:r>
              <w:rPr>
                <w:b/>
                <w:color w:val="FFFFFF"/>
                <w:sz w:val="21"/>
              </w:rPr>
              <w:t>Audited Base State &amp; Status Architecture</w:t>
            </w:r>
          </w:p>
        </w:tc>
      </w:tr>
      <w:tr>
        <w:tc>
          <w:tcPr>
            <w:tcW w:type="dxa" w:w="4680"/>
            <w:tcMar>
              <w:top w:w="80" w:type="dxa"/>
              <w:bottom w:w="80" w:type="dxa"/>
              <w:left w:w="120" w:type="dxa"/>
              <w:right w:w="120" w:type="dxa"/>
            </w:tcMar>
          </w:tcPr>
          <w:p>
            <w:r>
              <w:rPr>
                <w:b/>
                <w:sz w:val="20"/>
              </w:rPr>
              <w:t>Backend Core</w:t>
            </w:r>
          </w:p>
        </w:tc>
        <w:tc>
          <w:tcPr>
            <w:tcW w:type="dxa" w:w="4680"/>
            <w:tcMar>
              <w:top w:w="80" w:type="dxa"/>
              <w:bottom w:w="80" w:type="dxa"/>
              <w:left w:w="120" w:type="dxa"/>
              <w:right w:w="120" w:type="dxa"/>
            </w:tcMar>
          </w:tcPr>
          <w:p>
            <w:r>
              <w:rPr>
                <w:sz w:val="20"/>
              </w:rPr>
              <w:t>FastAPI web application embedded with robust logic for Sellers, Delivery Partners, and custom Shipment tracking pipelines. Authentication handled via JWT tokens, with historical asset tracking supported through a standalone ShipmentEvent model.</w:t>
            </w:r>
          </w:p>
        </w:tc>
      </w:tr>
      <w:tr>
        <w:tc>
          <w:tcPr>
            <w:tcW w:type="dxa" w:w="4680"/>
            <w:shd w:val="clear" w:color="auto" w:fill="F4F6F8"/>
            <w:tcMar>
              <w:top w:w="80" w:type="dxa"/>
              <w:bottom w:w="80" w:type="dxa"/>
              <w:left w:w="120" w:type="dxa"/>
              <w:right w:w="120" w:type="dxa"/>
            </w:tcMar>
          </w:tcPr>
          <w:p>
            <w:r>
              <w:rPr>
                <w:b/>
                <w:sz w:val="20"/>
              </w:rPr>
              <w:t>Caching &amp; State</w:t>
            </w:r>
          </w:p>
        </w:tc>
        <w:tc>
          <w:tcPr>
            <w:tcW w:type="dxa" w:w="4680"/>
            <w:shd w:val="clear" w:color="auto" w:fill="F4F6F8"/>
            <w:tcMar>
              <w:top w:w="80" w:type="dxa"/>
              <w:bottom w:w="80" w:type="dxa"/>
              <w:left w:w="120" w:type="dxa"/>
              <w:right w:w="120" w:type="dxa"/>
            </w:tcMar>
          </w:tcPr>
          <w:p>
            <w:r>
              <w:rPr>
                <w:sz w:val="20"/>
              </w:rPr>
              <w:t>Redis layer was exclusively utilized for maintaining an in-memory blacklisted JSON token architecture mapping specific 'jti' identifiers during user logout states.</w:t>
            </w:r>
          </w:p>
        </w:tc>
      </w:tr>
      <w:tr>
        <w:tc>
          <w:tcPr>
            <w:tcW w:type="dxa" w:w="4680"/>
            <w:tcMar>
              <w:top w:w="80" w:type="dxa"/>
              <w:bottom w:w="80" w:type="dxa"/>
              <w:left w:w="120" w:type="dxa"/>
              <w:right w:w="120" w:type="dxa"/>
            </w:tcMar>
          </w:tcPr>
          <w:p>
            <w:r>
              <w:rPr>
                <w:b/>
                <w:sz w:val="20"/>
              </w:rPr>
              <w:t>Database Layer</w:t>
            </w:r>
          </w:p>
        </w:tc>
        <w:tc>
          <w:tcPr>
            <w:tcW w:type="dxa" w:w="4680"/>
            <w:tcMar>
              <w:top w:w="80" w:type="dxa"/>
              <w:bottom w:w="80" w:type="dxa"/>
              <w:left w:w="120" w:type="dxa"/>
              <w:right w:w="120" w:type="dxa"/>
            </w:tcMar>
          </w:tcPr>
          <w:p>
            <w:r>
              <w:rPr>
                <w:sz w:val="20"/>
              </w:rPr>
              <w:t>Relational persistence was routed through an unmanaged SQLite instance ('shipper_Test.db'). Environmental configurations included unmigrated scaffolding for Postgres/Redis pipelines.</w:t>
            </w:r>
          </w:p>
        </w:tc>
      </w:tr>
      <w:tr>
        <w:tc>
          <w:tcPr>
            <w:tcW w:type="dxa" w:w="4680"/>
            <w:shd w:val="clear" w:color="auto" w:fill="F4F6F8"/>
            <w:tcMar>
              <w:top w:w="80" w:type="dxa"/>
              <w:bottom w:w="80" w:type="dxa"/>
              <w:left w:w="120" w:type="dxa"/>
              <w:right w:w="120" w:type="dxa"/>
            </w:tcMar>
          </w:tcPr>
          <w:p>
            <w:r>
              <w:rPr>
                <w:b/>
                <w:sz w:val="20"/>
              </w:rPr>
              <w:t>Modern Frontend</w:t>
            </w:r>
          </w:p>
        </w:tc>
        <w:tc>
          <w:tcPr>
            <w:tcW w:type="dxa" w:w="4680"/>
            <w:shd w:val="clear" w:color="auto" w:fill="F4F6F8"/>
            <w:tcMar>
              <w:top w:w="80" w:type="dxa"/>
              <w:bottom w:w="80" w:type="dxa"/>
              <w:left w:w="120" w:type="dxa"/>
              <w:right w:w="120" w:type="dxa"/>
            </w:tcMar>
          </w:tcPr>
          <w:p>
            <w:r>
              <w:rPr>
                <w:sz w:val="20"/>
              </w:rPr>
              <w:t>Constructed using React Router 7 + shadcn UI design libraries. Core authentication dashboards (Login and Signup UI components) existed strictly as static layout files entirely unlinked from live API routes.</w:t>
            </w:r>
          </w:p>
        </w:tc>
      </w:tr>
      <w:tr>
        <w:tc>
          <w:tcPr>
            <w:tcW w:type="dxa" w:w="4680"/>
            <w:tcMar>
              <w:top w:w="80" w:type="dxa"/>
              <w:bottom w:w="80" w:type="dxa"/>
              <w:left w:w="120" w:type="dxa"/>
              <w:right w:w="120" w:type="dxa"/>
            </w:tcMar>
          </w:tcPr>
          <w:p>
            <w:r>
              <w:rPr>
                <w:b/>
                <w:sz w:val="20"/>
              </w:rPr>
              <w:t>Legacy Frontend</w:t>
            </w:r>
          </w:p>
        </w:tc>
        <w:tc>
          <w:tcPr>
            <w:tcW w:type="dxa" w:w="4680"/>
            <w:tcMar>
              <w:top w:w="80" w:type="dxa"/>
              <w:bottom w:w="80" w:type="dxa"/>
              <w:left w:w="120" w:type="dxa"/>
              <w:right w:w="120" w:type="dxa"/>
            </w:tcMar>
          </w:tcPr>
          <w:p>
            <w:r>
              <w:rPr>
                <w:sz w:val="20"/>
              </w:rPr>
              <w:t>Old Vite prototype container ('frontend_normal_react/') remained in source tree, displaying broken Axios HTTP calls and archaic route hooks.</w:t>
            </w:r>
          </w:p>
        </w:tc>
      </w:tr>
    </w:tbl>
    <w:p>
      <w:pPr>
        <w:spacing w:after="120"/>
      </w:pPr>
    </w:p>
    <w:p>
      <w:pPr>
        <w:keepNext/>
        <w:spacing w:before="240" w:after="80"/>
      </w:pPr>
      <w:r>
        <w:rPr>
          <w:b/>
          <w:color w:val="4A779D"/>
          <w:sz w:val="26"/>
        </w:rPr>
        <w:t>Critical Gaps Identified at Audit</w:t>
      </w:r>
    </w:p>
    <w:p>
      <w:pPr>
        <w:pStyle w:val="ListBullet"/>
        <w:spacing w:after="60" w:line="276" w:lineRule="auto"/>
        <w:ind w:left="360"/>
      </w:pPr>
      <w:r>
        <w:rPr>
          <w:b/>
        </w:rPr>
        <w:t xml:space="preserve">Missing Cross-Origin Resource Sharing (CORS): </w:t>
      </w:r>
      <w:r>
        <w:t>The main.py initialization script lacked valid CORS validation rules. Active middleware definitions were mistakenly siloed inside an isolated, unlinked middlewares.py module.</w:t>
      </w:r>
    </w:p>
    <w:p>
      <w:pPr>
        <w:pStyle w:val="ListBullet"/>
        <w:spacing w:after="60" w:line="276" w:lineRule="auto"/>
        <w:ind w:left="360"/>
      </w:pPr>
      <w:r>
        <w:rPr>
          <w:b/>
        </w:rPr>
        <w:t xml:space="preserve">Broken Transient DB Fields: </w:t>
      </w:r>
      <w:r>
        <w:t>ShipmentService.add() erroneously injected raw status strings directly into the instantiation parameters of the Shipment model, despite the status column having been removed from the database schema in favor of custom event calculations.</w:t>
      </w:r>
    </w:p>
    <w:p>
      <w:pPr>
        <w:pStyle w:val="ListBullet"/>
        <w:spacing w:after="60" w:line="276" w:lineRule="auto"/>
        <w:ind w:left="360"/>
      </w:pPr>
      <w:r>
        <w:rPr>
          <w:b/>
        </w:rPr>
        <w:t xml:space="preserve">Uncommitted Database Deletions: </w:t>
      </w:r>
      <w:r>
        <w:t>The generic base repository pattern BaseService._delete() executed standard session queries but failed to trigger a database .commit(), resulting in soft failures during records removal.</w:t>
      </w:r>
    </w:p>
    <w:p>
      <w:pPr>
        <w:pStyle w:val="ListBullet"/>
        <w:spacing w:after="60" w:line="276" w:lineRule="auto"/>
        <w:ind w:left="360"/>
      </w:pPr>
      <w:r>
        <w:rPr>
          <w:b/>
        </w:rPr>
        <w:t xml:space="preserve">Unsafe JWT Error Handling: </w:t>
      </w:r>
      <w:r>
        <w:t>The central decode_access_token() utility caught parsing exceptions and returned a dictionary schema containing error codes instead of throwing clean None variants, leading to false-positive authentication validation loops downstream.</w:t>
      </w:r>
    </w:p>
    <w:p>
      <w:pPr>
        <w:pStyle w:val="ListBullet"/>
        <w:spacing w:after="60" w:line="276" w:lineRule="auto"/>
        <w:ind w:left="360"/>
      </w:pPr>
      <w:r>
        <w:rPr>
          <w:b/>
        </w:rPr>
        <w:t xml:space="preserve">Deficient Database Scaffolding: </w:t>
      </w:r>
      <w:r>
        <w:t>The automated create_db_tables() initialization hook exclusively imported the solitary Shipment model, leaving peripheral schema targets entirely absent from systemic generation lists.</w:t>
      </w:r>
    </w:p>
    <w:p>
      <w:pPr>
        <w:keepNext/>
        <w:spacing w:before="360" w:after="120"/>
      </w:pPr>
      <w:r>
        <w:rPr>
          <w:b/>
          <w:color w:val="1B365D"/>
          <w:sz w:val="32"/>
        </w:rPr>
        <w:t>2. Redis → SQLite JWT Blacklist Migration</w:t>
      </w:r>
    </w:p>
    <w:p>
      <w:pPr>
        <w:spacing w:after="80" w:line="276" w:lineRule="auto"/>
      </w:pPr>
      <w:r>
        <w:rPr>
          <w:i w:val="0"/>
        </w:rPr>
        <w:t>Architectural constraints necessitated the complete removal of the standalone Redis dependency. The tracking engine was re-engineered to process JWT token invalidation states directly through native SQLite infrastructure while preserving legacy logic as non-active, inline-commented source blocks.</w:t>
      </w:r>
    </w:p>
    <w:p>
      <w:pPr>
        <w:keepNext/>
        <w:spacing w:before="240" w:after="80"/>
      </w:pPr>
      <w:r>
        <w:rPr>
          <w:b/>
          <w:color w:val="4A779D"/>
          <w:sz w:val="26"/>
        </w:rPr>
        <w:t>Implementation Flowchart &amp; Sequence</w:t>
      </w:r>
    </w:p>
    <w:p>
      <w:pPr>
        <w:pStyle w:val="ListBullet"/>
        <w:spacing w:after="60" w:line="276" w:lineRule="auto"/>
        <w:ind w:left="360"/>
      </w:pPr>
      <w:r>
        <w:rPr>
          <w:b/>
        </w:rPr>
        <w:t xml:space="preserve">Step 1 (Schema Provisioning): </w:t>
      </w:r>
      <w:r>
        <w:t>Introduced the SQLModel entity TokenBlacklist inside backend/app/database/models.py, utilizing explicit primary-keyed 'jti' parameters paired with an 'expires_at' datetime column.</w:t>
      </w:r>
    </w:p>
    <w:p>
      <w:pPr>
        <w:pStyle w:val="ListBullet"/>
        <w:spacing w:after="60" w:line="276" w:lineRule="auto"/>
        <w:ind w:left="360"/>
      </w:pPr>
      <w:r>
        <w:rPr>
          <w:b/>
        </w:rPr>
        <w:t xml:space="preserve">Step 2 (Adapter Transformation): </w:t>
      </w:r>
      <w:r>
        <w:t>Stripped active connections from backend/app/database/redis.py, encasing the original redis.asyncio context routines completely inside structured python comment frames.</w:t>
      </w:r>
    </w:p>
    <w:p>
      <w:pPr>
        <w:pStyle w:val="ListBullet"/>
        <w:spacing w:after="60" w:line="276" w:lineRule="auto"/>
        <w:ind w:left="360"/>
      </w:pPr>
      <w:r>
        <w:rPr>
          <w:b/>
        </w:rPr>
        <w:t xml:space="preserve">Step 3 (Asynchronous Database Routines): </w:t>
      </w:r>
      <w:r>
        <w:t>Engineered high-performance alternative mechanisms: add_jti_to_blacklist(jti, expires_at) and is_jti_blacklisted(jti). These utilize short-lived async session lifecycles directly evaluating against SQLite.</w:t>
      </w:r>
    </w:p>
    <w:p>
      <w:pPr>
        <w:pStyle w:val="ListBullet"/>
        <w:spacing w:after="60" w:line="276" w:lineRule="auto"/>
        <w:ind w:left="360"/>
      </w:pPr>
      <w:r>
        <w:rPr>
          <w:b/>
        </w:rPr>
        <w:t xml:space="preserve">Step 4 (Deterministic Expiration Parsing): </w:t>
      </w:r>
      <w:r>
        <w:t>Modified user logout handling routes to explicitly map token expiration payloads ('exp') straight into the database 'expires_at' field, ensuring structural support for future cache-clearing sweeps.</w:t>
      </w:r>
    </w:p>
    <w:p>
      <w:pPr>
        <w:pStyle w:val="ListBullet"/>
        <w:spacing w:after="60" w:line="276" w:lineRule="auto"/>
        <w:ind w:left="360"/>
      </w:pPr>
      <w:r>
        <w:rPr>
          <w:b/>
        </w:rPr>
        <w:t xml:space="preserve">Step 5 (Dependency Optimization): </w:t>
      </w:r>
      <w:r>
        <w:t>Excised redis[hiredis] from requirements.txt to compress image build weights, substituting a descriptive commented warning block to clarify architecture boundaries.</w:t>
      </w:r>
    </w:p>
    <w:p>
      <w:pPr>
        <w:keepNext/>
        <w:spacing w:before="360" w:after="120"/>
      </w:pPr>
      <w:r>
        <w:rPr>
          <w:b/>
          <w:color w:val="1B365D"/>
          <w:sz w:val="32"/>
        </w:rPr>
        <w:t>3. Seller Signup Route: HTTP 405 (Method Not Allowed)</w:t>
      </w:r>
    </w:p>
    <w:p>
      <w:pPr>
        <w:spacing w:after="80" w:line="276" w:lineRule="auto"/>
      </w:pPr>
      <w:r>
        <w:rPr>
          <w:i w:val="0"/>
        </w:rPr>
        <w:t>During localized endpoint integration tests, posting registration data generated explicit server errors within browser tracking dashboards.</w:t>
      </w:r>
    </w:p>
    <w:tbl>
      <w:tblPr>
        <w:tblW w:type="auto" w:w="0"/>
        <w:jc w:val="center"/>
        <w:tblLayout w:type="fixed"/>
        <w:tblLook w:firstColumn="1" w:firstRow="1" w:lastColumn="0" w:lastRow="0" w:noHBand="0" w:noVBand="1" w:val="04A0"/>
      </w:tblPr>
      <w:tblGrid>
        <w:gridCol w:w="9360"/>
      </w:tblGrid>
      <w:tr>
        <w:tc>
          <w:tcPr>
            <w:tcW w:type="dxa" w:w="9360"/>
            <w:shd w:val="clear" w:color="auto" w:fill="F4F6F8"/>
            <w:tcMar>
              <w:top w:w="140" w:type="dxa"/>
              <w:bottom w:w="140" w:type="dxa"/>
              <w:left w:w="200" w:type="dxa"/>
              <w:right w:w="200" w:type="dxa"/>
            </w:tcMar>
            <w:tcBorders>
              <w:left w:val="single" w:sz="24" w:space="0" w:color="1B365D"/>
              <w:top w:val="none"/>
              <w:bottom w:val="none"/>
              <w:right w:val="none"/>
            </w:tcBorders>
          </w:tcPr>
          <w:p>
            <w:pPr>
              <w:spacing w:before="0" w:after="80" w:line="276" w:lineRule="auto"/>
            </w:pPr>
            <w:r>
              <w:rPr>
                <w:rFonts w:ascii="Calibri" w:hAnsi="Calibri"/>
                <w:i/>
                <w:color w:val="222222"/>
                <w:sz w:val="21"/>
              </w:rPr>
              <w:t>POST http://localhost:5174/api/seller/signup 405 (Method Not Allowed)</w:t>
            </w:r>
          </w:p>
        </w:tc>
      </w:tr>
    </w:tbl>
    <w:p>
      <w:pPr>
        <w:spacing w:after="120"/>
      </w:pPr>
    </w:p>
    <w:p>
      <w:pPr>
        <w:keepNext/>
        <w:spacing w:before="240" w:after="80"/>
      </w:pPr>
      <w:r>
        <w:rPr>
          <w:b/>
          <w:color w:val="4A779D"/>
          <w:sz w:val="26"/>
        </w:rPr>
        <w:t>Root-Cause Diagnosis</w:t>
      </w:r>
    </w:p>
    <w:p>
      <w:pPr>
        <w:pStyle w:val="ListBullet"/>
        <w:spacing w:after="60" w:line="276" w:lineRule="auto"/>
        <w:ind w:left="360"/>
      </w:pPr>
      <w:r>
        <w:rPr>
          <w:b/>
        </w:rPr>
        <w:t xml:space="preserve">Proxy Short-Circuiting: </w:t>
      </w:r>
      <w:r>
        <w:t>The client framework used an API_BASE configuration pointing to '/api' while trusting Vite's server.proxy parameters to route traffic directly over to port 8000.</w:t>
      </w:r>
    </w:p>
    <w:p>
      <w:pPr>
        <w:pStyle w:val="ListBullet"/>
        <w:spacing w:after="60" w:line="276" w:lineRule="auto"/>
        <w:ind w:left="360"/>
      </w:pPr>
      <w:r>
        <w:rPr>
          <w:b/>
        </w:rPr>
        <w:t xml:space="preserve">SSR Overlap Interception: </w:t>
      </w:r>
      <w:r>
        <w:t>Because the default dev environment spun up on port 5174, the React Router 7 Server-Side Rendering (SSR) pipeline intercepted incoming '/api/...' POST queries inside its framework wrapper prior to checking outbound proxy maps.</w:t>
      </w:r>
    </w:p>
    <w:p>
      <w:pPr>
        <w:pStyle w:val="ListBullet"/>
        <w:spacing w:after="60" w:line="276" w:lineRule="auto"/>
        <w:ind w:left="360"/>
      </w:pPr>
      <w:r>
        <w:rPr>
          <w:b/>
        </w:rPr>
        <w:t xml:space="preserve">Route Mismatch Fault: </w:t>
      </w:r>
      <w:r>
        <w:t>Lacking a defined localized server-side route for /api/seller/signup, the hosting framework dropped the transaction, yielding an inaccurate HTTP 405 status.</w:t>
      </w:r>
    </w:p>
    <w:p>
      <w:pPr>
        <w:keepNext/>
        <w:spacing w:before="240" w:after="80"/>
      </w:pPr>
      <w:r>
        <w:rPr>
          <w:b/>
          <w:color w:val="4A779D"/>
          <w:sz w:val="26"/>
        </w:rPr>
        <w:t>Remediation Strategy</w:t>
      </w:r>
    </w:p>
    <w:p>
      <w:pPr>
        <w:pStyle w:val="ListBullet"/>
        <w:spacing w:after="60" w:line="276" w:lineRule="auto"/>
        <w:ind w:left="360"/>
      </w:pPr>
      <w:r>
        <w:rPr>
          <w:b/>
        </w:rPr>
        <w:t xml:space="preserve">Direct API Exposure: </w:t>
      </w:r>
      <w:r>
        <w:t>Configured the application to bypass intermediate proxy tunnels by binding frontend/app/lib/api.ts directly to the verified backend server instance at http://127.0.0.1:8001.</w:t>
      </w:r>
    </w:p>
    <w:p>
      <w:pPr>
        <w:pStyle w:val="ListBullet"/>
        <w:spacing w:after="60" w:line="276" w:lineRule="auto"/>
        <w:ind w:left="360"/>
      </w:pPr>
      <w:r>
        <w:rPr>
          <w:b/>
        </w:rPr>
        <w:t xml:space="preserve">Environment Isolation: </w:t>
      </w:r>
      <w:r>
        <w:t>Abstracted environmental URLs by provisioning a dedicated VITE_API_URL parameter inside specialized frontend/.env layout sheets.</w:t>
      </w:r>
    </w:p>
    <w:p>
      <w:pPr>
        <w:pStyle w:val="ListBullet"/>
        <w:spacing w:after="60" w:line="276" w:lineRule="auto"/>
        <w:ind w:left="360"/>
      </w:pPr>
      <w:r>
        <w:rPr>
          <w:b/>
        </w:rPr>
        <w:t xml:space="preserve">CORS Rules Modernization: </w:t>
      </w:r>
      <w:r>
        <w:t>Refactored CORS settings in backend/app/main.py to process flexible cross-origin regex strings, explicitly approving incoming requests originating from localhost/127.0.0.1 port distributions.</w:t>
      </w:r>
    </w:p>
    <w:p>
      <w:pPr>
        <w:keepNext/>
        <w:spacing w:before="360" w:after="120"/>
      </w:pPr>
      <w:r>
        <w:rPr>
          <w:b/>
          <w:color w:val="1B365D"/>
          <w:sz w:val="32"/>
        </w:rPr>
        <w:t>4. Browser Noise Isolation: lsihookContent.js</w:t>
      </w:r>
    </w:p>
    <w:p>
      <w:pPr>
        <w:spacing w:after="80" w:line="276" w:lineRule="auto"/>
      </w:pPr>
      <w:r>
        <w:rPr>
          <w:i w:val="0"/>
        </w:rPr>
        <w:t>Diagnostic routines captured repeating runtime exceptions within standard development tracking panels. System logs regularly flagged unexpected script failures:</w:t>
      </w:r>
    </w:p>
    <w:tbl>
      <w:tblPr>
        <w:tblW w:type="auto" w:w="0"/>
        <w:jc w:val="center"/>
        <w:tblLayout w:type="fixed"/>
        <w:tblLook w:firstColumn="1" w:firstRow="1" w:lastColumn="0" w:lastRow="0" w:noHBand="0" w:noVBand="1" w:val="04A0"/>
      </w:tblPr>
      <w:tblGrid>
        <w:gridCol w:w="9360"/>
      </w:tblGrid>
      <w:tr>
        <w:tc>
          <w:tcPr>
            <w:tcW w:type="dxa" w:w="9360"/>
            <w:shd w:val="clear" w:color="auto" w:fill="F4F6F8"/>
            <w:tcMar>
              <w:top w:w="140" w:type="dxa"/>
              <w:bottom w:w="140" w:type="dxa"/>
              <w:left w:w="200" w:type="dxa"/>
              <w:right w:w="200" w:type="dxa"/>
            </w:tcMar>
            <w:tcBorders>
              <w:left w:val="single" w:sz="24" w:space="0" w:color="1B365D"/>
              <w:top w:val="none"/>
              <w:bottom w:val="none"/>
              <w:right w:val="none"/>
            </w:tcBorders>
          </w:tcPr>
          <w:p>
            <w:pPr>
              <w:spacing w:before="0" w:after="80" w:line="276" w:lineRule="auto"/>
            </w:pPr>
            <w:r>
              <w:rPr>
                <w:rFonts w:ascii="Calibri" w:hAnsi="Calibri"/>
                <w:i/>
                <w:color w:val="222222"/>
                <w:sz w:val="21"/>
              </w:rPr>
              <w:t>Uncaught TypeError: Cannot read properties of undefined (reading 'bid') at LsiHandleResponse (lsihookContent.js:1:1272)</w:t>
            </w:r>
          </w:p>
        </w:tc>
      </w:tr>
    </w:tbl>
    <w:p>
      <w:pPr>
        <w:spacing w:after="120"/>
      </w:pPr>
    </w:p>
    <w:p>
      <w:pPr>
        <w:spacing w:after="80" w:line="276" w:lineRule="auto"/>
      </w:pPr>
      <w:r>
        <w:rPr>
          <w:i w:val="0"/>
        </w:rPr>
        <w:t>Analysis proved that the target failure footprint tracked back exclusively to unmanaged third-party browser extensions. The internal source code remained isolated and free of corruption. No modifications to code were required; developers were advised to suppress external extensions in testing windows.</w:t>
      </w:r>
    </w:p>
    <w:p>
      <w:pPr>
        <w:keepNext/>
        <w:spacing w:before="360" w:after="120"/>
      </w:pPr>
      <w:r>
        <w:rPr>
          <w:b/>
          <w:color w:val="1B365D"/>
          <w:sz w:val="32"/>
        </w:rPr>
        <w:t>5. Seller Identity Routes: HTTP 500 Internal Faults</w:t>
      </w:r>
    </w:p>
    <w:p>
      <w:pPr>
        <w:spacing w:after="80" w:line="276" w:lineRule="auto"/>
      </w:pPr>
      <w:r>
        <w:rPr>
          <w:i w:val="0"/>
        </w:rPr>
        <w:t>Posting credential updates or processing registration queries triggered explicit 500-level failures inside backend tracking modules. Stack traces pinpointed direct library execution bottlenecks.</w:t>
      </w:r>
    </w:p>
    <w:tbl>
      <w:tblPr>
        <w:tblW w:type="auto" w:w="0"/>
        <w:jc w:val="center"/>
        <w:tblLayout w:type="fixed"/>
        <w:tblLook w:firstColumn="1" w:firstRow="1" w:lastColumn="0" w:lastRow="0" w:noHBand="0" w:noVBand="1" w:val="04A0"/>
      </w:tblPr>
      <w:tblGrid>
        <w:gridCol w:w="9360"/>
      </w:tblGrid>
      <w:tr>
        <w:tc>
          <w:tcPr>
            <w:tcW w:type="dxa" w:w="9360"/>
            <w:shd w:val="clear" w:color="auto" w:fill="F4F6F8"/>
            <w:tcMar>
              <w:top w:w="140" w:type="dxa"/>
              <w:bottom w:w="140" w:type="dxa"/>
              <w:left w:w="200" w:type="dxa"/>
              <w:right w:w="200" w:type="dxa"/>
            </w:tcMar>
            <w:tcBorders>
              <w:left w:val="single" w:sz="24" w:space="0" w:color="1B365D"/>
              <w:top w:val="none"/>
              <w:bottom w:val="none"/>
              <w:right w:val="none"/>
            </w:tcBorders>
          </w:tcPr>
          <w:p>
            <w:pPr>
              <w:spacing w:before="0" w:after="80" w:line="276" w:lineRule="auto"/>
            </w:pPr>
            <w:r>
              <w:rPr>
                <w:rFonts w:ascii="Calibri" w:hAnsi="Calibri"/>
                <w:i/>
                <w:color w:val="222222"/>
                <w:sz w:val="21"/>
              </w:rPr>
              <w:t>AttributeError: module 'bcrypt' has no attribute '__about__'</w:t>
            </w:r>
          </w:p>
          <w:p>
            <w:pPr>
              <w:spacing w:before="80" w:after="80" w:line="276" w:lineRule="auto"/>
            </w:pPr>
            <w:r>
              <w:rPr>
                <w:rFonts w:ascii="Calibri" w:hAnsi="Calibri"/>
                <w:i/>
                <w:color w:val="222222"/>
                <w:sz w:val="21"/>
              </w:rPr>
              <w:t>ValueError: password cannot be longer than 72 bytes ...</w:t>
            </w:r>
          </w:p>
        </w:tc>
      </w:tr>
    </w:tbl>
    <w:p>
      <w:pPr>
        <w:spacing w:after="120"/>
      </w:pPr>
    </w:p>
    <w:p>
      <w:pPr>
        <w:keepNext/>
        <w:spacing w:before="240" w:after="80"/>
      </w:pPr>
      <w:r>
        <w:rPr>
          <w:b/>
          <w:color w:val="4A779D"/>
          <w:sz w:val="26"/>
        </w:rPr>
        <w:t>Underlying Library Conflict</w:t>
      </w:r>
    </w:p>
    <w:p>
      <w:pPr>
        <w:spacing w:after="80" w:line="276" w:lineRule="auto"/>
      </w:pPr>
      <w:r>
        <w:rPr>
          <w:i w:val="0"/>
        </w:rPr>
        <w:t>The internal user management service leveraged a generic passlib wrapper context configured to call the system 'bcrypt' scheme. Under modern Python 3.12 distributions running on Windows, native passlib dependency scanners fail to parse newer standalone bcrypt packages because structural attributes like '__about__' have been removed from the recent packages. This mismatch forced passlib to crash internally during internal initialization tests, generating misleading password-length exceptions in logs.</w:t>
      </w:r>
    </w:p>
    <w:p>
      <w:pPr>
        <w:keepNext/>
        <w:spacing w:before="240" w:after="80"/>
      </w:pPr>
      <w:r>
        <w:rPr>
          <w:b/>
          <w:color w:val="4A779D"/>
          <w:sz w:val="26"/>
        </w:rPr>
        <w:t>Direct-Bcrypt Architecture Solution</w:t>
      </w:r>
    </w:p>
    <w:p>
      <w:pPr>
        <w:pStyle w:val="ListBullet"/>
        <w:spacing w:after="60" w:line="276" w:lineRule="auto"/>
        <w:ind w:left="360"/>
      </w:pPr>
      <w:r>
        <w:rPr>
          <w:b/>
        </w:rPr>
        <w:t xml:space="preserve">Eliminated Legacy Abstraction Layer: </w:t>
      </w:r>
      <w:r>
        <w:t>Completely removed passlib wrappers from the user validation framework.</w:t>
      </w:r>
    </w:p>
    <w:p>
      <w:pPr>
        <w:pStyle w:val="ListBullet"/>
        <w:spacing w:after="60" w:line="276" w:lineRule="auto"/>
        <w:ind w:left="360"/>
      </w:pPr>
      <w:r>
        <w:rPr>
          <w:b/>
        </w:rPr>
        <w:t xml:space="preserve">Implemented Direct Cryptographic Callbacks: </w:t>
      </w:r>
      <w:r>
        <w:t>Re-coded hash_password() and verify_password() to interface directly with the standalone bcrypt library inside backend/app/services/user.py.</w:t>
      </w:r>
    </w:p>
    <w:p>
      <w:pPr>
        <w:pStyle w:val="ListBullet"/>
        <w:spacing w:after="60" w:line="276" w:lineRule="auto"/>
        <w:ind w:left="360"/>
      </w:pPr>
      <w:r>
        <w:rPr>
          <w:b/>
        </w:rPr>
        <w:t xml:space="preserve">Secure Payload Sanitization: </w:t>
      </w:r>
      <w:r>
        <w:t>Refactored the core _add_user creation script to cleanly trigger a payload.pop('password') command prior to mapping arguments into backend SQLModel models, ensuring raw text sequences never risk trailing exposure.</w:t>
      </w:r>
    </w:p>
    <w:p>
      <w:pPr>
        <w:keepNext/>
        <w:spacing w:before="360" w:after="120"/>
      </w:pPr>
      <w:r>
        <w:rPr>
          <w:b/>
          <w:color w:val="1B365D"/>
          <w:sz w:val="32"/>
        </w:rPr>
        <w:t>6. Auth Engine: Maximum Update Depth Exceeded</w:t>
      </w:r>
    </w:p>
    <w:p>
      <w:pPr>
        <w:spacing w:after="80" w:line="276" w:lineRule="auto"/>
      </w:pPr>
      <w:r>
        <w:rPr>
          <w:i w:val="0"/>
        </w:rPr>
        <w:t>Successful authentication requests (HTTP 200 OK via /seller/token) consistently locked web client rendering cycles, resulting in severe browser engine performance degradation.</w:t>
      </w:r>
    </w:p>
    <w:p>
      <w:pPr>
        <w:keepNext/>
        <w:spacing w:before="240" w:after="80"/>
      </w:pPr>
      <w:r>
        <w:rPr>
          <w:b/>
          <w:color w:val="4A779D"/>
          <w:sz w:val="26"/>
        </w:rPr>
        <w:t>The Redirection Ping-Pong Loop</w:t>
      </w:r>
    </w:p>
    <w:p>
      <w:pPr>
        <w:pStyle w:val="ListBullet"/>
        <w:spacing w:after="60" w:line="276" w:lineRule="auto"/>
        <w:ind w:left="360"/>
      </w:pPr>
      <w:r>
        <w:rPr>
          <w:b/>
        </w:rPr>
        <w:t xml:space="preserve">Initial Render: </w:t>
      </w:r>
      <w:r>
        <w:t>The AuthProvider context initialized with auth fields set to null, immediately executing an asynchronous useEffect query to fetch data from localized client storage.</w:t>
      </w:r>
    </w:p>
    <w:p>
      <w:pPr>
        <w:pStyle w:val="ListBullet"/>
        <w:spacing w:after="60" w:line="276" w:lineRule="auto"/>
        <w:ind w:left="360"/>
      </w:pPr>
      <w:r>
        <w:rPr>
          <w:b/>
        </w:rPr>
        <w:t xml:space="preserve">Premature Evaluation: </w:t>
      </w:r>
      <w:r>
        <w:t>Simultaneously, the framework's ProtectedRoute component evaluated state prior to client hydration completing. Finding isAuthenticated marked as false, it forced an immediate redirection back to the root login route.</w:t>
      </w:r>
    </w:p>
    <w:p>
      <w:pPr>
        <w:pStyle w:val="ListBullet"/>
        <w:spacing w:after="60" w:line="276" w:lineRule="auto"/>
        <w:ind w:left="360"/>
      </w:pPr>
      <w:r>
        <w:rPr>
          <w:b/>
        </w:rPr>
        <w:t xml:space="preserve">Render Conflict: </w:t>
      </w:r>
      <w:r>
        <w:t>Inside the login screen, old code attempted to execute an illegal client-side navigate() operation directly during active component rendering, colliding with parallel redirection steps and throwing React into an infinite state-mutation loop.</w:t>
      </w:r>
    </w:p>
    <w:p>
      <w:pPr>
        <w:keepNext/>
        <w:spacing w:before="240" w:after="80"/>
      </w:pPr>
      <w:r>
        <w:rPr>
          <w:b/>
          <w:color w:val="4A779D"/>
          <w:sz w:val="26"/>
        </w:rPr>
        <w:t>Clean Hydration Refactoring</w:t>
      </w:r>
    </w:p>
    <w:p>
      <w:pPr>
        <w:pStyle w:val="ListBullet"/>
        <w:spacing w:after="60" w:line="276" w:lineRule="auto"/>
        <w:ind w:left="360"/>
      </w:pPr>
      <w:r>
        <w:rPr>
          <w:b/>
        </w:rPr>
        <w:t xml:space="preserve">Introduced Hydration Flags: </w:t>
      </w:r>
      <w:r>
        <w:t>Added an explicit 'ready' boolean property inside the central authentication state manager, remaining strictly false until browser storage hydration terminates safely.</w:t>
      </w:r>
    </w:p>
    <w:p>
      <w:pPr>
        <w:pStyle w:val="ListBullet"/>
        <w:spacing w:after="60" w:line="276" w:lineRule="auto"/>
        <w:ind w:left="360"/>
      </w:pPr>
      <w:r>
        <w:rPr>
          <w:b/>
        </w:rPr>
        <w:t xml:space="preserve">Redirection Gatekeeping: </w:t>
      </w:r>
      <w:r>
        <w:t>Enforced a strict UI loading state inside ProtectedRoute wrappers whenever the system 'ready' flag displays as false, blocking early routing attempts.</w:t>
      </w:r>
    </w:p>
    <w:p>
      <w:pPr>
        <w:pStyle w:val="ListBullet"/>
        <w:spacing w:after="60" w:line="276" w:lineRule="auto"/>
        <w:ind w:left="360"/>
      </w:pPr>
      <w:r>
        <w:rPr>
          <w:b/>
        </w:rPr>
        <w:t xml:space="preserve">Render Isolation: </w:t>
      </w:r>
      <w:r>
        <w:t>Excised all inline navigate() triggers from active component rendering logic, routing successful logins through isolated useEffect blocks or standard, event-driven form submission handlers.</w:t>
      </w:r>
    </w:p>
    <w:p>
      <w:pPr>
        <w:keepNext/>
        <w:spacing w:before="360" w:after="120"/>
      </w:pPr>
      <w:r>
        <w:rPr>
          <w:b/>
          <w:color w:val="1B365D"/>
          <w:sz w:val="32"/>
        </w:rPr>
        <w:t>7. Local Environment: Port 8000 Socket Collisions</w:t>
      </w:r>
    </w:p>
    <w:p>
      <w:pPr>
        <w:spacing w:after="80" w:line="276" w:lineRule="auto"/>
      </w:pPr>
      <w:r>
        <w:rPr>
          <w:i w:val="0"/>
        </w:rPr>
        <w:t>Spinning up local servers regularly triggered structural networking blocks, generating explicit address-allocation issues:</w:t>
      </w:r>
    </w:p>
    <w:tbl>
      <w:tblPr>
        <w:tblW w:type="auto" w:w="0"/>
        <w:jc w:val="center"/>
        <w:tblLayout w:type="fixed"/>
        <w:tblLook w:firstColumn="1" w:firstRow="1" w:lastColumn="0" w:lastRow="0" w:noHBand="0" w:noVBand="1" w:val="04A0"/>
      </w:tblPr>
      <w:tblGrid>
        <w:gridCol w:w="9360"/>
      </w:tblGrid>
      <w:tr>
        <w:tc>
          <w:tcPr>
            <w:tcW w:type="dxa" w:w="9360"/>
            <w:shd w:val="clear" w:color="auto" w:fill="F4F6F8"/>
            <w:tcMar>
              <w:top w:w="140" w:type="dxa"/>
              <w:bottom w:w="140" w:type="dxa"/>
              <w:left w:w="200" w:type="dxa"/>
              <w:right w:w="200" w:type="dxa"/>
            </w:tcMar>
            <w:tcBorders>
              <w:left w:val="single" w:sz="24" w:space="0" w:color="1B365D"/>
              <w:top w:val="none"/>
              <w:bottom w:val="none"/>
              <w:right w:val="none"/>
            </w:tcBorders>
          </w:tcPr>
          <w:p>
            <w:pPr>
              <w:spacing w:before="0" w:after="80" w:line="276" w:lineRule="auto"/>
            </w:pPr>
            <w:r>
              <w:rPr>
                <w:rFonts w:ascii="Calibri" w:hAnsi="Calibri"/>
                <w:i/>
                <w:color w:val="222222"/>
                <w:sz w:val="21"/>
              </w:rPr>
              <w:t>[WinError 10048] Only one usage of each socket address is normally permitted...</w:t>
            </w:r>
          </w:p>
        </w:tc>
      </w:tr>
    </w:tbl>
    <w:p>
      <w:pPr>
        <w:spacing w:after="120"/>
      </w:pPr>
    </w:p>
    <w:p>
      <w:pPr>
        <w:spacing w:after="80" w:line="276" w:lineRule="auto"/>
      </w:pPr>
      <w:r>
        <w:rPr>
          <w:i w:val="0"/>
        </w:rPr>
        <w:t>Audits confirmed that a pre-existing enterprise application frontend was already bound to local port 8000. The environment config was updated to shift default backend routing targets over to port 8001 across the system ecosystem, appending clean documentation guidelines to prevent localized deployment friction.</w:t>
      </w:r>
    </w:p>
    <w:p>
      <w:pPr>
        <w:keepNext/>
        <w:spacing w:before="360" w:after="120"/>
      </w:pPr>
      <w:r>
        <w:rPr>
          <w:b/>
          <w:color w:val="1B365D"/>
          <w:sz w:val="32"/>
        </w:rPr>
        <w:t>8. Shipment Provisioning Pipeline: ORM Attribute Crash</w:t>
      </w:r>
    </w:p>
    <w:p>
      <w:pPr>
        <w:spacing w:after="80" w:line="276" w:lineRule="auto"/>
      </w:pPr>
      <w:r>
        <w:rPr>
          <w:i w:val="0"/>
        </w:rPr>
        <w:t>Attempting to generate alternative shipments within backend services caused explicit internal script exceptions:</w:t>
      </w:r>
    </w:p>
    <w:tbl>
      <w:tblPr>
        <w:tblW w:type="auto" w:w="0"/>
        <w:jc w:val="center"/>
        <w:tblLayout w:type="fixed"/>
        <w:tblLook w:firstColumn="1" w:firstRow="1" w:lastColumn="0" w:lastRow="0" w:noHBand="0" w:noVBand="1" w:val="04A0"/>
      </w:tblPr>
      <w:tblGrid>
        <w:gridCol w:w="9360"/>
      </w:tblGrid>
      <w:tr>
        <w:tc>
          <w:tcPr>
            <w:tcW w:type="dxa" w:w="9360"/>
            <w:shd w:val="clear" w:color="auto" w:fill="F4F6F8"/>
            <w:tcMar>
              <w:top w:w="140" w:type="dxa"/>
              <w:bottom w:w="140" w:type="dxa"/>
              <w:left w:w="200" w:type="dxa"/>
              <w:right w:w="200" w:type="dxa"/>
            </w:tcMar>
            <w:tcBorders>
              <w:left w:val="single" w:sz="24" w:space="0" w:color="1B365D"/>
              <w:top w:val="none"/>
              <w:bottom w:val="none"/>
              <w:right w:val="none"/>
            </w:tcBorders>
          </w:tcPr>
          <w:p>
            <w:pPr>
              <w:spacing w:before="0" w:after="80" w:line="276" w:lineRule="auto"/>
            </w:pPr>
            <w:r>
              <w:rPr>
                <w:rFonts w:ascii="Calibri" w:hAnsi="Calibri"/>
                <w:i/>
                <w:color w:val="222222"/>
                <w:sz w:val="21"/>
              </w:rPr>
              <w:t>AttributeError: 'Shipment' object has no attribute '_sa_instance_state' at partner.shipments.append(shipment)</w:t>
            </w:r>
          </w:p>
        </w:tc>
      </w:tr>
    </w:tbl>
    <w:p>
      <w:pPr>
        <w:spacing w:after="120"/>
      </w:pPr>
    </w:p>
    <w:p>
      <w:pPr>
        <w:keepNext/>
        <w:spacing w:before="240" w:after="80"/>
      </w:pPr>
      <w:r>
        <w:rPr>
          <w:b/>
          <w:color w:val="4A779D"/>
          <w:sz w:val="26"/>
        </w:rPr>
        <w:t>SQLAlchemy Mechanics Breakdown</w:t>
      </w:r>
    </w:p>
    <w:p>
      <w:pPr>
        <w:spacing w:after="80" w:line="276" w:lineRule="auto"/>
      </w:pPr>
      <w:r>
        <w:rPr>
          <w:i w:val="0"/>
        </w:rPr>
        <w:t>The underlying ShipmentService.add() module constructed target item frames using a detached Pydantic helper, Shipment.model_construct(). Immediately after, the system triggered an assign_shipment() routine that attempted to append this non-persisted model directly onto a partner's live relationship track via partner.shipments.append(shipment). Because the target instance was never attached to an active unit of work, it lacked critical internal ORM mapping states, causing relationship managers to crash.</w:t>
      </w:r>
    </w:p>
    <w:p>
      <w:pPr>
        <w:keepNext/>
        <w:spacing w:before="240" w:after="80"/>
      </w:pPr>
      <w:r>
        <w:rPr>
          <w:b/>
          <w:color w:val="4A779D"/>
          <w:sz w:val="26"/>
        </w:rPr>
        <w:t>Decoupled Assignment Fix</w:t>
      </w:r>
    </w:p>
    <w:p>
      <w:pPr>
        <w:pStyle w:val="ListBullet"/>
        <w:spacing w:after="60" w:line="276" w:lineRule="auto"/>
        <w:ind w:left="360"/>
      </w:pPr>
      <w:r>
        <w:rPr>
          <w:b/>
        </w:rPr>
        <w:t xml:space="preserve">Isolated Target Resolution: </w:t>
      </w:r>
      <w:r>
        <w:t>Re-coded assign_shipment(self, destination: int) to focus entirely on selecting valid delivery partners based on regional zip zones and active vehicle capacity metrics.</w:t>
      </w:r>
    </w:p>
    <w:p>
      <w:pPr>
        <w:pStyle w:val="ListBullet"/>
        <w:spacing w:after="60" w:line="276" w:lineRule="auto"/>
        <w:ind w:left="360"/>
      </w:pPr>
      <w:r>
        <w:rPr>
          <w:b/>
        </w:rPr>
        <w:t xml:space="preserve">Explicit Foreign Key Binding: </w:t>
      </w:r>
      <w:r>
        <w:t>Excised all collection-append commands. The engine now creates fully realized Shipment entities with delivery_partner_id explicitly set from the start, ensuring clean ingestion into SQL database sessions via a unified service call.</w:t>
      </w:r>
    </w:p>
    <w:p>
      <w:pPr>
        <w:keepNext/>
        <w:spacing w:before="360" w:after="120"/>
      </w:pPr>
      <w:r>
        <w:rPr>
          <w:b/>
          <w:color w:val="1B365D"/>
          <w:sz w:val="32"/>
        </w:rPr>
        <w:t>9. Delivery Dashboard: Pydantic Validation Diagnostics</w:t>
      </w:r>
    </w:p>
    <w:p>
      <w:pPr>
        <w:spacing w:after="80" w:line="276" w:lineRule="auto"/>
      </w:pPr>
      <w:r>
        <w:rPr>
          <w:i w:val="0"/>
        </w:rPr>
        <w:t>Accessing dashboard routes exposed major data validation errors across serialized structures:</w:t>
      </w:r>
    </w:p>
    <w:tbl>
      <w:tblPr>
        <w:tblW w:type="auto" w:w="0"/>
        <w:jc w:val="center"/>
        <w:tblLayout w:type="fixed"/>
        <w:tblLook w:firstColumn="1" w:firstRow="1" w:lastColumn="0" w:lastRow="0" w:noHBand="0" w:noVBand="1" w:val="04A0"/>
      </w:tblPr>
      <w:tblGrid>
        <w:gridCol w:w="9360"/>
      </w:tblGrid>
      <w:tr>
        <w:tc>
          <w:tcPr>
            <w:tcW w:type="dxa" w:w="9360"/>
            <w:shd w:val="clear" w:color="auto" w:fill="F4F6F8"/>
            <w:tcMar>
              <w:top w:w="140" w:type="dxa"/>
              <w:bottom w:w="140" w:type="dxa"/>
              <w:left w:w="200" w:type="dxa"/>
              <w:right w:w="200" w:type="dxa"/>
            </w:tcMar>
            <w:tcBorders>
              <w:left w:val="single" w:sz="24" w:space="0" w:color="1B365D"/>
              <w:top w:val="none"/>
              <w:bottom w:val="none"/>
              <w:right w:val="none"/>
            </w:tcBorders>
          </w:tcPr>
          <w:p>
            <w:pPr>
              <w:spacing w:before="0" w:after="80" w:line="276" w:lineRule="auto"/>
            </w:pPr>
            <w:r>
              <w:rPr>
                <w:rFonts w:ascii="Calibri" w:hAnsi="Calibri"/>
                <w:i/>
                <w:color w:val="222222"/>
                <w:sz w:val="21"/>
              </w:rPr>
              <w:t>ValidationError: DeliveryPartnerDashboard | assigned_shipments.0.seller | Input should be a valid dictionary or instance of SellerBase</w:t>
            </w:r>
          </w:p>
        </w:tc>
      </w:tr>
    </w:tbl>
    <w:p>
      <w:pPr>
        <w:spacing w:after="120"/>
      </w:pPr>
    </w:p>
    <w:p>
      <w:pPr>
        <w:keepNext/>
        <w:spacing w:before="240" w:after="80"/>
      </w:pPr>
      <w:r>
        <w:rPr>
          <w:b/>
          <w:color w:val="4A779D"/>
          <w:sz w:val="26"/>
        </w:rPr>
        <w:t>Resolution Engineering</w:t>
      </w:r>
    </w:p>
    <w:p>
      <w:pPr>
        <w:spacing w:after="80" w:line="276" w:lineRule="auto"/>
      </w:pPr>
      <w:r>
        <w:rPr>
          <w:i w:val="0"/>
        </w:rPr>
        <w:t>The framework was upgraded to conform strictly with Pydantic v2 expectations. Old nested schema definitions using archaic 'class Config' syntax were replaced with explicit model_config = ConfigDict(from_attributes=True) calls. Additionally, the dashboard initialization routing logic was wrapped inside clear data-validation hooks, converting complex, multidimensional database ORM objects into pure serialized structures via explicit ShipmentRead.from_shipment calls.</w:t>
      </w:r>
    </w:p>
    <w:p>
      <w:pPr>
        <w:keepNext/>
        <w:spacing w:before="360" w:after="120"/>
      </w:pPr>
      <w:r>
        <w:rPr>
          <w:b/>
          <w:color w:val="1B365D"/>
          <w:sz w:val="32"/>
        </w:rPr>
        <w:t>10. Shipment Patch Routines: KeyError Exceptions</w:t>
      </w:r>
    </w:p>
    <w:p>
      <w:pPr>
        <w:spacing w:after="80" w:line="276" w:lineRule="auto"/>
      </w:pPr>
      <w:r>
        <w:rPr>
          <w:i w:val="0"/>
        </w:rPr>
        <w:t>Submitting partial data payloads via internal shipment modification routes triggered system exceptions:</w:t>
      </w:r>
    </w:p>
    <w:tbl>
      <w:tblPr>
        <w:tblW w:type="auto" w:w="0"/>
        <w:jc w:val="center"/>
        <w:tblLayout w:type="fixed"/>
        <w:tblLook w:firstColumn="1" w:firstRow="1" w:lastColumn="0" w:lastRow="0" w:noHBand="0" w:noVBand="1" w:val="04A0"/>
      </w:tblPr>
      <w:tblGrid>
        <w:gridCol w:w="9360"/>
      </w:tblGrid>
      <w:tr>
        <w:tc>
          <w:tcPr>
            <w:tcW w:type="dxa" w:w="9360"/>
            <w:shd w:val="clear" w:color="auto" w:fill="F4F6F8"/>
            <w:tcMar>
              <w:top w:w="140" w:type="dxa"/>
              <w:bottom w:w="140" w:type="dxa"/>
              <w:left w:w="200" w:type="dxa"/>
              <w:right w:w="200" w:type="dxa"/>
            </w:tcMar>
            <w:tcBorders>
              <w:left w:val="single" w:sz="24" w:space="0" w:color="1B365D"/>
              <w:top w:val="none"/>
              <w:bottom w:val="none"/>
              <w:right w:val="none"/>
            </w:tcBorders>
          </w:tcPr>
          <w:p>
            <w:pPr>
              <w:spacing w:before="0" w:after="80" w:line="276" w:lineRule="auto"/>
            </w:pPr>
            <w:r>
              <w:rPr>
                <w:rFonts w:ascii="Calibri" w:hAnsi="Calibri"/>
                <w:i/>
                <w:color w:val="222222"/>
                <w:sz w:val="21"/>
              </w:rPr>
              <w:t>PATCH /shipment/?id=... | KeyError: 'description' at shipment.py line 76</w:t>
            </w:r>
          </w:p>
        </w:tc>
      </w:tr>
    </w:tbl>
    <w:p>
      <w:pPr>
        <w:spacing w:after="120"/>
      </w:pPr>
    </w:p>
    <w:p>
      <w:pPr>
        <w:spacing w:after="80" w:line="276" w:lineRule="auto"/>
      </w:pPr>
      <w:r>
        <w:rPr>
          <w:i w:val="0"/>
        </w:rPr>
        <w:t>The issue arose because routing handlers leveraged model_dump(exclude_none=True) to compress incoming payloads. Consequently, optional fields omitted by the client were dropped entirely from the parsed dictionary, yet subsequent execution lines attempted to fetch those fields using explicit dictionary lookups (e.g., updated_data['description']). The service was refactored to handle safe lookups via native .get() syntax, cleanly substituting safe fallback variables where values were missing.</w:t>
      </w:r>
    </w:p>
    <w:p>
      <w:pPr>
        <w:keepNext/>
        <w:spacing w:before="360" w:after="120"/>
      </w:pPr>
      <w:r>
        <w:rPr>
          <w:b/>
          <w:color w:val="1B365D"/>
          <w:sz w:val="32"/>
        </w:rPr>
        <w:t>11 &amp; 12. Complete Status Persistence &amp; UUID Type Alignment</w:t>
      </w:r>
    </w:p>
    <w:p>
      <w:pPr>
        <w:spacing w:after="80" w:line="276" w:lineRule="auto"/>
      </w:pPr>
      <w:r>
        <w:rPr>
          <w:i w:val="0"/>
        </w:rPr>
        <w:t>System performance indicators highlighted a critical flaw: modification updates submitted by delivery partners regularly reverted to placeholder tracking states upon browser refresh, while seller dashboards failed to register real-time lifecycle updates.</w:t>
      </w:r>
    </w:p>
    <w:p>
      <w:pPr>
        <w:keepNext/>
        <w:spacing w:before="240" w:after="80"/>
      </w:pPr>
      <w:r>
        <w:rPr>
          <w:b/>
          <w:color w:val="4A779D"/>
          <w:sz w:val="26"/>
        </w:rPr>
        <w:t>Deep-Dive Engineering Investigation</w:t>
      </w:r>
    </w:p>
    <w:p>
      <w:pPr>
        <w:spacing w:after="80" w:line="276" w:lineRule="auto"/>
      </w:pPr>
      <w:r>
        <w:rPr>
          <w:i w:val="0"/>
        </w:rPr>
        <w:t>Initial hypotheses targeted unstable temporal tracking records or lazy frontend rendering hooks. However, deeper investigative database diagnostics exposed a far more fundamental database design flaw. Running point-to-point relational queries revealed a stark mismatch between paired table structures: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4A779D"/>
            <w:tcMar>
              <w:top w:w="80" w:type="dxa"/>
              <w:bottom w:w="80" w:type="dxa"/>
              <w:left w:w="100" w:type="dxa"/>
              <w:right w:w="100" w:type="dxa"/>
            </w:tcMar>
          </w:tcPr>
          <w:p>
            <w:r>
              <w:rPr>
                <w:b/>
                <w:color w:val="FFFFFF"/>
                <w:sz w:val="19"/>
              </w:rPr>
              <w:t>Table Target</w:t>
            </w:r>
          </w:p>
        </w:tc>
        <w:tc>
          <w:tcPr>
            <w:tcW w:type="dxa" w:w="3120"/>
            <w:shd w:val="clear" w:color="auto" w:fill="4A779D"/>
            <w:tcMar>
              <w:top w:w="80" w:type="dxa"/>
              <w:bottom w:w="80" w:type="dxa"/>
              <w:left w:w="100" w:type="dxa"/>
              <w:right w:w="100" w:type="dxa"/>
            </w:tcMar>
          </w:tcPr>
          <w:p>
            <w:r>
              <w:rPr>
                <w:b/>
                <w:color w:val="FFFFFF"/>
                <w:sz w:val="19"/>
              </w:rPr>
              <w:t>Field Key</w:t>
            </w:r>
          </w:p>
        </w:tc>
        <w:tc>
          <w:tcPr>
            <w:tcW w:type="dxa" w:w="3120"/>
            <w:shd w:val="clear" w:color="auto" w:fill="4A779D"/>
            <w:tcMar>
              <w:top w:w="80" w:type="dxa"/>
              <w:bottom w:w="80" w:type="dxa"/>
              <w:left w:w="100" w:type="dxa"/>
              <w:right w:w="100" w:type="dxa"/>
            </w:tcMar>
          </w:tcPr>
          <w:p>
            <w:r>
              <w:rPr>
                <w:b/>
                <w:color w:val="FFFFFF"/>
                <w:sz w:val="19"/>
              </w:rPr>
              <w:t>Underlying Structural Storage Format</w:t>
            </w:r>
          </w:p>
        </w:tc>
      </w:tr>
      <w:tr>
        <w:tc>
          <w:tcPr>
            <w:tcW w:type="dxa" w:w="3120"/>
            <w:tcMar>
              <w:top w:w="60" w:type="dxa"/>
              <w:bottom w:w="60" w:type="dxa"/>
              <w:left w:w="100" w:type="dxa"/>
              <w:right w:w="100" w:type="dxa"/>
            </w:tcMar>
          </w:tcPr>
          <w:p>
            <w:r>
              <w:rPr>
                <w:sz w:val="19"/>
              </w:rPr>
              <w:t>shipment</w:t>
            </w:r>
          </w:p>
        </w:tc>
        <w:tc>
          <w:tcPr>
            <w:tcW w:type="dxa" w:w="3120"/>
            <w:tcMar>
              <w:top w:w="60" w:type="dxa"/>
              <w:bottom w:w="60" w:type="dxa"/>
              <w:left w:w="100" w:type="dxa"/>
              <w:right w:w="100" w:type="dxa"/>
            </w:tcMar>
          </w:tcPr>
          <w:p>
            <w:r>
              <w:rPr>
                <w:sz w:val="19"/>
              </w:rPr>
              <w:t>id</w:t>
            </w:r>
          </w:p>
        </w:tc>
        <w:tc>
          <w:tcPr>
            <w:tcW w:type="dxa" w:w="3120"/>
            <w:tcMar>
              <w:top w:w="60" w:type="dxa"/>
              <w:bottom w:w="60" w:type="dxa"/>
              <w:left w:w="100" w:type="dxa"/>
              <w:right w:w="100" w:type="dxa"/>
            </w:tcMar>
          </w:tcPr>
          <w:p>
            <w:r>
              <w:rPr>
                <w:sz w:val="19"/>
              </w:rPr>
              <w:t>Column(GUID(), Primary Key) → Extracted as 36-char string WITH hyphen structures (e.g., 57bf3266-eb9e-40d8-b87c-ac4ec4ff2af9)</w:t>
            </w:r>
          </w:p>
        </w:tc>
      </w:tr>
      <w:tr>
        <w:tc>
          <w:tcPr>
            <w:tcW w:type="dxa" w:w="3120"/>
            <w:shd w:val="clear" w:color="auto" w:fill="F4F6F8"/>
            <w:tcMar>
              <w:top w:w="60" w:type="dxa"/>
              <w:bottom w:w="60" w:type="dxa"/>
              <w:left w:w="100" w:type="dxa"/>
              <w:right w:w="100" w:type="dxa"/>
            </w:tcMar>
          </w:tcPr>
          <w:p>
            <w:r>
              <w:rPr>
                <w:sz w:val="19"/>
              </w:rPr>
              <w:t>shipment_event</w:t>
            </w:r>
          </w:p>
        </w:tc>
        <w:tc>
          <w:tcPr>
            <w:tcW w:type="dxa" w:w="3120"/>
            <w:shd w:val="clear" w:color="auto" w:fill="F4F6F8"/>
            <w:tcMar>
              <w:top w:w="60" w:type="dxa"/>
              <w:bottom w:w="60" w:type="dxa"/>
              <w:left w:w="100" w:type="dxa"/>
              <w:right w:w="100" w:type="dxa"/>
            </w:tcMar>
          </w:tcPr>
          <w:p>
            <w:r>
              <w:rPr>
                <w:sz w:val="19"/>
              </w:rPr>
              <w:t>shipment_id</w:t>
            </w:r>
          </w:p>
        </w:tc>
        <w:tc>
          <w:tcPr>
            <w:tcW w:type="dxa" w:w="3120"/>
            <w:shd w:val="clear" w:color="auto" w:fill="F4F6F8"/>
            <w:tcMar>
              <w:top w:w="60" w:type="dxa"/>
              <w:bottom w:w="60" w:type="dxa"/>
              <w:left w:w="100" w:type="dxa"/>
              <w:right w:w="100" w:type="dxa"/>
            </w:tcMar>
          </w:tcPr>
          <w:p>
            <w:r>
              <w:rPr>
                <w:sz w:val="19"/>
              </w:rPr>
              <w:t>Field(foreign_key='shipment.id') → Persisted as 32-char hex string WITHOUT hyphen elements (e.g., 57bf3266eb9e40d8b87cac4ec4ff2af9)</w:t>
            </w:r>
          </w:p>
        </w:tc>
      </w:tr>
    </w:tbl>
    <w:p>
      <w:pPr>
        <w:spacing w:after="120"/>
      </w:pPr>
    </w:p>
    <w:p>
      <w:pPr>
        <w:spacing w:after="80" w:line="276" w:lineRule="auto"/>
      </w:pPr>
      <w:r>
        <w:rPr>
          <w:i/>
        </w:rPr>
        <w:t>Because of this structural string length mismatch, SQLAlchemy's relationship manager could never resolve the join condition for Shipment.timeline. The collection returned empty arrays at runtime. The apparent tracking status was a calculated property based on the latest history record; when it found an empty array, it defaulted back to fallback placeholders, rendering status changes impossible to save.</w:t>
      </w:r>
    </w:p>
    <w:p>
      <w:pPr>
        <w:keepNext/>
        <w:spacing w:before="240" w:after="80"/>
      </w:pPr>
      <w:r>
        <w:rPr>
          <w:b/>
          <w:color w:val="4A779D"/>
          <w:sz w:val="26"/>
        </w:rPr>
        <w:t>System Architecture Alignment</w:t>
      </w:r>
    </w:p>
    <w:p>
      <w:pPr>
        <w:pStyle w:val="ListBullet"/>
        <w:spacing w:after="60" w:line="276" w:lineRule="auto"/>
        <w:ind w:left="360"/>
      </w:pPr>
      <w:r>
        <w:rPr>
          <w:b/>
        </w:rPr>
        <w:t xml:space="preserve">Foreign Key Column Overhaul: </w:t>
      </w:r>
      <w:r>
        <w:t>Reconfigured ShipmentEvent.shipment_id to leverage an explicit Column(GUID(), ForeignKey('shipment.id')) structural pattern, enforcing identical hyphen matching across all target tables.</w:t>
      </w:r>
    </w:p>
    <w:p>
      <w:pPr>
        <w:pStyle w:val="ListBullet"/>
        <w:spacing w:after="60" w:line="276" w:lineRule="auto"/>
        <w:ind w:left="360"/>
      </w:pPr>
      <w:r>
        <w:rPr>
          <w:b/>
        </w:rPr>
        <w:t xml:space="preserve">Automated Data Repair Routines: </w:t>
      </w:r>
      <w:r>
        <w:t>Embedded high-performance _normalize_uuid_string() and _repair_legacy_uuid_fks() transformation operations directly inside database startup processes, automatically updating old legacy database structures to standard dashed layouts.</w:t>
      </w:r>
    </w:p>
    <w:p>
      <w:pPr>
        <w:pStyle w:val="ListBullet"/>
        <w:spacing w:after="60" w:line="276" w:lineRule="auto"/>
        <w:ind w:left="360"/>
      </w:pPr>
      <w:r>
        <w:rPr>
          <w:b/>
        </w:rPr>
        <w:t xml:space="preserve">Eager Relation Loading: </w:t>
      </w:r>
      <w:r>
        <w:t>Integrated selectinload(Shipment.timeline) and selectinload(Shipment.seller) options natively inside data retrieval queries to prevent broken lazy-loading behaviors.</w:t>
      </w:r>
    </w:p>
    <w:p>
      <w:pPr>
        <w:keepNext/>
        <w:spacing w:before="360" w:after="120"/>
      </w:pPr>
      <w:r>
        <w:rPr>
          <w:b/>
          <w:color w:val="1B365D"/>
          <w:sz w:val="32"/>
        </w:rPr>
        <w:t>13. Reference File Modifications Index</w:t>
      </w:r>
    </w:p>
    <w:p>
      <w:pPr>
        <w:spacing w:after="80" w:line="276" w:lineRule="auto"/>
      </w:pPr>
      <w:r>
        <w:rPr>
          <w:i w:val="0"/>
        </w:rPr>
        <w:t>The following codebase targets were systematically refactored and verified during the comprehensive debugging lifecycle:</w:t>
      </w:r>
    </w:p>
    <w:p>
      <w:pPr>
        <w:pStyle w:val="ListBullet"/>
        <w:spacing w:after="60" w:line="276" w:lineRule="auto"/>
        <w:ind w:left="360"/>
      </w:pPr>
      <w:r>
        <w:rPr>
          <w:b/>
        </w:rPr>
        <w:t xml:space="preserve">backend/app/database/models.py: </w:t>
      </w:r>
      <w:r>
        <w:t>Implemented TokenBlacklist, updated GUID foreign keys, and added ordered relationship attributes.</w:t>
      </w:r>
    </w:p>
    <w:p>
      <w:pPr>
        <w:pStyle w:val="ListBullet"/>
        <w:spacing w:after="60" w:line="276" w:lineRule="auto"/>
        <w:ind w:left="360"/>
      </w:pPr>
      <w:r>
        <w:rPr>
          <w:b/>
        </w:rPr>
        <w:t xml:space="preserve">backend/app/database/session.py: </w:t>
      </w:r>
      <w:r>
        <w:t>Added automated database migration tasks and data repair scripts.</w:t>
      </w:r>
    </w:p>
    <w:p>
      <w:pPr>
        <w:pStyle w:val="ListBullet"/>
        <w:spacing w:after="60" w:line="276" w:lineRule="auto"/>
        <w:ind w:left="360"/>
      </w:pPr>
      <w:r>
        <w:rPr>
          <w:b/>
        </w:rPr>
        <w:t xml:space="preserve">backend/app/services/user.py: </w:t>
      </w:r>
      <w:r>
        <w:t>Migrated core identity verification routines to use standalone bcrypt directly.</w:t>
      </w:r>
    </w:p>
    <w:p>
      <w:pPr>
        <w:pStyle w:val="ListBullet"/>
        <w:spacing w:after="60" w:line="276" w:lineRule="auto"/>
        <w:ind w:left="360"/>
      </w:pPr>
      <w:r>
        <w:rPr>
          <w:b/>
        </w:rPr>
        <w:t xml:space="preserve">backend/app/services/shipment.py: </w:t>
      </w:r>
      <w:r>
        <w:t>Refactored tracking logic to incorporate selectinload optimization constraints.</w:t>
      </w:r>
    </w:p>
    <w:p>
      <w:pPr>
        <w:pStyle w:val="ListBullet"/>
        <w:spacing w:after="60" w:line="276" w:lineRule="auto"/>
        <w:ind w:left="360"/>
      </w:pPr>
      <w:r>
        <w:rPr>
          <w:b/>
        </w:rPr>
        <w:t xml:space="preserve">frontend/app/lib/api.ts: </w:t>
      </w:r>
      <w:r>
        <w:t>Configured direct routing rules targeting backend port 8001, replacing broken Vite proxying.</w:t>
      </w:r>
    </w:p>
    <w:p>
      <w:pPr>
        <w:pStyle w:val="ListBullet"/>
        <w:spacing w:after="60" w:line="276" w:lineRule="auto"/>
        <w:ind w:left="360"/>
      </w:pPr>
      <w:r>
        <w:rPr>
          <w:b/>
        </w:rPr>
        <w:t xml:space="preserve">frontend/app/lib/auth.tsx: </w:t>
      </w:r>
      <w:r>
        <w:t>Equipped the app with client hydration status controls to block rendering loops.</w:t>
      </w:r>
    </w:p>
    <w:p>
      <w:pPr>
        <w:keepNext/>
        <w:spacing w:before="360" w:after="120"/>
      </w:pPr>
      <w:r>
        <w:rPr>
          <w:b/>
          <w:color w:val="1B365D"/>
          <w:sz w:val="32"/>
        </w:rPr>
        <w:t>14. Execution &amp; Operational Verification Guide</w:t>
      </w:r>
    </w:p>
    <w:p>
      <w:pPr>
        <w:spacing w:after="80" w:line="276" w:lineRule="auto"/>
      </w:pPr>
      <w:r>
        <w:rPr>
          <w:i w:val="0"/>
        </w:rPr>
        <w:t>To bring the repaired environment online smoothly, execute the following commands in order within isolated terminal instances:</w:t>
      </w:r>
    </w:p>
    <w:p>
      <w:pPr>
        <w:spacing w:after="40"/>
        <w:ind w:left="720"/>
      </w:pPr>
      <w:r>
        <w:rPr>
          <w:rFonts w:ascii="Courier New" w:hAnsi="Courier New"/>
          <w:color w:val="1B365D"/>
          <w:sz w:val="19"/>
        </w:rPr>
        <w:t># Initialize Backend Infrastructure</w:t>
        <w:br/>
        <w:t>cd backend</w:t>
        <w:br/>
        <w:t>pip install -r requirements.txt</w:t>
        <w:br/>
        <w:t>uvicorn app.main:app --reload --host 127.0.0.1 --port 8001</w:t>
      </w:r>
    </w:p>
    <w:p>
      <w:pPr>
        <w:spacing w:after="240"/>
        <w:ind w:left="720"/>
      </w:pPr>
      <w:r>
        <w:rPr>
          <w:rFonts w:ascii="Courier New" w:hAnsi="Courier New"/>
          <w:color w:val="1B365D"/>
          <w:sz w:val="19"/>
        </w:rPr>
        <w:t># Initialize Frontend Application</w:t>
        <w:br/>
        <w:t>cd frontend</w:t>
        <w:br/>
        <w:t>npm install</w:t>
        <w:br/>
        <w:t>npm run dev</w:t>
      </w:r>
    </w:p>
    <w:p>
      <w:pPr>
        <w:keepNext/>
        <w:spacing w:before="360" w:after="120"/>
      </w:pPr>
      <w:r>
        <w:rPr>
          <w:b/>
          <w:color w:val="1B365D"/>
          <w:sz w:val="32"/>
        </w:rPr>
        <w:t>15. Engineering Lessons Learned</w:t>
      </w:r>
    </w:p>
    <w:p>
      <w:pPr>
        <w:pStyle w:val="ListBullet"/>
        <w:spacing w:after="60" w:line="276" w:lineRule="auto"/>
        <w:ind w:left="360"/>
      </w:pPr>
      <w:r>
        <w:rPr>
          <w:b/>
        </w:rPr>
        <w:t xml:space="preserve">Enforce Single Typing Formats: </w:t>
      </w:r>
      <w:r>
        <w:t>Maintain absolute consistency for UUID parameters across database boundaries. Avoid mixing raw string declarations with custom GUID classes.</w:t>
      </w:r>
    </w:p>
    <w:p>
      <w:pPr>
        <w:pStyle w:val="ListBullet"/>
        <w:spacing w:after="60" w:line="276" w:lineRule="auto"/>
        <w:ind w:left="360"/>
      </w:pPr>
      <w:r>
        <w:rPr>
          <w:b/>
        </w:rPr>
        <w:t xml:space="preserve">Protect React Render Cycles: </w:t>
      </w:r>
      <w:r>
        <w:t>Never place navigate() hooks within active component execution paths; defer routine updates to isolated hooks or discrete interaction events.</w:t>
      </w:r>
    </w:p>
    <w:p>
      <w:pPr>
        <w:pStyle w:val="ListBullet"/>
        <w:spacing w:after="60" w:line="276" w:lineRule="auto"/>
        <w:ind w:left="360"/>
      </w:pPr>
      <w:r>
        <w:rPr>
          <w:b/>
        </w:rPr>
        <w:t xml:space="preserve">Isolate Auth State States: </w:t>
      </w:r>
      <w:r>
        <w:t>Always defer protected route validation checks until localized browser data hydration processes have completely and safely concluded.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