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AquaCarbon DC — Commons Edition (v2)</w:t>
      </w:r>
    </w:p>
    <w:p>
      <w:pPr/>
      <w:r>
        <w:t xml:space="preserve">High-level product overview | AI Builder Cup — Sustainability &amp; Social Impact | Draft v2, extends the original two-page overview</w:t>
      </w:r>
    </w:p>
    <w:p>
      <w:pPr/>
      <w:r>
        <w:rPr>
          <w:b/>
        </w:rPr>
        <w:t xml:space="preserve">One-line vision:</w:t>
      </w:r>
      <w:r>
        <w:t xml:space="preserve"> Every data-center cooling choice moves a burden somewhere: onto the local water system, onto the power grid, or into the atmosphere. AquaCarbon DC makes that shift visible to both sides of the decision, the operator who picks the cooling strategy and the community that lives with the consequences, and is honest about where the data runs out.</w:t>
      </w:r>
    </w:p>
    <w:p>
      <w:pPr>
        <w:pStyle w:val="Heading2"/>
      </w:pPr>
      <w:r>
        <w:t xml:space="preserve">1. The problem, in plain language</w:t>
      </w:r>
    </w:p>
    <w:p>
      <w:pPr/>
      <w:r>
        <w:t xml:space="preserve">Cooling a data center is a trade-off. Saving onsite water usually costs more electricity, and more electricity means higher cost, more carbon and more indirect water use at the power plant. The original overview captured this operator-side trade-off. What it leaves out is who else is affected.</w:t>
      </w:r>
    </w:p>
    <w:p>
      <w:pPr/>
      <w:r>
        <w:t xml:space="preserve">The same aquifer, municipal supply and local grid that a facility draws on also serve nearby households, farms and small businesses. Today these two views are handled by different people with different data. The operator sees PUE, WUE, cost and carbon. The host community, if it is consulted at all, sees a permit file or a checklist. And in the places most at risk, the data describing who depends on the shared water and power is often thin, outdated or missing.</w:t>
      </w:r>
    </w:p>
    <w:p>
      <w:pPr/>
      <w:r>
        <w:t xml:space="preserve">Context from the original overview still applies: the IEA estimated about 415 TWh of data-center electricity use globally in 2024 and projects around 945 TWh by 2030 in its base case, and WRI India reported in May 2026 that more than half of India’s data centers sit in water-stressed regions, with roughly 75% concentrated in Maharashtra, Tamil Nadu, Karnataka, Telangana and Uttar Pradesh. These figures show why the problem matters; they are not inputs for predicting any single facility.</w:t>
      </w:r>
    </w:p>
    <w:p>
      <w:pPr>
        <w:pStyle w:val="Heading2"/>
      </w:pPr>
      <w:r>
        <w:t xml:space="preserve">2. What changes from v1</w:t>
      </w:r>
    </w:p>
    <w:tbl>
      <w:tblPr>
        <w:tblStyle w:val="TableGrid"/>
        <w:tblW w:w="0" w:type="auto"/>
        <w:tblLayout w:type="fixed"/>
        <w:tblLook w:val="04A0" w:firstRow="1" w:lastRow="0" w:firstColumn="0" w:lastColumn="0" w:noHBand="0" w:noVBand="1"/>
      </w:tblPr>
      <w:tblGrid>
        <w:gridCol w:w="2222"/>
        <w:gridCol w:w="2218"/>
        <w:gridCol w:w="4920"/>
      </w:tblGrid>
      <w:tr>
        <w:trPr>
          <w:tblHeader/>
        </w:trPr>
        <w:tc>
          <w:tcPr>
            <w:tcW w:w="2222" w:type="dxa"/>
            <w:shd w:val="clear" w:color="auto" w:fill="F2F2F2"/>
          </w:tcPr>
          <w:p>
            <w:pPr/>
          </w:p>
        </w:tc>
        <w:tc>
          <w:tcPr>
            <w:tcW w:w="2218" w:type="dxa"/>
            <w:shd w:val="clear" w:color="auto" w:fill="F2F2F2"/>
          </w:tcPr>
          <w:p>
            <w:pPr/>
            <w:r>
              <w:t xml:space="preserve">v1 (original)</w:t>
            </w:r>
          </w:p>
        </w:tc>
        <w:tc>
          <w:tcPr>
            <w:tcW w:w="4920" w:type="dxa"/>
            <w:shd w:val="clear" w:color="auto" w:fill="F2F2F2"/>
          </w:tcPr>
          <w:p>
            <w:pPr/>
            <w:r>
              <w:t xml:space="preserve">Commons Edition</w:t>
            </w:r>
          </w:p>
        </w:tc>
      </w:tr>
      <w:tr>
        <w:tc>
          <w:tcPr>
            <w:tcW w:w="2222" w:type="dxa"/>
          </w:tcPr>
          <w:p>
            <w:pPr/>
            <w:r>
              <w:t xml:space="preserve">Question answered</w:t>
            </w:r>
          </w:p>
        </w:tc>
        <w:tc>
          <w:tcPr>
            <w:tcW w:w="2218" w:type="dxa"/>
          </w:tcPr>
          <w:p>
            <w:pPr/>
            <w:r>
              <w:t xml:space="preserve">Which cooling profile is better for the operator?</w:t>
            </w:r>
          </w:p>
        </w:tc>
        <w:tc>
          <w:tcPr>
            <w:tcW w:w="4920" w:type="dxa"/>
          </w:tcPr>
          <w:p>
            <w:pPr/>
            <w:r>
              <w:t xml:space="preserve">Which cooling profile is better for the operator, and who absorbs the burden it shifts?</w:t>
            </w:r>
          </w:p>
        </w:tc>
      </w:tr>
      <w:tr>
        <w:tc>
          <w:tcPr>
            <w:tcW w:w="2222" w:type="dxa"/>
          </w:tcPr>
          <w:p>
            <w:pPr/>
            <w:r>
              <w:t xml:space="preserve">Outputs</w:t>
            </w:r>
          </w:p>
        </w:tc>
        <w:tc>
          <w:tcPr>
            <w:tcW w:w="2218" w:type="dxa"/>
          </w:tcPr>
          <w:p>
            <w:pPr/>
            <w:r>
              <w:t xml:space="preserve">One ledger: energy, PUE, water, WUE, carbon, cost</w:t>
            </w:r>
          </w:p>
        </w:tc>
        <w:tc>
          <w:tcPr>
            <w:tcW w:w="4920" w:type="dxa"/>
          </w:tcPr>
          <w:p>
            <w:pPr/>
            <w:r>
              <w:t xml:space="preserve">Two ledgers from the same scenario: facility ledger and community ledger</w:t>
            </w:r>
          </w:p>
        </w:tc>
      </w:tr>
      <w:tr>
        <w:tc>
          <w:tcPr>
            <w:tcW w:w="2222" w:type="dxa"/>
          </w:tcPr>
          <w:p>
            <w:pPr/>
            <w:r>
              <w:t xml:space="preserve">Gemini’s role</w:t>
            </w:r>
          </w:p>
        </w:tc>
        <w:tc>
          <w:tcPr>
            <w:tcW w:w="2218" w:type="dxa"/>
          </w:tcPr>
          <w:p>
            <w:pPr/>
            <w:r>
              <w:t xml:space="preserve">Explains calculated results</w:t>
            </w:r>
          </w:p>
        </w:tc>
        <w:tc>
          <w:tcPr>
            <w:tcW w:w="4920" w:type="dxa"/>
          </w:tcPr>
          <w:p>
            <w:pPr/>
            <w:r>
              <w:t xml:space="preserve">Plans, investigates, explains and is independently checked by a verifier agent</w:t>
            </w:r>
          </w:p>
        </w:tc>
      </w:tr>
      <w:tr>
        <w:tc>
          <w:tcPr>
            <w:tcW w:w="2222" w:type="dxa"/>
          </w:tcPr>
          <w:p>
            <w:pPr/>
            <w:r>
              <w:t xml:space="preserve">Data gaps</w:t>
            </w:r>
          </w:p>
        </w:tc>
        <w:tc>
          <w:tcPr>
            <w:tcW w:w="2218" w:type="dxa"/>
          </w:tcPr>
          <w:p>
            <w:pPr/>
            <w:r>
              <w:t xml:space="preserve">Missing data shown as unavailable</w:t>
            </w:r>
          </w:p>
        </w:tc>
        <w:tc>
          <w:tcPr>
            <w:tcW w:w="4920" w:type="dxa"/>
          </w:tcPr>
          <w:p>
            <w:pPr/>
            <w:r>
              <w:t xml:space="preserve">Plus a coverage check that flags where official data likely under-represents people who depend on the shared water and power, and says what to collect next</w:t>
            </w:r>
          </w:p>
        </w:tc>
      </w:tr>
      <w:tr>
        <w:tc>
          <w:tcPr>
            <w:tcW w:w="2222" w:type="dxa"/>
          </w:tcPr>
          <w:p>
            <w:pPr/>
            <w:r>
              <w:t xml:space="preserve">Time</w:t>
            </w:r>
          </w:p>
        </w:tc>
        <w:tc>
          <w:tcPr>
            <w:tcW w:w="2218" w:type="dxa"/>
          </w:tcPr>
          <w:p>
            <w:pPr/>
            <w:r>
              <w:t xml:space="preserve">Static scenario</w:t>
            </w:r>
          </w:p>
        </w:tc>
        <w:tc>
          <w:tcPr>
            <w:tcW w:w="4920" w:type="dxa"/>
          </w:tcPr>
          <w:p>
            <w:pPr/>
            <w:r>
              <w:t xml:space="preserve">Season, hourly grid carbon and future-grid what-ifs</w:t>
            </w:r>
          </w:p>
        </w:tc>
      </w:tr>
      <w:tr>
        <w:tc>
          <w:tcPr>
            <w:tcW w:w="2222" w:type="dxa"/>
          </w:tcPr>
          <w:p>
            <w:pPr/>
            <w:r>
              <w:t xml:space="preserve">Audience</w:t>
            </w:r>
          </w:p>
        </w:tc>
        <w:tc>
          <w:tcPr>
            <w:tcW w:w="2218" w:type="dxa"/>
          </w:tcPr>
          <w:p>
            <w:pPr/>
            <w:r>
              <w:t xml:space="preserve">Data-center teams</w:t>
            </w:r>
          </w:p>
        </w:tc>
        <w:tc>
          <w:tcPr>
            <w:tcW w:w="4920" w:type="dxa"/>
          </w:tcPr>
          <w:p>
            <w:pPr/>
            <w:r>
              <w:t xml:space="preserve">Operators and developers first; municipalities, utilities and NGOs get a transparent read-only view of the same assessment</w:t>
            </w:r>
          </w:p>
        </w:tc>
      </w:tr>
    </w:tbl>
    <w:p>
      <w:pPr/>
      <w:r>
        <w:t xml:space="preserve">The design principle from v1 is unchanged and now applies to everything: </w:t>
      </w:r>
      <w:r>
        <w:rPr>
          <w:b/>
        </w:rPr>
        <w:t xml:space="preserve">the deterministic calculation engine is the numerical source of truth. AI never invents measurements, emission factors or cooling coefficients. Missing data is shown as unavailable.</w:t>
      </w:r>
    </w:p>
    <w:p>
      <w:pPr>
        <w:pStyle w:val="Heading2"/>
      </w:pPr>
      <w:r>
        <w:t xml:space="preserve">3. What is new here, and what is not</w:t>
      </w:r>
    </w:p>
    <w:p>
      <w:pPr/>
      <w:r>
        <w:t xml:space="preserve">This space is not empty, and the pitch should say so.</w:t>
      </w:r>
    </w:p>
    <w:p>
      <w:pPr>
        <w:pStyle w:val="ListParagraph"/>
        <w:numPr>
          <w:ilvl w:val="0"/>
          <w:numId w:val="2"/>
        </w:numPr>
      </w:pPr>
      <w:r>
        <w:rPr>
          <w:b/>
        </w:rPr>
        <w:t xml:space="preserve">Operations-side optimization exists.</w:t>
      </w:r>
      <w:r>
        <w:t xml:space="preserve"> CoolGradient offers AI-driven optimization recommendations on the water-versus-power trade-off, and FLUIX AI works on data-center O&amp;M automation. These focus on running facilities, not on community impact.</w:t>
      </w:r>
    </w:p>
    <w:p>
      <w:pPr>
        <w:pStyle w:val="ListParagraph"/>
        <w:numPr>
          <w:ilvl w:val="0"/>
          <w:numId w:val="2"/>
        </w:numPr>
      </w:pPr>
      <w:r>
        <w:rPr>
          <w:b/>
        </w:rPr>
        <w:t xml:space="preserve">Siting and community-impact tools exist.</w:t>
      </w:r>
      <w:r>
        <w:t xml:space="preserve"> RAND’s Data Center Suitability Mapper compares locations across power, water, broadband and land use. A 2026 Next10 report builds social and water vulnerability indices for data-center siting in California. A 2026 arXiv paper proposes a Water Consumption Impact index for host utilities. Great Lakes and Water Foundation playbooks give communities checklists. These are mostly static indices, maps or checklists, and none that I found couple a facility’s cooling configuration to community impact in a live what-if tool.</w:t>
      </w:r>
    </w:p>
    <w:p>
      <w:pPr>
        <w:pStyle w:val="ListParagraph"/>
        <w:numPr>
          <w:ilvl w:val="0"/>
          <w:numId w:val="2"/>
        </w:numPr>
      </w:pPr>
      <w:r>
        <w:rPr>
          <w:b/>
        </w:rPr>
        <w:t xml:space="preserve">Informal-settlement and vulnerability mapping exists</w:t>
      </w:r>
      <w:r>
        <w:t xml:space="preserve"> as established research and deployed tools (for example UN-Habitat’s BEAM and India’s Climate Health Vulnerability Index work), so we reuse existing public layers rather than claim to invent them.</w:t>
      </w:r>
    </w:p>
    <w:p>
      <w:pPr/>
      <w:r>
        <w:t xml:space="preserve">The gap we target is integration: one tool that takes a specific cooling configuration, computes both the facility ledger and the community ledger, lets either side change an assumption and see both move, and is explicit about data confidence. One of the papers above notes that current siting approaches lack integrated tools combining technical, environmental and social dimensions, which supports this framing. Our claim is “integrated, agentic and confidence-aware”, not “first ever”. A deeper prior-art pass is on the verify-before-building list (section 13).</w:t>
      </w:r>
    </w:p>
    <w:p>
      <w:pPr>
        <w:pStyle w:val="Heading2"/>
      </w:pPr>
      <w:r>
        <w:t xml:space="preserve">4. Proposed solution</w:t>
      </w:r>
    </w:p>
    <w:p>
      <w:pPr/>
      <w:r>
        <w:t xml:space="preserve">AquaCarbon DC compares two or three cooling configurations for the same site and workload. Alongside the facility ledger it produces a community ledger, then helps users reason about the trade-off.</w:t>
      </w:r>
    </w:p>
    <w:p>
      <w:pPr/>
      <w:r>
        <w:rPr>
          <w:b/>
        </w:rPr>
        <w:t xml:space="preserve">Facility ledger (from v1):</w:t>
      </w:r>
      <w:r>
        <w:t xml:space="preserve"> energy, PUE, direct water, WUE, carbon and operating cost, with units, boundaries and assumptions visible.</w:t>
      </w:r>
    </w:p>
    <w:p>
      <w:pPr/>
      <w:r>
        <w:rPr>
          <w:b/>
        </w:rPr>
        <w:t xml:space="preserve">Community ledger (new):</w:t>
      </w:r>
      <w:r>
        <w:t xml:space="preserve"> each indicator carries a source label, geographic resolution and confidence, and shows “unavailable” when data does not exist.</w:t>
      </w:r>
    </w:p>
    <w:p>
      <w:pPr>
        <w:pStyle w:val="ListParagraph"/>
        <w:numPr>
          <w:ilvl w:val="0"/>
          <w:numId w:val="3"/>
        </w:numPr>
      </w:pPr>
      <w:r>
        <w:t xml:space="preserve">Modelled peak water demand as a share of local supply headroom, where utility capacity is published</w:t>
      </w:r>
    </w:p>
    <w:p>
      <w:pPr>
        <w:pStyle w:val="ListParagraph"/>
        <w:numPr>
          <w:ilvl w:val="0"/>
          <w:numId w:val="3"/>
        </w:numPr>
      </w:pPr>
      <w:r>
        <w:t xml:space="preserve">Regional water-stress and groundwater context</w:t>
      </w:r>
    </w:p>
    <w:p>
      <w:pPr>
        <w:pStyle w:val="ListParagraph"/>
        <w:numPr>
          <w:ilvl w:val="0"/>
          <w:numId w:val="3"/>
        </w:numPr>
      </w:pPr>
      <w:r>
        <w:t xml:space="preserve">Contribution to local peak electricity demand and grid reliability context (outage indices where available)</w:t>
      </w:r>
    </w:p>
    <w:p>
      <w:pPr>
        <w:pStyle w:val="ListParagraph"/>
        <w:numPr>
          <w:ilvl w:val="0"/>
          <w:numId w:val="3"/>
        </w:numPr>
      </w:pPr>
      <w:r>
        <w:t xml:space="preserve">Hourly and annual carbon intensity of the supplying grid</w:t>
      </w:r>
    </w:p>
    <w:p>
      <w:pPr>
        <w:pStyle w:val="ListParagraph"/>
        <w:numPr>
          <w:ilvl w:val="0"/>
          <w:numId w:val="3"/>
        </w:numPr>
      </w:pPr>
      <w:r>
        <w:t xml:space="preserve">Existing public vulnerability context for the affected area</w:t>
      </w:r>
    </w:p>
    <w:p>
      <w:pPr/>
      <w:r>
        <w:rPr>
          <w:b/>
        </w:rPr>
        <w:t xml:space="preserve">Burden-shifting view (new):</w:t>
      </w:r>
      <w:r>
        <w:t xml:space="preserve"> for each profile, three side-by-side bars show the water-system burden, the power-system burden and the carbon burden. There is no single combined score. The point is that evaporative cooling pushes burden onto water, dry cooling pushes it onto the grid and carbon, and the right choice depends on which constraint binds locally.</w:t>
      </w:r>
    </w:p>
    <w:p>
      <w:pPr/>
      <w:r>
        <w:rPr>
          <w:b/>
        </w:rPr>
        <w:t xml:space="preserve">Coverage check (new):</w:t>
      </w:r>
      <w:r>
        <w:t xml:space="preserve"> compares independent public layers for the same area, for example built-up or settlement footprint from open satellite-derived layers against official population or water-connection records. Where they disagree beyond a threshold, it flags that the community ledger may under-represent people who rely on the shared system, lowers the confidence of affected indicators, and lists the data a local body or NGO could collect to close the gap. It works at area level and never identifies individuals.</w:t>
      </w:r>
    </w:p>
    <w:p>
      <w:pPr/>
      <w:r>
        <w:rPr>
          <w:b/>
        </w:rPr>
        <w:t xml:space="preserve">Constraint-aware planner (extends v1):</w:t>
      </w:r>
      <w:r>
        <w:t xml:space="preserve"> users set facility limits (maximum cooling cost, maximum electricity use, thermal safety margin) and community limits (maximum share of local water headroom, maximum increase in peak grid demand, minimum data confidence). The planner searches configurations with the deterministic engine and returns the feasible set. If nothing satisfies every constraint it says so and shows the nearest trade-offs instead of manufacturing a recommendation.</w:t>
      </w:r>
    </w:p>
    <w:p>
      <w:pPr/>
      <w:r>
        <w:rPr>
          <w:b/>
        </w:rPr>
        <w:t xml:space="preserve">Time-varying what-ifs (new):</w:t>
      </w:r>
      <w:r>
        <w:t xml:space="preserve"> dry versus monsoon season, hourly grid carbon, and a future-grid scenario. The recommendation can flip when conditions change, and the tool explains why.</w:t>
      </w:r>
    </w:p>
    <w:p>
      <w:pPr/>
      <w:r>
        <w:rPr>
          <w:b/>
        </w:rPr>
        <w:t xml:space="preserve">Two briefs from one analysis (new):</w:t>
      </w:r>
      <w:r>
        <w:t xml:space="preserve"> an operator brief (engineering checks, cost and reliability trade-offs) and a plain-language community brief (what the facility would draw, what is uncertain, what to ask for). Translation of the community brief into a regional language is a stretch goal.</w:t>
      </w:r>
    </w:p>
    <w:p>
      <w:pPr>
        <w:pStyle w:val="Heading2"/>
      </w:pPr>
      <w:r>
        <w:t xml:space="preserve">5. Core user experience</w:t>
      </w:r>
    </w:p>
    <w:tbl>
      <w:tblPr>
        <w:tblStyle w:val="TableGrid"/>
        <w:tblW w:w="0" w:type="auto"/>
        <w:tblLayout w:type="fixed"/>
        <w:tblLook w:val="04A0" w:firstRow="1" w:lastRow="0" w:firstColumn="0" w:lastColumn="0" w:noHBand="0" w:noVBand="1"/>
      </w:tblPr>
      <w:tblGrid>
        <w:gridCol w:w="2295"/>
        <w:gridCol w:w="2806"/>
        <w:gridCol w:w="4259"/>
      </w:tblGrid>
      <w:tr>
        <w:trPr>
          <w:tblHeader/>
        </w:trPr>
        <w:tc>
          <w:tcPr>
            <w:tcW w:w="2295" w:type="dxa"/>
            <w:shd w:val="clear" w:color="auto" w:fill="F2F2F2"/>
          </w:tcPr>
          <w:p>
            <w:pPr/>
            <w:r>
              <w:t xml:space="preserve">Step</w:t>
            </w:r>
          </w:p>
        </w:tc>
        <w:tc>
          <w:tcPr>
            <w:tcW w:w="2806" w:type="dxa"/>
            <w:shd w:val="clear" w:color="auto" w:fill="F2F2F2"/>
          </w:tcPr>
          <w:p>
            <w:pPr/>
            <w:r>
              <w:t xml:space="preserve">What the user does</w:t>
            </w:r>
          </w:p>
        </w:tc>
        <w:tc>
          <w:tcPr>
            <w:tcW w:w="4259" w:type="dxa"/>
            <w:shd w:val="clear" w:color="auto" w:fill="F2F2F2"/>
          </w:tcPr>
          <w:p>
            <w:pPr/>
            <w:r>
              <w:t xml:space="preserve">What AquaCarbon DC returns</w:t>
            </w:r>
          </w:p>
        </w:tc>
      </w:tr>
      <w:tr>
        <w:tc>
          <w:tcPr>
            <w:tcW w:w="2295" w:type="dxa"/>
          </w:tcPr>
          <w:p>
            <w:pPr/>
            <w:r>
              <w:t xml:space="preserve">1. Describe</w:t>
            </w:r>
          </w:p>
        </w:tc>
        <w:tc>
          <w:tcPr>
            <w:tcW w:w="2806" w:type="dxa"/>
          </w:tcPr>
          <w:p>
            <w:pPr/>
            <w:r>
              <w:t xml:space="preserve">Types or selects site context, IT load, period and limits, in plain language or a form</w:t>
            </w:r>
          </w:p>
        </w:tc>
        <w:tc>
          <w:tcPr>
            <w:tcW w:w="4259" w:type="dxa"/>
          </w:tcPr>
          <w:p>
            <w:pPr/>
            <w:r>
              <w:t xml:space="preserve">A structured scenario with source labels and missing-data warnings</w:t>
            </w:r>
          </w:p>
        </w:tc>
      </w:tr>
      <w:tr>
        <w:tc>
          <w:tcPr>
            <w:tcW w:w="2295" w:type="dxa"/>
          </w:tcPr>
          <w:p>
            <w:pPr/>
            <w:r>
              <w:t xml:space="preserve">2. Compare</w:t>
            </w:r>
          </w:p>
        </w:tc>
        <w:tc>
          <w:tcPr>
            <w:tcW w:w="2806" w:type="dxa"/>
          </w:tcPr>
          <w:p>
            <w:pPr/>
            <w:r>
              <w:t xml:space="preserve">Picks two or three cooling profiles</w:t>
            </w:r>
          </w:p>
        </w:tc>
        <w:tc>
          <w:tcPr>
            <w:tcW w:w="4259" w:type="dxa"/>
          </w:tcPr>
          <w:p>
            <w:pPr/>
            <w:r>
              <w:t xml:space="preserve">Facility ledger, community ledger and burden-shifting view, side by side</w:t>
            </w:r>
          </w:p>
        </w:tc>
      </w:tr>
      <w:tr>
        <w:tc>
          <w:tcPr>
            <w:tcW w:w="2295" w:type="dxa"/>
          </w:tcPr>
          <w:p>
            <w:pPr/>
            <w:r>
              <w:t xml:space="preserve">3. Investigate</w:t>
            </w:r>
          </w:p>
        </w:tc>
        <w:tc>
          <w:tcPr>
            <w:tcW w:w="2806" w:type="dxa"/>
          </w:tcPr>
          <w:p>
            <w:pPr/>
            <w:r>
              <w:t xml:space="preserve">Asks why one profile saves water but strains the grid</w:t>
            </w:r>
          </w:p>
        </w:tc>
        <w:tc>
          <w:tcPr>
            <w:tcW w:w="4259" w:type="dxa"/>
          </w:tcPr>
          <w:p>
            <w:pPr/>
            <w:r>
              <w:t xml:space="preserve">A grounded explanation tied to calculated values, assumptions and uncertainty</w:t>
            </w:r>
          </w:p>
        </w:tc>
      </w:tr>
      <w:tr>
        <w:tc>
          <w:tcPr>
            <w:tcW w:w="2295" w:type="dxa"/>
          </w:tcPr>
          <w:p>
            <w:pPr/>
            <w:r>
              <w:t xml:space="preserve">4. Test a what-if</w:t>
            </w:r>
          </w:p>
        </w:tc>
        <w:tc>
          <w:tcPr>
            <w:tcW w:w="2806" w:type="dxa"/>
          </w:tcPr>
          <w:p>
            <w:pPr/>
            <w:r>
              <w:t xml:space="preserve">Changes season, grid factor, water availability or a constraint</w:t>
            </w:r>
          </w:p>
        </w:tc>
        <w:tc>
          <w:tcPr>
            <w:tcW w:w="4259" w:type="dxa"/>
          </w:tcPr>
          <w:p>
            <w:pPr/>
            <w:r>
              <w:t xml:space="preserve">Recalculated results, what changed and why, and whether the recommendation flipped</w:t>
            </w:r>
          </w:p>
        </w:tc>
      </w:tr>
      <w:tr>
        <w:tc>
          <w:tcPr>
            <w:tcW w:w="2295" w:type="dxa"/>
          </w:tcPr>
          <w:p>
            <w:pPr/>
            <w:r>
              <w:t xml:space="preserve">5. Check coverage</w:t>
            </w:r>
          </w:p>
        </w:tc>
        <w:tc>
          <w:tcPr>
            <w:tcW w:w="2806" w:type="dxa"/>
          </w:tcPr>
          <w:p>
            <w:pPr/>
            <w:r>
              <w:t xml:space="preserve">Opens the coverage panel</w:t>
            </w:r>
          </w:p>
        </w:tc>
        <w:tc>
          <w:tcPr>
            <w:tcW w:w="4259" w:type="dxa"/>
          </w:tcPr>
          <w:p>
            <w:pPr/>
            <w:r>
              <w:t xml:space="preserve">Indicators with low confidence, the disagreement that caused it, and data to collect next</w:t>
            </w:r>
          </w:p>
        </w:tc>
      </w:tr>
      <w:tr>
        <w:tc>
          <w:tcPr>
            <w:tcW w:w="2295" w:type="dxa"/>
          </w:tcPr>
          <w:p>
            <w:pPr/>
            <w:r>
              <w:t xml:space="preserve">6. Decide and share</w:t>
            </w:r>
          </w:p>
        </w:tc>
        <w:tc>
          <w:tcPr>
            <w:tcW w:w="2806" w:type="dxa"/>
          </w:tcPr>
          <w:p>
            <w:pPr/>
            <w:r>
              <w:t xml:space="preserve">Exports the operator brief or the community brief</w:t>
            </w:r>
          </w:p>
        </w:tc>
        <w:tc>
          <w:tcPr>
            <w:tcW w:w="4259" w:type="dxa"/>
          </w:tcPr>
          <w:p>
            <w:pPr/>
            <w:r>
              <w:t xml:space="preserve">A decision summary with assumptions, limitations and recommended engineering checks</w:t>
            </w:r>
          </w:p>
        </w:tc>
      </w:tr>
    </w:tbl>
    <w:p>
      <w:pPr>
        <w:pStyle w:val="Heading2"/>
      </w:pPr>
      <w:r>
        <w:t xml:space="preserve">6. Agent architecture</w:t>
      </w:r>
    </w:p>
    <w:p>
      <w:pPr/>
      <w:r>
        <w:t xml:space="preserve">Built with Google’s Agent Development Kit (ADK). Models and exact IDs should be confirmed against current Vertex AI availability and quotas before building.</w:t>
      </w:r>
    </w:p>
    <w:tbl>
      <w:tblPr>
        <w:tblStyle w:val="TableGrid"/>
        <w:tblW w:w="0" w:type="auto"/>
        <w:tblLayout w:type="fixed"/>
        <w:tblLook w:val="04A0" w:firstRow="1" w:lastRow="0" w:firstColumn="0" w:lastColumn="0" w:noHBand="0" w:noVBand="1"/>
      </w:tblPr>
      <w:tblGrid>
        <w:gridCol w:w="2869"/>
        <w:gridCol w:w="2229"/>
        <w:gridCol w:w="4262"/>
      </w:tblGrid>
      <w:tr>
        <w:trPr>
          <w:tblHeader/>
        </w:trPr>
        <w:tc>
          <w:tcPr>
            <w:tcW w:w="2869" w:type="dxa"/>
            <w:shd w:val="clear" w:color="auto" w:fill="F2F2F2"/>
          </w:tcPr>
          <w:p>
            <w:pPr/>
            <w:r>
              <w:t xml:space="preserve">Agent / component</w:t>
            </w:r>
          </w:p>
        </w:tc>
        <w:tc>
          <w:tcPr>
            <w:tcW w:w="2229" w:type="dxa"/>
            <w:shd w:val="clear" w:color="auto" w:fill="F2F2F2"/>
          </w:tcPr>
          <w:p>
            <w:pPr/>
            <w:r>
              <w:t xml:space="preserve">Model or tech</w:t>
            </w:r>
          </w:p>
        </w:tc>
        <w:tc>
          <w:tcPr>
            <w:tcW w:w="4262" w:type="dxa"/>
            <w:shd w:val="clear" w:color="auto" w:fill="F2F2F2"/>
          </w:tcPr>
          <w:p>
            <w:pPr/>
            <w:r>
              <w:t xml:space="preserve">Job</w:t>
            </w:r>
          </w:p>
        </w:tc>
      </w:tr>
      <w:tr>
        <w:tc>
          <w:tcPr>
            <w:tcW w:w="2869" w:type="dxa"/>
          </w:tcPr>
          <w:p>
            <w:pPr/>
            <w:r>
              <w:t xml:space="preserve">Intake agent</w:t>
            </w:r>
          </w:p>
        </w:tc>
        <w:tc>
          <w:tcPr>
            <w:tcW w:w="2229" w:type="dxa"/>
          </w:tcPr>
          <w:p>
            <w:pPr/>
            <w:r>
              <w:t xml:space="preserve">Gemini Flash</w:t>
            </w:r>
          </w:p>
        </w:tc>
        <w:tc>
          <w:tcPr>
            <w:tcW w:w="4262" w:type="dxa"/>
          </w:tcPr>
          <w:p>
            <w:pPr/>
            <w:r>
              <w:t xml:space="preserve">Turns plain-language constraints into a validated scenario object</w:t>
            </w:r>
          </w:p>
        </w:tc>
      </w:tr>
      <w:tr>
        <w:tc>
          <w:tcPr>
            <w:tcW w:w="2869" w:type="dxa"/>
          </w:tcPr>
          <w:p>
            <w:pPr/>
            <w:r>
              <w:t xml:space="preserve">Context agent</w:t>
            </w:r>
          </w:p>
        </w:tc>
        <w:tc>
          <w:tcPr>
            <w:tcW w:w="2229" w:type="dxa"/>
          </w:tcPr>
          <w:p>
            <w:pPr/>
            <w:r>
              <w:t xml:space="preserve">Gemini Flash + MCP tools</w:t>
            </w:r>
          </w:p>
        </w:tc>
        <w:tc>
          <w:tcPr>
            <w:tcW w:w="4262" w:type="dxa"/>
          </w:tcPr>
          <w:p>
            <w:pPr/>
            <w:r>
              <w:t xml:space="preserve">Fetches weather, water-stress, grid-factor and outage context with provenance</w:t>
            </w:r>
          </w:p>
        </w:tc>
      </w:tr>
      <w:tr>
        <w:tc>
          <w:tcPr>
            <w:tcW w:w="2869" w:type="dxa"/>
          </w:tcPr>
          <w:p>
            <w:pPr/>
            <w:r>
              <w:t xml:space="preserve">Document extractor</w:t>
            </w:r>
          </w:p>
        </w:tc>
        <w:tc>
          <w:tcPr>
            <w:tcW w:w="2229" w:type="dxa"/>
          </w:tcPr>
          <w:p>
            <w:pPr/>
            <w:r>
              <w:t xml:space="preserve">Fine-tuned Gemma (gated, see below)</w:t>
            </w:r>
          </w:p>
        </w:tc>
        <w:tc>
          <w:tcPr>
            <w:tcW w:w="4262" w:type="dxa"/>
          </w:tcPr>
          <w:p>
            <w:pPr/>
            <w:r>
              <w:t xml:space="preserve">Pulls water and power figures out of messy public documents into the schema</w:t>
            </w:r>
          </w:p>
        </w:tc>
      </w:tr>
      <w:tr>
        <w:tc>
          <w:tcPr>
            <w:tcW w:w="2869" w:type="dxa"/>
          </w:tcPr>
          <w:p>
            <w:pPr/>
            <w:r>
              <w:t xml:space="preserve">Calculation engine</w:t>
            </w:r>
          </w:p>
        </w:tc>
        <w:tc>
          <w:tcPr>
            <w:tcW w:w="2229" w:type="dxa"/>
          </w:tcPr>
          <w:p>
            <w:pPr/>
            <w:r>
              <w:t xml:space="preserve">Deterministic Python on Cloud Run, exposed as an MCP server</w:t>
            </w:r>
          </w:p>
        </w:tc>
        <w:tc>
          <w:tcPr>
            <w:tcW w:w="4262" w:type="dxa"/>
          </w:tcPr>
          <w:p>
            <w:pPr/>
            <w:r>
              <w:t xml:space="preserve">Computes all numbers; the only source of numeric truth</w:t>
            </w:r>
          </w:p>
        </w:tc>
      </w:tr>
      <w:tr>
        <w:tc>
          <w:tcPr>
            <w:tcW w:w="2869" w:type="dxa"/>
          </w:tcPr>
          <w:p>
            <w:pPr/>
            <w:r>
              <w:t xml:space="preserve">Planner agent</w:t>
            </w:r>
          </w:p>
        </w:tc>
        <w:tc>
          <w:tcPr>
            <w:tcW w:w="2229" w:type="dxa"/>
          </w:tcPr>
          <w:p>
            <w:pPr/>
            <w:r>
              <w:t xml:space="preserve">Gemini Pro for ambiguity, engine calls for evaluation</w:t>
            </w:r>
          </w:p>
        </w:tc>
        <w:tc>
          <w:tcPr>
            <w:tcW w:w="4262" w:type="dxa"/>
          </w:tcPr>
          <w:p>
            <w:pPr/>
            <w:r>
              <w:t xml:space="preserve">Searches configurations against facility and community constraints</w:t>
            </w:r>
          </w:p>
        </w:tc>
      </w:tr>
      <w:tr>
        <w:tc>
          <w:tcPr>
            <w:tcW w:w="2869" w:type="dxa"/>
          </w:tcPr>
          <w:p>
            <w:pPr/>
            <w:r>
              <w:t xml:space="preserve">Community-impact agent</w:t>
            </w:r>
          </w:p>
        </w:tc>
        <w:tc>
          <w:tcPr>
            <w:tcW w:w="2229" w:type="dxa"/>
          </w:tcPr>
          <w:p>
            <w:pPr/>
            <w:r>
              <w:t xml:space="preserve">Rules + Gemini Flash</w:t>
            </w:r>
          </w:p>
        </w:tc>
        <w:tc>
          <w:tcPr>
            <w:tcW w:w="4262" w:type="dxa"/>
          </w:tcPr>
          <w:p>
            <w:pPr/>
            <w:r>
              <w:t xml:space="preserve">Builds the community ledger and runs the coverage check</w:t>
            </w:r>
          </w:p>
        </w:tc>
      </w:tr>
      <w:tr>
        <w:tc>
          <w:tcPr>
            <w:tcW w:w="2869" w:type="dxa"/>
          </w:tcPr>
          <w:p>
            <w:pPr/>
            <w:r>
              <w:t xml:space="preserve">Advisor agent</w:t>
            </w:r>
          </w:p>
        </w:tc>
        <w:tc>
          <w:tcPr>
            <w:tcW w:w="2229" w:type="dxa"/>
          </w:tcPr>
          <w:p>
            <w:pPr/>
            <w:r>
              <w:t xml:space="preserve">Gemini Pro</w:t>
            </w:r>
          </w:p>
        </w:tc>
        <w:tc>
          <w:tcPr>
            <w:tcW w:w="4262" w:type="dxa"/>
          </w:tcPr>
          <w:p>
            <w:pPr/>
            <w:r>
              <w:t xml:space="preserve">Writes the operator and community briefs from structured results</w:t>
            </w:r>
          </w:p>
        </w:tc>
      </w:tr>
      <w:tr>
        <w:tc>
          <w:tcPr>
            <w:tcW w:w="2869" w:type="dxa"/>
          </w:tcPr>
          <w:p>
            <w:pPr/>
            <w:r>
              <w:t xml:space="preserve">Verifier agent</w:t>
            </w:r>
          </w:p>
        </w:tc>
        <w:tc>
          <w:tcPr>
            <w:tcW w:w="2229" w:type="dxa"/>
          </w:tcPr>
          <w:p>
            <w:pPr/>
            <w:r>
              <w:t xml:space="preserve">Gemini Flash, deployed separately</w:t>
            </w:r>
          </w:p>
        </w:tc>
        <w:tc>
          <w:tcPr>
            <w:tcW w:w="4262" w:type="dxa"/>
          </w:tcPr>
          <w:p>
            <w:pPr/>
            <w:r>
              <w:t xml:space="preserve">Checks every number and claim in a brief against engine outputs and blocks mismatches</w:t>
            </w:r>
          </w:p>
        </w:tc>
      </w:tr>
    </w:tbl>
    <w:p>
      <w:pPr/>
      <w:r>
        <w:rPr>
          <w:b/>
        </w:rPr>
        <w:t xml:space="preserve">Why A2A:</w:t>
      </w:r>
      <w:r>
        <w:t xml:space="preserve"> the verifier and the community-impact agent run as separate Cloud Run services reached over the Agent2Agent protocol. The reason is a real trust boundary: the agent that checks the advisor must be independent of it. A2A is not used between agents that could simply be function calls.</w:t>
      </w:r>
    </w:p>
    <w:p>
      <w:pPr/>
      <w:r>
        <w:rPr>
          <w:b/>
        </w:rPr>
        <w:t xml:space="preserve">Why MCP:</w:t>
      </w:r>
      <w:r>
        <w:t xml:space="preserve"> the engine and the external data sources are exposed as MCP tools, so any agent can call them with a typed contract and every call is logged for provenance.</w:t>
      </w:r>
    </w:p>
    <w:p>
      <w:pPr/>
      <w:r>
        <w:rPr>
          <w:b/>
        </w:rPr>
        <w:t xml:space="preserve">Gemma gate:</w:t>
      </w:r>
      <w:r>
        <w:t xml:space="preserve"> fine-tune Gemma for structured extraction only if a Flash baseline falls short on a hand-labeled document set, or if cost and latency justify it. If the baseline wins, drop Gemma and say so in the submission rather than keeping it as decoration.</w:t>
      </w:r>
    </w:p>
    <w:p>
      <w:pPr>
        <w:pStyle w:val="Heading2"/>
      </w:pPr>
      <w:r>
        <w:t xml:space="preserve">7. Google Cloud stack</w:t>
      </w:r>
    </w:p>
    <w:tbl>
      <w:tblPr>
        <w:tblStyle w:val="TableGrid"/>
        <w:tblW w:w="0" w:type="auto"/>
        <w:tblLayout w:type="fixed"/>
        <w:tblLook w:val="04A0" w:firstRow="1" w:lastRow="0" w:firstColumn="0" w:lastColumn="0" w:noHBand="0" w:noVBand="1"/>
      </w:tblPr>
      <w:tblGrid>
        <w:gridCol w:w="1690"/>
        <w:gridCol w:w="2750"/>
        <w:gridCol w:w="4920"/>
      </w:tblGrid>
      <w:tr>
        <w:trPr>
          <w:tblHeader/>
        </w:trPr>
        <w:tc>
          <w:tcPr>
            <w:tcW w:w="1690" w:type="dxa"/>
            <w:shd w:val="clear" w:color="auto" w:fill="F2F2F2"/>
          </w:tcPr>
          <w:p>
            <w:pPr/>
            <w:r>
              <w:t xml:space="preserve">Layer</w:t>
            </w:r>
          </w:p>
        </w:tc>
        <w:tc>
          <w:tcPr>
            <w:tcW w:w="2750" w:type="dxa"/>
            <w:shd w:val="clear" w:color="auto" w:fill="F2F2F2"/>
          </w:tcPr>
          <w:p>
            <w:pPr/>
            <w:r>
              <w:t xml:space="preserve">Technology</w:t>
            </w:r>
          </w:p>
        </w:tc>
        <w:tc>
          <w:tcPr>
            <w:tcW w:w="4920" w:type="dxa"/>
            <w:shd w:val="clear" w:color="auto" w:fill="F2F2F2"/>
          </w:tcPr>
          <w:p>
            <w:pPr/>
            <w:r>
              <w:t xml:space="preserve">Why it is here</w:t>
            </w:r>
          </w:p>
        </w:tc>
      </w:tr>
      <w:tr>
        <w:tc>
          <w:tcPr>
            <w:tcW w:w="1690" w:type="dxa"/>
          </w:tcPr>
          <w:p>
            <w:pPr/>
            <w:r>
              <w:t xml:space="preserve">Agents</w:t>
            </w:r>
          </w:p>
        </w:tc>
        <w:tc>
          <w:tcPr>
            <w:tcW w:w="2750" w:type="dxa"/>
          </w:tcPr>
          <w:p>
            <w:pPr/>
            <w:r>
              <w:t xml:space="preserve">ADK on Cloud Run</w:t>
            </w:r>
          </w:p>
        </w:tc>
        <w:tc>
          <w:tcPr>
            <w:tcW w:w="4920" w:type="dxa"/>
          </w:tcPr>
          <w:p>
            <w:pPr/>
            <w:r>
              <w:t xml:space="preserve">Multi-agent orchestration, tool calling, built-in eval support</w:t>
            </w:r>
          </w:p>
        </w:tc>
      </w:tr>
      <w:tr>
        <w:tc>
          <w:tcPr>
            <w:tcW w:w="1690" w:type="dxa"/>
          </w:tcPr>
          <w:p>
            <w:pPr/>
            <w:r>
              <w:t xml:space="preserve">Reasoning and speed</w:t>
            </w:r>
          </w:p>
        </w:tc>
        <w:tc>
          <w:tcPr>
            <w:tcW w:w="2750" w:type="dxa"/>
          </w:tcPr>
          <w:p>
            <w:pPr/>
            <w:r>
              <w:t xml:space="preserve">Gemini Pro and Flash on Vertex AI</w:t>
            </w:r>
          </w:p>
        </w:tc>
        <w:tc>
          <w:tcPr>
            <w:tcW w:w="4920" w:type="dxa"/>
          </w:tcPr>
          <w:p>
            <w:pPr/>
            <w:r>
              <w:t xml:space="preserve">Deep reasoning where needed, fast cheap steps elsewhere</w:t>
            </w:r>
          </w:p>
        </w:tc>
      </w:tr>
      <w:tr>
        <w:tc>
          <w:tcPr>
            <w:tcW w:w="1690" w:type="dxa"/>
          </w:tcPr>
          <w:p>
            <w:pPr/>
            <w:r>
              <w:t xml:space="preserve">Extraction</w:t>
            </w:r>
          </w:p>
        </w:tc>
        <w:tc>
          <w:tcPr>
            <w:tcW w:w="2750" w:type="dxa"/>
          </w:tcPr>
          <w:p>
            <w:pPr/>
            <w:r>
              <w:t xml:space="preserve">Fine-tuned Gemma (conditional)</w:t>
            </w:r>
          </w:p>
        </w:tc>
        <w:tc>
          <w:tcPr>
            <w:tcW w:w="4920" w:type="dxa"/>
          </w:tcPr>
          <w:p>
            <w:pPr/>
            <w:r>
              <w:t xml:space="preserve">Small model for a narrow, measurable task</w:t>
            </w:r>
          </w:p>
        </w:tc>
      </w:tr>
      <w:tr>
        <w:tc>
          <w:tcPr>
            <w:tcW w:w="1690" w:type="dxa"/>
          </w:tcPr>
          <w:p>
            <w:pPr/>
            <w:r>
              <w:t xml:space="preserve">App flows and tracing</w:t>
            </w:r>
          </w:p>
        </w:tc>
        <w:tc>
          <w:tcPr>
            <w:tcW w:w="2750" w:type="dxa"/>
          </w:tcPr>
          <w:p>
            <w:pPr/>
            <w:r>
              <w:t xml:space="preserve">Firebase Genkit</w:t>
            </w:r>
          </w:p>
        </w:tc>
        <w:tc>
          <w:tcPr>
            <w:tcW w:w="4920" w:type="dxa"/>
          </w:tcPr>
          <w:p>
            <w:pPr/>
            <w:r>
              <w:t xml:space="preserve">Structured flows, traces and evaluators</w:t>
            </w:r>
          </w:p>
        </w:tc>
      </w:tr>
      <w:tr>
        <w:tc>
          <w:tcPr>
            <w:tcW w:w="1690" w:type="dxa"/>
          </w:tcPr>
          <w:p>
            <w:pPr/>
            <w:r>
              <w:t xml:space="preserve">Client Q&amp;A</w:t>
            </w:r>
          </w:p>
        </w:tc>
        <w:tc>
          <w:tcPr>
            <w:tcW w:w="2750" w:type="dxa"/>
          </w:tcPr>
          <w:p>
            <w:pPr/>
            <w:r>
              <w:t xml:space="preserve">Firebase AI Logic with Firebase Hosting</w:t>
            </w:r>
          </w:p>
        </w:tc>
        <w:tc>
          <w:tcPr>
            <w:tcW w:w="4920" w:type="dxa"/>
          </w:tcPr>
          <w:p>
            <w:pPr/>
            <w:r>
              <w:t xml:space="preserve">Bounded in-browser Q&amp;A over already-computed results</w:t>
            </w:r>
          </w:p>
        </w:tc>
      </w:tr>
      <w:tr>
        <w:tc>
          <w:tcPr>
            <w:tcW w:w="1690" w:type="dxa"/>
          </w:tcPr>
          <w:p>
            <w:pPr/>
            <w:r>
              <w:t xml:space="preserve">Interop</w:t>
            </w:r>
          </w:p>
        </w:tc>
        <w:tc>
          <w:tcPr>
            <w:tcW w:w="2750" w:type="dxa"/>
          </w:tcPr>
          <w:p>
            <w:pPr/>
            <w:r>
              <w:t xml:space="preserve">MCP and A2A</w:t>
            </w:r>
          </w:p>
        </w:tc>
        <w:tc>
          <w:tcPr>
            <w:tcW w:w="4920" w:type="dxa"/>
          </w:tcPr>
          <w:p>
            <w:pPr/>
            <w:r>
              <w:t xml:space="preserve">Typed tools; independent verifier</w:t>
            </w:r>
          </w:p>
        </w:tc>
      </w:tr>
      <w:tr>
        <w:tc>
          <w:tcPr>
            <w:tcW w:w="1690" w:type="dxa"/>
          </w:tcPr>
          <w:p>
            <w:pPr/>
            <w:r>
              <w:t xml:space="preserve">Data</w:t>
            </w:r>
          </w:p>
        </w:tc>
        <w:tc>
          <w:tcPr>
            <w:tcW w:w="2750" w:type="dxa"/>
          </w:tcPr>
          <w:p>
            <w:pPr/>
            <w:r>
              <w:t xml:space="preserve">BigQuery</w:t>
            </w:r>
          </w:p>
        </w:tc>
        <w:tc>
          <w:tcPr>
            <w:tcW w:w="4920" w:type="dxa"/>
          </w:tcPr>
          <w:p>
            <w:pPr/>
            <w:r>
              <w:t xml:space="preserve">Scenario inputs, runs, results and provenance</w:t>
            </w:r>
          </w:p>
        </w:tc>
      </w:tr>
      <w:tr>
        <w:tc>
          <w:tcPr>
            <w:tcW w:w="1690" w:type="dxa"/>
          </w:tcPr>
          <w:p>
            <w:pPr/>
            <w:r>
              <w:t xml:space="preserve">Metrics layer (optional, later)</w:t>
            </w:r>
          </w:p>
        </w:tc>
        <w:tc>
          <w:tcPr>
            <w:tcW w:w="2750" w:type="dxa"/>
          </w:tcPr>
          <w:p>
            <w:pPr/>
            <w:r>
              <w:t xml:space="preserve">Cube.js over BigQuery</w:t>
            </w:r>
          </w:p>
        </w:tc>
        <w:tc>
          <w:tcPr>
            <w:tcW w:w="4920" w:type="dxa"/>
          </w:tcPr>
          <w:p>
            <w:pPr/>
            <w:r>
              <w:t xml:space="preserve">Reusable metrics for dashboards once the core flow works; not part of the MVP</w:t>
            </w:r>
          </w:p>
        </w:tc>
      </w:tr>
      <w:tr>
        <w:tc>
          <w:tcPr>
            <w:tcW w:w="1690" w:type="dxa"/>
          </w:tcPr>
          <w:p>
            <w:pPr/>
            <w:r>
              <w:t xml:space="preserve">Evaluation</w:t>
            </w:r>
          </w:p>
        </w:tc>
        <w:tc>
          <w:tcPr>
            <w:tcW w:w="2750" w:type="dxa"/>
          </w:tcPr>
          <w:p>
            <w:pPr/>
            <w:r>
              <w:t xml:space="preserve">ADK and Genkit evals</w:t>
            </w:r>
          </w:p>
        </w:tc>
        <w:tc>
          <w:tcPr>
            <w:tcW w:w="4920" w:type="dxa"/>
          </w:tcPr>
          <w:p>
            <w:pPr/>
            <w:r>
              <w:t xml:space="preserve">Numerical fidelity, constraint handling, verifier catch-rate</w:t>
            </w:r>
          </w:p>
        </w:tc>
      </w:tr>
    </w:tbl>
    <w:p>
      <w:pPr>
        <w:pStyle w:val="Heading2"/>
      </w:pPr>
      <w:r>
        <w:t xml:space="preserve">8. Evaluation plan</w:t>
      </w:r>
    </w:p>
    <w:tbl>
      <w:tblPr>
        <w:tblStyle w:val="TableGrid"/>
        <w:tblW w:w="0" w:type="auto"/>
        <w:tblLayout w:type="fixed"/>
        <w:tblLook w:val="04A0" w:firstRow="1" w:lastRow="0" w:firstColumn="0" w:lastColumn="0" w:noHBand="0" w:noVBand="1"/>
      </w:tblPr>
      <w:tblGrid>
        <w:gridCol w:w="3531"/>
        <w:gridCol w:w="5828"/>
      </w:tblGrid>
      <w:tr>
        <w:trPr>
          <w:tblHeader/>
        </w:trPr>
        <w:tc>
          <w:tcPr>
            <w:tcW w:w="3531" w:type="dxa"/>
            <w:shd w:val="clear" w:color="auto" w:fill="F2F2F2"/>
          </w:tcPr>
          <w:p>
            <w:pPr/>
            <w:r>
              <w:t xml:space="preserve">Check</w:t>
            </w:r>
          </w:p>
        </w:tc>
        <w:tc>
          <w:tcPr>
            <w:tcW w:w="5828" w:type="dxa"/>
            <w:shd w:val="clear" w:color="auto" w:fill="F2F2F2"/>
          </w:tcPr>
          <w:p>
            <w:pPr/>
            <w:r>
              <w:t xml:space="preserve">How it is measured</w:t>
            </w:r>
          </w:p>
        </w:tc>
      </w:tr>
      <w:tr>
        <w:tc>
          <w:tcPr>
            <w:tcW w:w="3531" w:type="dxa"/>
          </w:tcPr>
          <w:p>
            <w:pPr/>
            <w:r>
              <w:t xml:space="preserve">Numerical fidelity</w:t>
            </w:r>
          </w:p>
        </w:tc>
        <w:tc>
          <w:tcPr>
            <w:tcW w:w="5828" w:type="dxa"/>
          </w:tcPr>
          <w:p>
            <w:pPr/>
            <w:r>
              <w:t xml:space="preserve">Every number in a brief matches the engine output; automated test on a scenario set</w:t>
            </w:r>
          </w:p>
        </w:tc>
      </w:tr>
      <w:tr>
        <w:tc>
          <w:tcPr>
            <w:tcW w:w="3531" w:type="dxa"/>
          </w:tcPr>
          <w:p>
            <w:pPr/>
            <w:r>
              <w:t xml:space="preserve">Verifier catch-rate</w:t>
            </w:r>
          </w:p>
        </w:tc>
        <w:tc>
          <w:tcPr>
            <w:tcW w:w="5828" w:type="dxa"/>
          </w:tcPr>
          <w:p>
            <w:pPr/>
            <w:r>
              <w:t xml:space="preserve">Inject deliberately wrong numbers into drafts; measure the share the verifier blocks</w:t>
            </w:r>
          </w:p>
        </w:tc>
      </w:tr>
      <w:tr>
        <w:tc>
          <w:tcPr>
            <w:tcW w:w="3531" w:type="dxa"/>
          </w:tcPr>
          <w:p>
            <w:pPr/>
            <w:r>
              <w:t xml:space="preserve">Constraint handling</w:t>
            </w:r>
          </w:p>
        </w:tc>
        <w:tc>
          <w:tcPr>
            <w:tcW w:w="5828" w:type="dxa"/>
          </w:tcPr>
          <w:p>
            <w:pPr/>
            <w:r>
              <w:t xml:space="preserve">Planner returns correct feasible sets on known cases and refuses correctly when none exist</w:t>
            </w:r>
          </w:p>
        </w:tc>
      </w:tr>
      <w:tr>
        <w:tc>
          <w:tcPr>
            <w:tcW w:w="3531" w:type="dxa"/>
          </w:tcPr>
          <w:p>
            <w:pPr/>
            <w:r>
              <w:t xml:space="preserve">Coverage check</w:t>
            </w:r>
          </w:p>
        </w:tc>
        <w:tc>
          <w:tcPr>
            <w:tcW w:w="5828" w:type="dxa"/>
          </w:tcPr>
          <w:p>
            <w:pPr/>
            <w:r>
              <w:t xml:space="preserve">Seed known gaps by removing records from test data; measure whether they are flagged. This needs no real ground truth</w:t>
            </w:r>
          </w:p>
        </w:tc>
      </w:tr>
      <w:tr>
        <w:tc>
          <w:tcPr>
            <w:tcW w:w="3531" w:type="dxa"/>
          </w:tcPr>
          <w:p>
            <w:pPr/>
            <w:r>
              <w:t xml:space="preserve">Extraction accuracy</w:t>
            </w:r>
          </w:p>
        </w:tc>
        <w:tc>
          <w:tcPr>
            <w:tcW w:w="5828" w:type="dxa"/>
          </w:tcPr>
          <w:p>
            <w:pPr/>
            <w:r>
              <w:t xml:space="preserve">Gemma or Flash against a small hand-labeled document set</w:t>
            </w:r>
          </w:p>
        </w:tc>
      </w:tr>
      <w:tr>
        <w:tc>
          <w:tcPr>
            <w:tcW w:w="3531" w:type="dxa"/>
          </w:tcPr>
          <w:p>
            <w:pPr/>
            <w:r>
              <w:t xml:space="preserve">Recommendation stability</w:t>
            </w:r>
          </w:p>
        </w:tc>
        <w:tc>
          <w:tcPr>
            <w:tcW w:w="5828" w:type="dxa"/>
          </w:tcPr>
          <w:p>
            <w:pPr/>
            <w:r>
              <w:t xml:space="preserve">Same inputs give the same recommendation; changed inputs flip it only when the engine says they should</w:t>
            </w:r>
          </w:p>
        </w:tc>
      </w:tr>
      <w:tr>
        <w:tc>
          <w:tcPr>
            <w:tcW w:w="3531" w:type="dxa"/>
          </w:tcPr>
          <w:p>
            <w:pPr/>
            <w:r>
              <w:t xml:space="preserve">Inference cost</w:t>
            </w:r>
          </w:p>
        </w:tc>
        <w:tc>
          <w:tcPr>
            <w:tcW w:w="5828" w:type="dxa"/>
          </w:tcPr>
          <w:p>
            <w:pPr/>
            <w:r>
              <w:t xml:space="preserve">Cost and latency per scenario under the Flash/Pro routing, reported honestly as the tool’s own footprint</w:t>
            </w:r>
          </w:p>
        </w:tc>
      </w:tr>
    </w:tbl>
    <w:p>
      <w:pPr>
        <w:pStyle w:val="Heading2"/>
      </w:pPr>
      <w:r>
        <w:t xml:space="preserve">9. How this maps to the judging criteria</w:t>
      </w:r>
    </w:p>
    <w:tbl>
      <w:tblPr>
        <w:tblStyle w:val="TableGrid"/>
        <w:tblW w:w="0" w:type="auto"/>
        <w:tblLayout w:type="fixed"/>
        <w:tblLook w:val="04A0" w:firstRow="1" w:lastRow="0" w:firstColumn="0" w:lastColumn="0" w:noHBand="0" w:noVBand="1"/>
      </w:tblPr>
      <w:tblGrid>
        <w:gridCol w:w="3484"/>
        <w:gridCol w:w="956"/>
        <w:gridCol w:w="4920"/>
      </w:tblGrid>
      <w:tr>
        <w:trPr>
          <w:tblHeader/>
        </w:trPr>
        <w:tc>
          <w:tcPr>
            <w:tcW w:w="3484" w:type="dxa"/>
            <w:shd w:val="clear" w:color="auto" w:fill="F2F2F2"/>
          </w:tcPr>
          <w:p>
            <w:pPr/>
            <w:r>
              <w:t xml:space="preserve">Criterion</w:t>
            </w:r>
          </w:p>
        </w:tc>
        <w:tc>
          <w:tcPr>
            <w:tcW w:w="956" w:type="dxa"/>
            <w:shd w:val="clear" w:color="auto" w:fill="F2F2F2"/>
          </w:tcPr>
          <w:p>
            <w:pPr/>
            <w:r>
              <w:t xml:space="preserve">Weight</w:t>
            </w:r>
          </w:p>
        </w:tc>
        <w:tc>
          <w:tcPr>
            <w:tcW w:w="4920" w:type="dxa"/>
            <w:shd w:val="clear" w:color="auto" w:fill="F2F2F2"/>
          </w:tcPr>
          <w:p>
            <w:pPr/>
            <w:r>
              <w:t xml:space="preserve">How the Commons Edition scores</w:t>
            </w:r>
          </w:p>
        </w:tc>
      </w:tr>
      <w:tr>
        <w:tc>
          <w:tcPr>
            <w:tcW w:w="3484" w:type="dxa"/>
          </w:tcPr>
          <w:p>
            <w:pPr/>
            <w:r>
              <w:t xml:space="preserve">Technical Merit and Gen AI</w:t>
            </w:r>
          </w:p>
        </w:tc>
        <w:tc>
          <w:tcPr>
            <w:tcW w:w="956" w:type="dxa"/>
          </w:tcPr>
          <w:p>
            <w:pPr/>
            <w:r>
              <w:t xml:space="preserve">40%</w:t>
            </w:r>
          </w:p>
        </w:tc>
        <w:tc>
          <w:tcPr>
            <w:tcW w:w="4920" w:type="dxa"/>
          </w:tcPr>
          <w:p>
            <w:pPr/>
            <w:r>
              <w:t xml:space="preserve">Gemini plans, reasons and is independently verified; deterministic engine as truth; ADK, MCP, A2A used for real reasons; evals with measurable results; visible Google Cloud integration</w:t>
            </w:r>
          </w:p>
        </w:tc>
      </w:tr>
      <w:tr>
        <w:tc>
          <w:tcPr>
            <w:tcW w:w="3484" w:type="dxa"/>
          </w:tcPr>
          <w:p>
            <w:pPr/>
            <w:r>
              <w:t xml:space="preserve">Problem Alignment and Impact</w:t>
            </w:r>
          </w:p>
        </w:tc>
        <w:tc>
          <w:tcPr>
            <w:tcW w:w="956" w:type="dxa"/>
          </w:tcPr>
          <w:p>
            <w:pPr/>
            <w:r>
              <w:t xml:space="preserve">25%</w:t>
            </w:r>
          </w:p>
        </w:tc>
        <w:tc>
          <w:tcPr>
            <w:tcW w:w="4920" w:type="dxa"/>
          </w:tcPr>
          <w:p>
            <w:pPr/>
            <w:r>
              <w:t xml:space="preserve">Water-stressed Indian location; two ledgers show who bears the burden; community brief makes the analysis usable by local bodies</w:t>
            </w:r>
          </w:p>
        </w:tc>
      </w:tr>
      <w:tr>
        <w:tc>
          <w:tcPr>
            <w:tcW w:w="3484" w:type="dxa"/>
          </w:tcPr>
          <w:p>
            <w:pPr/>
            <w:r>
              <w:t xml:space="preserve">Innovation and Creativity</w:t>
            </w:r>
          </w:p>
        </w:tc>
        <w:tc>
          <w:tcPr>
            <w:tcW w:w="956" w:type="dxa"/>
          </w:tcPr>
          <w:p>
            <w:pPr/>
            <w:r>
              <w:t xml:space="preserve">25%</w:t>
            </w:r>
          </w:p>
        </w:tc>
        <w:tc>
          <w:tcPr>
            <w:tcW w:w="4920" w:type="dxa"/>
          </w:tcPr>
          <w:p>
            <w:pPr/>
            <w:r>
              <w:t xml:space="preserve">Integration gap between facility configuration and community impact; burden-shifting view; confidence-aware coverage check; recommendations that flip with conditions</w:t>
            </w:r>
          </w:p>
        </w:tc>
      </w:tr>
      <w:tr>
        <w:tc>
          <w:tcPr>
            <w:tcW w:w="3484" w:type="dxa"/>
          </w:tcPr>
          <w:p>
            <w:pPr/>
            <w:r>
              <w:t xml:space="preserve">UX and Design</w:t>
            </w:r>
          </w:p>
        </w:tc>
        <w:tc>
          <w:tcPr>
            <w:tcW w:w="956" w:type="dxa"/>
          </w:tcPr>
          <w:p>
            <w:pPr/>
            <w:r>
              <w:t xml:space="preserve">10%</w:t>
            </w:r>
          </w:p>
        </w:tc>
        <w:tc>
          <w:tcPr>
            <w:tcW w:w="4920" w:type="dxa"/>
          </w:tcPr>
          <w:p>
            <w:pPr/>
            <w:r>
              <w:t xml:space="preserve">Plain-language input, side-by-side ledgers, what-if without engineering knowledge, end-to-end demo with no notebooks</w:t>
            </w:r>
          </w:p>
        </w:tc>
      </w:tr>
    </w:tbl>
    <w:p>
      <w:pPr>
        <w:pStyle w:val="Heading2"/>
      </w:pPr>
      <w:r>
        <w:t xml:space="preserve">10. MVP scope</w:t>
      </w:r>
    </w:p>
    <w:p>
      <w:pPr/>
      <w:r>
        <w:rPr>
          <w:b/>
        </w:rPr>
        <w:t xml:space="preserve">Must ship (the v1 core, hardened):</w:t>
      </w:r>
      <w:r>
        <w:t xml:space="preserve"> one Bengaluru scenario, two cooling profiles, deterministic engine with tests, facility ledger, Gemini explanations grounded in engine output, what-if rerun, Cloud Run deployment, clearly labeled synthetic facility inputs.</w:t>
      </w:r>
    </w:p>
    <w:p>
      <w:pPr/>
      <w:r>
        <w:rPr>
          <w:b/>
        </w:rPr>
        <w:t xml:space="preserve">Should ship (the fusion layer):</w:t>
      </w:r>
      <w:r>
        <w:t xml:space="preserve"> community ledger with honest “unavailable” states, burden-shifting view, verifier agent over A2A, constraint-aware planner, seasonal what-if, the evals in section 8.</w:t>
      </w:r>
    </w:p>
    <w:p>
      <w:pPr/>
      <w:r>
        <w:rPr>
          <w:b/>
        </w:rPr>
        <w:t xml:space="preserve">Could ship (stretch):</w:t>
      </w:r>
      <w:r>
        <w:t xml:space="preserve"> coverage check on one real public layer pair, hourly grid carbon, community brief in a regional language, Gemma extraction if it passes its gate, BigQuery-to-Cube metrics view.</w:t>
      </w:r>
    </w:p>
    <w:p>
      <w:pPr/>
      <w:r>
        <w:rPr>
          <w:b/>
        </w:rPr>
        <w:t xml:space="preserve">Out of scope:</w:t>
      </w:r>
      <w:r>
        <w:t xml:space="preserve"> real-time control of facility equipment, a certified engineering or validated thermal digital twin, claims that modelled savings are verified savings, lifecycle assessment, live telemetry, and any identification of individuals or households.</w:t>
      </w:r>
    </w:p>
    <w:p>
      <w:pPr/>
      <w:r>
        <w:t xml:space="preserve">Build in that order. If time runs short, cut from the bottom; the Must tier is already a complete demo.</w:t>
      </w:r>
    </w:p>
    <w:p>
      <w:pPr>
        <w:pStyle w:val="Heading2"/>
      </w:pPr>
      <w:r>
        <w:t xml:space="preserve">11. Business model and investor story (hypotheses to validate)</w:t>
      </w:r>
    </w:p>
    <w:p>
      <w:pPr>
        <w:pStyle w:val="ListParagraph"/>
        <w:numPr>
          <w:ilvl w:val="0"/>
          <w:numId w:val="4"/>
        </w:numPr>
      </w:pPr>
      <w:r>
        <w:rPr>
          <w:b/>
        </w:rPr>
        <w:t xml:space="preserve">Primary buyers:</w:t>
      </w:r>
      <w:r>
        <w:t xml:space="preserve"> data-center developers and operators who need to choose a cooling strategy and defend the choice, especially before permitting. Pricing could be per assessment or subscription.</w:t>
      </w:r>
    </w:p>
    <w:p>
      <w:pPr>
        <w:pStyle w:val="ListParagraph"/>
        <w:numPr>
          <w:ilvl w:val="0"/>
          <w:numId w:val="4"/>
        </w:numPr>
      </w:pPr>
      <w:r>
        <w:rPr>
          <w:b/>
        </w:rPr>
        <w:t xml:space="preserve">Secondary buyers:</w:t>
      </w:r>
      <w:r>
        <w:t xml:space="preserve"> consultancies and engineering firms that run these assessments for clients.</w:t>
      </w:r>
    </w:p>
    <w:p>
      <w:pPr>
        <w:pStyle w:val="ListParagraph"/>
        <w:numPr>
          <w:ilvl w:val="0"/>
          <w:numId w:val="4"/>
        </w:numPr>
      </w:pPr>
      <w:r>
        <w:rPr>
          <w:b/>
        </w:rPr>
        <w:t xml:space="preserve">Trust wedge:</w:t>
      </w:r>
      <w:r>
        <w:t xml:space="preserve"> a free or low-cost read-only view of the same assessment for municipalities, utilities and NGOs. Transparency makes the output easier for permitting bodies to accept, which in turn pulls developers toward the tool.</w:t>
      </w:r>
    </w:p>
    <w:p>
      <w:pPr>
        <w:pStyle w:val="ListParagraph"/>
        <w:numPr>
          <w:ilvl w:val="0"/>
          <w:numId w:val="4"/>
        </w:numPr>
      </w:pPr>
      <w:r>
        <w:rPr>
          <w:b/>
        </w:rPr>
        <w:t xml:space="preserve">Why timing may favor it:</w:t>
      </w:r>
      <w:r>
        <w:t xml:space="preserve"> policy attention is rising. Several US states are proposing or debating water-use rules and conditions on data-center permits, and a recent paper recommends water impact assessments as a permit condition. Whether India’s regulatory path will follow is unverified.</w:t>
      </w:r>
    </w:p>
    <w:p>
      <w:pPr>
        <w:pStyle w:val="ListParagraph"/>
        <w:numPr>
          <w:ilvl w:val="0"/>
          <w:numId w:val="4"/>
        </w:numPr>
      </w:pPr>
      <w:r>
        <w:rPr>
          <w:b/>
        </w:rPr>
        <w:t xml:space="preserve">Moat over time:</w:t>
      </w:r>
      <w:r>
        <w:t xml:space="preserve"> a growing corpus of scenario runs with provenance, coefficients calibrated through partnerships that supply real telemetry, and regional data-fusion pipelines. At launch the moat is thin; the generic engine is the weakest part and must be anchored to published sources.</w:t>
      </w:r>
    </w:p>
    <w:p>
      <w:pPr/>
      <w:r>
        <w:t xml:space="preserve">Treat all of this as untested. Five to ten conversations with data-center operators, consultants and municipal water officials would test it faster than more research.</w:t>
      </w:r>
    </w:p>
    <w:p>
      <w:pPr>
        <w:pStyle w:val="Heading2"/>
      </w:pPr>
      <w:r>
        <w:t xml:space="preserve">12. Main risks and mitigations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Generic coefficients create misleading engineering claims</w:t>
            </w:r>
          </w:p>
        </w:tc>
        <w:tc>
          <w:tcPr>
            <w:tcW w:w="4920" w:type="dxa"/>
          </w:tcPr>
          <w:p>
            <w:pPr/>
            <w:r>
              <w:t xml:space="preserve">Use sourced relationships, show ranges and assumptions, never claim a validated twin</w:t>
            </w:r>
          </w:p>
        </w:tc>
      </w:tr>
      <w:tr>
        <w:tc>
          <w:tcPr>
            <w:tcW w:w="4440" w:type="dxa"/>
          </w:tcPr>
          <w:p>
            <w:pPr/>
            <w:r>
              <w:t xml:space="preserve">AI produces unsupported numbers</w:t>
            </w:r>
          </w:p>
        </w:tc>
        <w:tc>
          <w:tcPr>
            <w:tcW w:w="4920" w:type="dxa"/>
          </w:tcPr>
          <w:p>
            <w:pPr/>
            <w:r>
              <w:t xml:space="preserve">Deterministic engine, structured hand-off to Gemini, independent verifier, fidelity tests</w:t>
            </w:r>
          </w:p>
        </w:tc>
      </w:tr>
      <w:tr>
        <w:tc>
          <w:tcPr>
            <w:tcW w:w="4440" w:type="dxa"/>
          </w:tcPr>
          <w:p>
            <w:pPr/>
            <w:r>
              <w:t xml:space="preserve">Regional data mistaken for site-level impact</w:t>
            </w:r>
          </w:p>
        </w:tc>
        <w:tc>
          <w:tcPr>
            <w:tcW w:w="4920" w:type="dxa"/>
          </w:tcPr>
          <w:p>
            <w:pPr/>
            <w:r>
              <w:t xml:space="preserve">Label resolution on every indicator; separate context from measured facility use</w:t>
            </w:r>
          </w:p>
        </w:tc>
      </w:tr>
      <w:tr>
        <w:tc>
          <w:tcPr>
            <w:tcW w:w="4440" w:type="dxa"/>
          </w:tcPr>
          <w:p>
            <w:pPr/>
            <w:r>
              <w:t xml:space="preserve">Coverage check overreaches or implies conclusions about people</w:t>
            </w:r>
          </w:p>
        </w:tc>
        <w:tc>
          <w:tcPr>
            <w:tcW w:w="4920" w:type="dxa"/>
          </w:tcPr>
          <w:p>
            <w:pPr/>
            <w:r>
              <w:t xml:space="preserve">Area-level only, flagged as a data-quality signal, never a finding about individuals</w:t>
            </w:r>
          </w:p>
        </w:tc>
      </w:tr>
      <w:tr>
        <w:tc>
          <w:tcPr>
            <w:tcW w:w="4440" w:type="dxa"/>
          </w:tcPr>
          <w:p>
            <w:pPr/>
            <w:r>
              <w:t xml:space="preserve">Scope too large for the window</w:t>
            </w:r>
          </w:p>
        </w:tc>
        <w:tc>
          <w:tcPr>
            <w:tcW w:w="4920" w:type="dxa"/>
          </w:tcPr>
          <w:p>
            <w:pPr/>
            <w:r>
              <w:t xml:space="preserve">Strict tiering in section 10; cut from the bottom</w:t>
            </w:r>
          </w:p>
        </w:tc>
      </w:tr>
      <w:tr>
        <w:tc>
          <w:tcPr>
            <w:tcW w:w="4440" w:type="dxa"/>
          </w:tcPr>
          <w:p>
            <w:pPr/>
            <w:r>
              <w:t xml:space="preserve">Community data too sparse to be useful in the demo</w:t>
            </w:r>
          </w:p>
        </w:tc>
        <w:tc>
          <w:tcPr>
            <w:tcW w:w="4920" w:type="dxa"/>
          </w:tcPr>
          <w:p>
            <w:pPr/>
            <w:r>
              <w:t xml:space="preserve">Show sparse data honestly as unavailable and low-confidence; that behavior is itself part of the demo</w:t>
            </w:r>
          </w:p>
        </w:tc>
      </w:tr>
      <w:tr>
        <w:tc>
          <w:tcPr>
            <w:tcW w:w="4440" w:type="dxa"/>
          </w:tcPr>
          <w:p>
            <w:pPr/>
            <w:r>
              <w:t xml:space="preserve">Too many technologies make the build look decorative</w:t>
            </w:r>
          </w:p>
        </w:tc>
        <w:tc>
          <w:tcPr>
            <w:tcW w:w="4920" w:type="dxa"/>
          </w:tcPr>
          <w:p>
            <w:pPr/>
            <w:r>
              <w:t xml:space="preserve">Each component has a stated job; Gemma is gated; Cube is deferred</w:t>
            </w:r>
          </w:p>
        </w:tc>
      </w:tr>
    </w:tbl>
    <w:p>
      <w:pPr>
        <w:pStyle w:val="Heading2"/>
      </w:pPr>
      <w:r>
        <w:t xml:space="preserve">13. Verify before building</w:t>
      </w:r>
    </w:p>
    <w:p>
      <w:pPr>
        <w:pStyle w:val="ListParagraph"/>
        <w:numPr>
          <w:ilvl w:val="0"/>
          <w:numId w:val="5"/>
        </w:numPr>
      </w:pPr>
      <w:r>
        <w:t xml:space="preserve">Confirm eligibility with the organizers (the site states this edition is for working professionals; students are not eligible) and confirm the submission deadline and required deliverables.</w:t>
      </w:r>
    </w:p>
    <w:p>
      <w:pPr>
        <w:pStyle w:val="ListParagraph"/>
        <w:numPr>
          <w:ilvl w:val="0"/>
          <w:numId w:val="5"/>
        </w:numPr>
      </w:pPr>
      <w:r>
        <w:t xml:space="preserve">Confirm current Gemini and Gemma model IDs, quotas and fine-tuning availability on Vertex AI.</w:t>
      </w:r>
    </w:p>
    <w:p>
      <w:pPr>
        <w:pStyle w:val="ListParagraph"/>
        <w:numPr>
          <w:ilvl w:val="0"/>
          <w:numId w:val="5"/>
        </w:numPr>
      </w:pPr>
      <w:r>
        <w:t xml:space="preserve">Confirm which datasets are actually accessible and licensed for use: water stress (WRI Aqueduct), weather, India grid emission factors, outage or reliability data, and any open settlement layers. Pick the community-ledger indicators only after this check.</w:t>
      </w:r>
    </w:p>
    <w:p>
      <w:pPr>
        <w:pStyle w:val="ListParagraph"/>
        <w:numPr>
          <w:ilvl w:val="0"/>
          <w:numId w:val="5"/>
        </w:numPr>
      </w:pPr>
      <w:r>
        <w:t xml:space="preserve">Run a deeper prior-art pass on integrated cooling-plus-community tools, including products launched in the last few months.</w:t>
      </w:r>
    </w:p>
    <w:p>
      <w:pPr>
        <w:pStyle w:val="ListParagraph"/>
        <w:numPr>
          <w:ilvl w:val="0"/>
          <w:numId w:val="5"/>
        </w:numPr>
      </w:pPr>
      <w:r>
        <w:t xml:space="preserve">Locate published relationships for the cooling profiles (for example the Karimi et al. hot-arid case study) and decide which two profiles the engine can support credibly.</w:t>
      </w:r>
    </w:p>
    <w:p>
      <w:pPr>
        <w:pStyle w:val="Heading2"/>
      </w:pPr>
      <w:r>
        <w:t xml:space="preserve">14. Demo narrative</w:t>
      </w:r>
    </w:p>
    <w:p>
      <w:pPr>
        <w:pStyle w:val="ListParagraph"/>
        <w:numPr>
          <w:ilvl w:val="0"/>
          <w:numId w:val="6"/>
        </w:numPr>
      </w:pPr>
      <w:r>
        <w:t xml:space="preserve">Open with the gap: PUE alone cannot show who bears the cost of a cooling choice.</w:t>
      </w:r>
    </w:p>
    <w:p>
      <w:pPr>
        <w:pStyle w:val="ListParagraph"/>
        <w:numPr>
          <w:ilvl w:val="0"/>
          <w:numId w:val="6"/>
        </w:numPr>
      </w:pPr>
      <w:r>
        <w:t xml:space="preserve">Describe a Bengaluru scenario in plain language with clearly labeled illustrative facility inputs.</w:t>
      </w:r>
    </w:p>
    <w:p>
      <w:pPr>
        <w:pStyle w:val="ListParagraph"/>
        <w:numPr>
          <w:ilvl w:val="0"/>
          <w:numId w:val="6"/>
        </w:numPr>
      </w:pPr>
      <w:r>
        <w:t xml:space="preserve">Compare two cooling profiles: show the facility ledger, then the community ledger and the burden-shifting view.</w:t>
      </w:r>
    </w:p>
    <w:p>
      <w:pPr>
        <w:pStyle w:val="ListParagraph"/>
        <w:numPr>
          <w:ilvl w:val="0"/>
          <w:numId w:val="6"/>
        </w:numPr>
      </w:pPr>
      <w:r>
        <w:t xml:space="preserve">Ask Gemini why the water-saving profile strains the grid; show the verifier confirming every number.</w:t>
      </w:r>
    </w:p>
    <w:p>
      <w:pPr>
        <w:pStyle w:val="ListParagraph"/>
        <w:numPr>
          <w:ilvl w:val="0"/>
          <w:numId w:val="6"/>
        </w:numPr>
      </w:pPr>
      <w:r>
        <w:t xml:space="preserve">Set community limits and run the planner. Show it refusing when nothing is feasible and showing the nearest trade-off.</w:t>
      </w:r>
    </w:p>
    <w:p>
      <w:pPr>
        <w:pStyle w:val="ListParagraph"/>
        <w:numPr>
          <w:ilvl w:val="0"/>
          <w:numId w:val="6"/>
        </w:numPr>
      </w:pPr>
      <w:r>
        <w:t xml:space="preserve">Flip the season or the grid scenario and show the recommendation changing.</w:t>
      </w:r>
    </w:p>
    <w:p>
      <w:pPr>
        <w:pStyle w:val="ListParagraph"/>
        <w:numPr>
          <w:ilvl w:val="0"/>
          <w:numId w:val="6"/>
        </w:numPr>
      </w:pPr>
      <w:r>
        <w:t xml:space="preserve">Open the coverage panel: show an indicator marked low-confidence and the data a local body would need to collect.</w:t>
      </w:r>
    </w:p>
    <w:p>
      <w:pPr>
        <w:pStyle w:val="ListParagraph"/>
        <w:numPr>
          <w:ilvl w:val="0"/>
          <w:numId w:val="6"/>
        </w:numPr>
      </w:pPr>
      <w:r>
        <w:t xml:space="preserve">Close with sources, limitations and the engineering review required before any real deployment.</w:t>
      </w:r>
    </w:p>
    <w:p>
      <w:pPr>
        <w:pStyle w:val="Heading2"/>
      </w:pPr>
      <w:r>
        <w:t xml:space="preserve">References</w:t>
      </w:r>
    </w:p>
    <w:p>
      <w:pPr>
        <w:pStyle w:val="ListParagraph"/>
        <w:numPr>
          <w:ilvl w:val="0"/>
          <w:numId w:val="7"/>
        </w:numPr>
      </w:pPr>
      <w:r>
        <w:t xml:space="preserve">International Energy Agency, Energy and AI: https://www.iea.org/reports/energy-and-ai/energy-demand-from-ai</w:t>
      </w:r>
    </w:p>
    <w:p>
      <w:pPr>
        <w:pStyle w:val="ListParagraph"/>
        <w:numPr>
          <w:ilvl w:val="0"/>
          <w:numId w:val="7"/>
        </w:numPr>
      </w:pPr>
      <w:r>
        <w:t xml:space="preserve">WRI India, More Than Half of India’s Data Centres Are in Water-Stressed Regions (18 May 2026): https://wri-india.org/data/more-half-indias-data-centres-are-water-stressed-regions</w:t>
      </w:r>
    </w:p>
    <w:p>
      <w:pPr>
        <w:pStyle w:val="ListParagraph"/>
        <w:numPr>
          <w:ilvl w:val="0"/>
          <w:numId w:val="7"/>
        </w:numPr>
      </w:pPr>
      <w:r>
        <w:t xml:space="preserve">Karimi et al., Water-energy tradeoffs in data centers: a case study in hot-arid climates, Resources, Conservation &amp; Recycling (2022): https://doi.org/10.1016/j.resconrec.2022.106194</w:t>
      </w:r>
    </w:p>
    <w:p>
      <w:pPr>
        <w:pStyle w:val="ListParagraph"/>
        <w:numPr>
          <w:ilvl w:val="0"/>
          <w:numId w:val="7"/>
        </w:numPr>
      </w:pPr>
      <w:r>
        <w:t xml:space="preserve">RAND, Data Center Suitability Mapper for Community Planners (2026): https://www.rand.org/pubs/tools/TLA4617-1/tool.html</w:t>
      </w:r>
    </w:p>
    <w:p>
      <w:pPr>
        <w:pStyle w:val="ListParagraph"/>
        <w:numPr>
          <w:ilvl w:val="0"/>
          <w:numId w:val="7"/>
        </w:numPr>
      </w:pPr>
      <w:r>
        <w:t xml:space="preserve">Next10, Data Centers, Water Use and Community Vulnerability in California (2026): https://www.next10.org/sites/default/files/2026-05/Data-Centers-Water-Use-Report.pdf</w:t>
      </w:r>
    </w:p>
    <w:p>
      <w:pPr>
        <w:pStyle w:val="ListParagraph"/>
        <w:numPr>
          <w:ilvl w:val="0"/>
          <w:numId w:val="7"/>
        </w:numPr>
      </w:pPr>
      <w:r>
        <w:t xml:space="preserve">AI Data Centers and the Water Use Feedback Loop (arXiv, 2026): https://arxiv.org/html/2606.21760v1</w:t>
      </w:r>
    </w:p>
    <w:p>
      <w:pPr>
        <w:pStyle w:val="ListParagraph"/>
        <w:numPr>
          <w:ilvl w:val="0"/>
          <w:numId w:val="7"/>
        </w:numPr>
      </w:pPr>
      <w:r>
        <w:t xml:space="preserve">Optimizing place-based data infrastructure siting (PMC): https://pmc.ncbi.nlm.nih.gov/articles/PMC13251721/</w:t>
      </w:r>
    </w:p>
    <w:p>
      <w:pPr>
        <w:pStyle w:val="ListParagraph"/>
        <w:numPr>
          <w:ilvl w:val="0"/>
          <w:numId w:val="7"/>
        </w:numPr>
      </w:pPr>
      <w:r>
        <w:t xml:space="preserve">Climate XChange, State Policy Toolkits for Data Center Regulation, Water Impacts: https://climate-xchange.org/resources-for-regulating-data-centers/water-impacts/</w:t>
      </w:r>
    </w:p>
    <w:p>
      <w:pPr>
        <w:pStyle w:val="ListParagraph"/>
        <w:numPr>
          <w:ilvl w:val="0"/>
          <w:numId w:val="7"/>
        </w:numPr>
      </w:pPr>
      <w:r>
        <w:t xml:space="preserve">Energize Capital, Software in Data Center Operations &amp; Maintenance (CoolGradient, FLUIX AI): https://energizecap.com/insights/tackling-data-center-efficiency-software-in-operations-maintenance</w:t>
      </w:r>
    </w:p>
    <w:p>
      <w:pPr>
        <w:pStyle w:val="ListParagraph"/>
        <w:numPr>
          <w:ilvl w:val="0"/>
          <w:numId w:val="7"/>
        </w:numPr>
      </w:pPr>
      <w:r>
        <w:t xml:space="preserve">Google Cloud documentation: BigQuery, Cloud Run, Vertex AI generative AI, Agent Development Kit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AquaCarbon DC — Commons Edition (v2)</dc:title>
  <dc:description>Claude Docs node/8abf1aff-aef5@1 docx-w7</dc:description>
  <cp:revision>1</cp:revision>
</cp:coreProperties>
</file>