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0D3F2" w14:textId="77777777" w:rsidR="00037BFA" w:rsidRPr="009F19EF" w:rsidRDefault="00037BFA">
      <w:pPr>
        <w:rPr>
          <w:rFonts w:ascii="Times New Roman" w:hAnsi="Times New Roman" w:cs="Times New Roman"/>
        </w:rPr>
      </w:pPr>
    </w:p>
    <w:p w14:paraId="59DFB145" w14:textId="77777777" w:rsidR="00037BFA" w:rsidRPr="009F19EF" w:rsidRDefault="00037BFA">
      <w:pPr>
        <w:rPr>
          <w:rFonts w:ascii="Times New Roman" w:hAnsi="Times New Roman" w:cs="Times New Roman"/>
        </w:rPr>
      </w:pPr>
    </w:p>
    <w:p w14:paraId="75A09368" w14:textId="77777777" w:rsidR="00037BFA" w:rsidRPr="009F19EF" w:rsidRDefault="00037BFA">
      <w:pPr>
        <w:rPr>
          <w:rFonts w:ascii="Times New Roman" w:hAnsi="Times New Roman" w:cs="Times New Roman"/>
        </w:rPr>
      </w:pPr>
    </w:p>
    <w:p w14:paraId="1784E6D5" w14:textId="77777777" w:rsidR="006650D6" w:rsidRDefault="006650D6">
      <w:pPr>
        <w:spacing w:after="400"/>
        <w:jc w:val="center"/>
        <w:rPr>
          <w:rFonts w:ascii="Times New Roman" w:hAnsi="Times New Roman" w:cs="Times New Roman"/>
          <w:b/>
          <w:bCs/>
          <w:sz w:val="32"/>
          <w:szCs w:val="32"/>
        </w:rPr>
      </w:pPr>
      <w:r w:rsidRPr="006650D6">
        <w:rPr>
          <w:rFonts w:ascii="Times New Roman" w:hAnsi="Times New Roman" w:cs="Times New Roman"/>
          <w:b/>
          <w:bCs/>
          <w:sz w:val="32"/>
          <w:szCs w:val="32"/>
        </w:rPr>
        <w:t>Reducing Stockouts and Order Hold Losses through Sales Analysis for a Fashion Jewellery Retailer</w:t>
      </w:r>
    </w:p>
    <w:p w14:paraId="5D75BB32" w14:textId="4320C905" w:rsidR="00037BFA" w:rsidRPr="009F19EF" w:rsidRDefault="00000000">
      <w:pPr>
        <w:spacing w:after="400"/>
        <w:jc w:val="center"/>
        <w:rPr>
          <w:rFonts w:ascii="Times New Roman" w:hAnsi="Times New Roman" w:cs="Times New Roman"/>
        </w:rPr>
      </w:pPr>
      <w:r w:rsidRPr="009F19EF">
        <w:rPr>
          <w:rFonts w:ascii="Times New Roman" w:hAnsi="Times New Roman" w:cs="Times New Roman"/>
          <w:b/>
          <w:bCs/>
          <w:sz w:val="24"/>
          <w:szCs w:val="24"/>
        </w:rPr>
        <w:t>A</w:t>
      </w:r>
      <w:r w:rsidR="001456C9">
        <w:rPr>
          <w:rFonts w:ascii="Times New Roman" w:hAnsi="Times New Roman" w:cs="Times New Roman"/>
          <w:b/>
          <w:bCs/>
          <w:sz w:val="24"/>
          <w:szCs w:val="24"/>
        </w:rPr>
        <w:t xml:space="preserve"> </w:t>
      </w:r>
      <w:r w:rsidR="004E7617">
        <w:rPr>
          <w:rFonts w:ascii="Times New Roman" w:hAnsi="Times New Roman" w:cs="Times New Roman"/>
          <w:b/>
          <w:bCs/>
          <w:sz w:val="24"/>
          <w:szCs w:val="24"/>
        </w:rPr>
        <w:t>Final</w:t>
      </w:r>
      <w:r w:rsidR="001456C9">
        <w:rPr>
          <w:rFonts w:ascii="Times New Roman" w:hAnsi="Times New Roman" w:cs="Times New Roman"/>
          <w:b/>
          <w:bCs/>
          <w:sz w:val="24"/>
          <w:szCs w:val="24"/>
        </w:rPr>
        <w:t xml:space="preserve"> Submission</w:t>
      </w:r>
      <w:r w:rsidRPr="009F19EF">
        <w:rPr>
          <w:rFonts w:ascii="Times New Roman" w:hAnsi="Times New Roman" w:cs="Times New Roman"/>
          <w:b/>
          <w:bCs/>
          <w:sz w:val="24"/>
          <w:szCs w:val="24"/>
        </w:rPr>
        <w:t xml:space="preserve"> </w:t>
      </w:r>
      <w:r w:rsidR="001456C9">
        <w:rPr>
          <w:rFonts w:ascii="Times New Roman" w:hAnsi="Times New Roman" w:cs="Times New Roman"/>
          <w:b/>
          <w:bCs/>
          <w:sz w:val="24"/>
          <w:szCs w:val="24"/>
        </w:rPr>
        <w:t>R</w:t>
      </w:r>
      <w:r w:rsidRPr="009F19EF">
        <w:rPr>
          <w:rFonts w:ascii="Times New Roman" w:hAnsi="Times New Roman" w:cs="Times New Roman"/>
          <w:b/>
          <w:bCs/>
          <w:sz w:val="24"/>
          <w:szCs w:val="24"/>
        </w:rPr>
        <w:t xml:space="preserve">eport for the BDM </w:t>
      </w:r>
      <w:r w:rsidR="00823745">
        <w:rPr>
          <w:rFonts w:ascii="Times New Roman" w:hAnsi="Times New Roman" w:cs="Times New Roman"/>
          <w:b/>
          <w:bCs/>
          <w:sz w:val="24"/>
          <w:szCs w:val="24"/>
        </w:rPr>
        <w:t>C</w:t>
      </w:r>
      <w:r w:rsidRPr="009F19EF">
        <w:rPr>
          <w:rFonts w:ascii="Times New Roman" w:hAnsi="Times New Roman" w:cs="Times New Roman"/>
          <w:b/>
          <w:bCs/>
          <w:sz w:val="24"/>
          <w:szCs w:val="24"/>
        </w:rPr>
        <w:t>apstone Project</w:t>
      </w:r>
    </w:p>
    <w:p w14:paraId="089B4DE6" w14:textId="77777777" w:rsidR="00037BFA" w:rsidRPr="009F19EF" w:rsidRDefault="00000000">
      <w:pPr>
        <w:spacing w:after="400"/>
        <w:jc w:val="center"/>
        <w:rPr>
          <w:rFonts w:ascii="Times New Roman" w:hAnsi="Times New Roman" w:cs="Times New Roman"/>
        </w:rPr>
      </w:pPr>
      <w:r w:rsidRPr="009F19EF">
        <w:rPr>
          <w:rFonts w:ascii="Times New Roman" w:hAnsi="Times New Roman" w:cs="Times New Roman"/>
        </w:rPr>
        <w:t>Submitted by</w:t>
      </w:r>
    </w:p>
    <w:p w14:paraId="49083723" w14:textId="77777777" w:rsidR="00037BFA" w:rsidRPr="009F19EF" w:rsidRDefault="00000000">
      <w:pPr>
        <w:spacing w:after="120"/>
        <w:jc w:val="center"/>
        <w:rPr>
          <w:rFonts w:ascii="Times New Roman" w:hAnsi="Times New Roman" w:cs="Times New Roman"/>
        </w:rPr>
      </w:pPr>
      <w:r w:rsidRPr="009F19EF">
        <w:rPr>
          <w:rFonts w:ascii="Times New Roman" w:hAnsi="Times New Roman" w:cs="Times New Roman"/>
        </w:rPr>
        <w:t>Name: Ritoma Nandi</w:t>
      </w:r>
    </w:p>
    <w:p w14:paraId="5B381799"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rPr>
        <w:t>Roll number: 23f3001843</w:t>
      </w:r>
    </w:p>
    <w:p w14:paraId="11EE3947" w14:textId="77777777" w:rsidR="00037BFA" w:rsidRPr="009F19EF" w:rsidRDefault="00000000">
      <w:pPr>
        <w:spacing w:after="600"/>
        <w:jc w:val="center"/>
        <w:rPr>
          <w:rFonts w:ascii="Times New Roman" w:hAnsi="Times New Roman" w:cs="Times New Roman"/>
        </w:rPr>
      </w:pPr>
      <w:r w:rsidRPr="009F19EF">
        <w:rPr>
          <w:rFonts w:ascii="Times New Roman" w:hAnsi="Times New Roman" w:cs="Times New Roman"/>
          <w:noProof/>
        </w:rPr>
        <w:drawing>
          <wp:inline distT="0" distB="0" distL="0" distR="0" wp14:anchorId="645C7F37" wp14:editId="4B8945D5">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1905000"/>
                    </a:xfrm>
                    <a:prstGeom prst="rect">
                      <a:avLst/>
                    </a:prstGeom>
                  </pic:spPr>
                </pic:pic>
              </a:graphicData>
            </a:graphic>
          </wp:inline>
        </w:drawing>
      </w:r>
    </w:p>
    <w:p w14:paraId="7B181375" w14:textId="77777777" w:rsidR="00037BFA" w:rsidRPr="009F19EF" w:rsidRDefault="00037BFA">
      <w:pPr>
        <w:rPr>
          <w:rFonts w:ascii="Times New Roman" w:hAnsi="Times New Roman" w:cs="Times New Roman"/>
        </w:rPr>
      </w:pPr>
    </w:p>
    <w:p w14:paraId="65AF7852" w14:textId="77777777" w:rsidR="00037BFA" w:rsidRPr="009F19EF" w:rsidRDefault="00037BFA">
      <w:pPr>
        <w:rPr>
          <w:rFonts w:ascii="Times New Roman" w:hAnsi="Times New Roman" w:cs="Times New Roman"/>
        </w:rPr>
      </w:pPr>
    </w:p>
    <w:p w14:paraId="17A7D5B5" w14:textId="77777777" w:rsidR="00037BFA" w:rsidRPr="009F19EF" w:rsidRDefault="00037BFA">
      <w:pPr>
        <w:rPr>
          <w:rFonts w:ascii="Times New Roman" w:hAnsi="Times New Roman" w:cs="Times New Roman"/>
        </w:rPr>
      </w:pPr>
    </w:p>
    <w:p w14:paraId="1CBE3428" w14:textId="17FC5924" w:rsidR="00037BFA" w:rsidRPr="009F19EF" w:rsidRDefault="00000000">
      <w:pPr>
        <w:jc w:val="center"/>
        <w:rPr>
          <w:rFonts w:ascii="Times New Roman" w:hAnsi="Times New Roman" w:cs="Times New Roman"/>
        </w:rPr>
      </w:pPr>
      <w:r w:rsidRPr="009F19EF">
        <w:rPr>
          <w:rFonts w:ascii="Times New Roman" w:hAnsi="Times New Roman" w:cs="Times New Roman"/>
        </w:rPr>
        <w:t>IITM Online BS Degree Program</w:t>
      </w:r>
      <w:r w:rsidR="00823745">
        <w:rPr>
          <w:rFonts w:ascii="Times New Roman" w:hAnsi="Times New Roman" w:cs="Times New Roman"/>
        </w:rPr>
        <w:t>me</w:t>
      </w:r>
      <w:r w:rsidRPr="009F19EF">
        <w:rPr>
          <w:rFonts w:ascii="Times New Roman" w:hAnsi="Times New Roman" w:cs="Times New Roman"/>
        </w:rPr>
        <w:t>,</w:t>
      </w:r>
    </w:p>
    <w:p w14:paraId="47E3AD3C"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Indian Institute of Technology, Madras, Chennai</w:t>
      </w:r>
    </w:p>
    <w:p w14:paraId="0479B450" w14:textId="77777777" w:rsidR="00037BFA" w:rsidRPr="009F19EF" w:rsidRDefault="00000000">
      <w:pPr>
        <w:jc w:val="center"/>
        <w:rPr>
          <w:rFonts w:ascii="Times New Roman" w:hAnsi="Times New Roman" w:cs="Times New Roman"/>
        </w:rPr>
      </w:pPr>
      <w:r w:rsidRPr="009F19EF">
        <w:rPr>
          <w:rFonts w:ascii="Times New Roman" w:hAnsi="Times New Roman" w:cs="Times New Roman"/>
        </w:rPr>
        <w:t>Tamil Nadu, India, 600036</w:t>
      </w:r>
    </w:p>
    <w:p w14:paraId="4C07088D" w14:textId="4C6A7DA3" w:rsidR="00037BFA" w:rsidRPr="009F19EF" w:rsidRDefault="00000000">
      <w:pPr>
        <w:rPr>
          <w:rFonts w:ascii="Times New Roman" w:hAnsi="Times New Roman" w:cs="Times New Roman"/>
        </w:rPr>
      </w:pPr>
      <w:r w:rsidRPr="009F19EF">
        <w:rPr>
          <w:rFonts w:ascii="Times New Roman" w:hAnsi="Times New Roman" w:cs="Times New Roman"/>
        </w:rPr>
        <w:br w:type="page"/>
      </w:r>
    </w:p>
    <w:bookmarkStart w:id="0" w:name="_Toc233020324" w:displacedByCustomXml="next"/>
    <w:sdt>
      <w:sdtPr>
        <w:rPr>
          <w:rFonts w:ascii="Calibri" w:eastAsia="Calibri" w:hAnsi="Calibri" w:cs="Calibri"/>
          <w:color w:val="auto"/>
          <w:sz w:val="22"/>
          <w:szCs w:val="22"/>
          <w:lang w:val="en-IN" w:eastAsia="en-IN"/>
        </w:rPr>
        <w:id w:val="215782377"/>
        <w:docPartObj>
          <w:docPartGallery w:val="Table of Contents"/>
          <w:docPartUnique/>
        </w:docPartObj>
      </w:sdtPr>
      <w:sdtEndPr>
        <w:rPr>
          <w:b/>
          <w:bCs/>
          <w:noProof/>
        </w:rPr>
      </w:sdtEndPr>
      <w:sdtContent>
        <w:p w14:paraId="01FD7D7A" w14:textId="00959B29" w:rsidR="00E74679" w:rsidRPr="00E74679" w:rsidRDefault="00E74679">
          <w:pPr>
            <w:pStyle w:val="TOCHeading"/>
            <w:rPr>
              <w:rFonts w:ascii="Times New Roman" w:hAnsi="Times New Roman" w:cs="Times New Roman"/>
            </w:rPr>
          </w:pPr>
          <w:r w:rsidRPr="00E74679">
            <w:rPr>
              <w:rFonts w:ascii="Times New Roman" w:hAnsi="Times New Roman" w:cs="Times New Roman"/>
            </w:rPr>
            <w:t>Contents</w:t>
          </w:r>
        </w:p>
        <w:p w14:paraId="470C5C19" w14:textId="718ED735" w:rsidR="00B116C0" w:rsidRDefault="00E7467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340207" w:history="1">
            <w:r w:rsidR="00B116C0" w:rsidRPr="000B7070">
              <w:rPr>
                <w:rStyle w:val="Hyperlink"/>
                <w:rFonts w:ascii="Times New Roman" w:hAnsi="Times New Roman" w:cs="Times New Roman"/>
                <w:noProof/>
              </w:rPr>
              <w:t>1   Executive Summary</w:t>
            </w:r>
            <w:r w:rsidR="00B116C0">
              <w:rPr>
                <w:noProof/>
                <w:webHidden/>
              </w:rPr>
              <w:tab/>
            </w:r>
            <w:r w:rsidR="00B116C0">
              <w:rPr>
                <w:noProof/>
                <w:webHidden/>
              </w:rPr>
              <w:fldChar w:fldCharType="begin"/>
            </w:r>
            <w:r w:rsidR="00B116C0">
              <w:rPr>
                <w:noProof/>
                <w:webHidden/>
              </w:rPr>
              <w:instrText xml:space="preserve"> PAGEREF _Toc236340207 \h </w:instrText>
            </w:r>
            <w:r w:rsidR="00B116C0">
              <w:rPr>
                <w:noProof/>
                <w:webHidden/>
              </w:rPr>
            </w:r>
            <w:r w:rsidR="00B116C0">
              <w:rPr>
                <w:noProof/>
                <w:webHidden/>
              </w:rPr>
              <w:fldChar w:fldCharType="separate"/>
            </w:r>
            <w:r w:rsidR="00B116C0">
              <w:rPr>
                <w:noProof/>
                <w:webHidden/>
              </w:rPr>
              <w:t>2</w:t>
            </w:r>
            <w:r w:rsidR="00B116C0">
              <w:rPr>
                <w:noProof/>
                <w:webHidden/>
              </w:rPr>
              <w:fldChar w:fldCharType="end"/>
            </w:r>
          </w:hyperlink>
        </w:p>
        <w:p w14:paraId="40360033" w14:textId="117657E1" w:rsidR="00B116C0" w:rsidRDefault="00B116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340208" w:history="1">
            <w:r w:rsidRPr="000B7070">
              <w:rPr>
                <w:rStyle w:val="Hyperlink"/>
                <w:rFonts w:ascii="Times New Roman" w:hAnsi="Times New Roman" w:cs="Times New Roman"/>
                <w:noProof/>
              </w:rPr>
              <w:t>2   Detailed Explanation of Analysis Process/Method</w:t>
            </w:r>
            <w:r>
              <w:rPr>
                <w:noProof/>
                <w:webHidden/>
              </w:rPr>
              <w:tab/>
            </w:r>
            <w:r>
              <w:rPr>
                <w:noProof/>
                <w:webHidden/>
              </w:rPr>
              <w:fldChar w:fldCharType="begin"/>
            </w:r>
            <w:r>
              <w:rPr>
                <w:noProof/>
                <w:webHidden/>
              </w:rPr>
              <w:instrText xml:space="preserve"> PAGEREF _Toc236340208 \h </w:instrText>
            </w:r>
            <w:r>
              <w:rPr>
                <w:noProof/>
                <w:webHidden/>
              </w:rPr>
            </w:r>
            <w:r>
              <w:rPr>
                <w:noProof/>
                <w:webHidden/>
              </w:rPr>
              <w:fldChar w:fldCharType="separate"/>
            </w:r>
            <w:r>
              <w:rPr>
                <w:noProof/>
                <w:webHidden/>
              </w:rPr>
              <w:t>2</w:t>
            </w:r>
            <w:r>
              <w:rPr>
                <w:noProof/>
                <w:webHidden/>
              </w:rPr>
              <w:fldChar w:fldCharType="end"/>
            </w:r>
          </w:hyperlink>
        </w:p>
        <w:p w14:paraId="72B28B8D" w14:textId="5C8BD70E"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09" w:history="1">
            <w:r w:rsidRPr="000B7070">
              <w:rPr>
                <w:rStyle w:val="Hyperlink"/>
                <w:rFonts w:ascii="Times New Roman" w:hAnsi="Times New Roman" w:cs="Times New Roman"/>
                <w:noProof/>
              </w:rPr>
              <w:t>2.1 Data Collection</w:t>
            </w:r>
            <w:r>
              <w:rPr>
                <w:noProof/>
                <w:webHidden/>
              </w:rPr>
              <w:tab/>
            </w:r>
            <w:r>
              <w:rPr>
                <w:noProof/>
                <w:webHidden/>
              </w:rPr>
              <w:fldChar w:fldCharType="begin"/>
            </w:r>
            <w:r>
              <w:rPr>
                <w:noProof/>
                <w:webHidden/>
              </w:rPr>
              <w:instrText xml:space="preserve"> PAGEREF _Toc236340209 \h </w:instrText>
            </w:r>
            <w:r>
              <w:rPr>
                <w:noProof/>
                <w:webHidden/>
              </w:rPr>
            </w:r>
            <w:r>
              <w:rPr>
                <w:noProof/>
                <w:webHidden/>
              </w:rPr>
              <w:fldChar w:fldCharType="separate"/>
            </w:r>
            <w:r>
              <w:rPr>
                <w:noProof/>
                <w:webHidden/>
              </w:rPr>
              <w:t>2</w:t>
            </w:r>
            <w:r>
              <w:rPr>
                <w:noProof/>
                <w:webHidden/>
              </w:rPr>
              <w:fldChar w:fldCharType="end"/>
            </w:r>
          </w:hyperlink>
        </w:p>
        <w:p w14:paraId="46A0970F" w14:textId="7AFF4D03"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10" w:history="1">
            <w:r w:rsidRPr="000B7070">
              <w:rPr>
                <w:rStyle w:val="Hyperlink"/>
                <w:rFonts w:ascii="Times New Roman" w:hAnsi="Times New Roman" w:cs="Times New Roman"/>
                <w:noProof/>
              </w:rPr>
              <w:t>2.2 Data Cleaning</w:t>
            </w:r>
            <w:r>
              <w:rPr>
                <w:noProof/>
                <w:webHidden/>
              </w:rPr>
              <w:tab/>
            </w:r>
            <w:r>
              <w:rPr>
                <w:noProof/>
                <w:webHidden/>
              </w:rPr>
              <w:fldChar w:fldCharType="begin"/>
            </w:r>
            <w:r>
              <w:rPr>
                <w:noProof/>
                <w:webHidden/>
              </w:rPr>
              <w:instrText xml:space="preserve"> PAGEREF _Toc236340210 \h </w:instrText>
            </w:r>
            <w:r>
              <w:rPr>
                <w:noProof/>
                <w:webHidden/>
              </w:rPr>
            </w:r>
            <w:r>
              <w:rPr>
                <w:noProof/>
                <w:webHidden/>
              </w:rPr>
              <w:fldChar w:fldCharType="separate"/>
            </w:r>
            <w:r>
              <w:rPr>
                <w:noProof/>
                <w:webHidden/>
              </w:rPr>
              <w:t>2</w:t>
            </w:r>
            <w:r>
              <w:rPr>
                <w:noProof/>
                <w:webHidden/>
              </w:rPr>
              <w:fldChar w:fldCharType="end"/>
            </w:r>
          </w:hyperlink>
        </w:p>
        <w:p w14:paraId="19CFF796" w14:textId="6F144E18"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11" w:history="1">
            <w:r w:rsidRPr="000B7070">
              <w:rPr>
                <w:rStyle w:val="Hyperlink"/>
                <w:rFonts w:ascii="Times New Roman" w:hAnsi="Times New Roman" w:cs="Times New Roman"/>
                <w:noProof/>
              </w:rPr>
              <w:t>2.3 Method for Objective 1: Sales &amp; Inventory Performance</w:t>
            </w:r>
            <w:r>
              <w:rPr>
                <w:noProof/>
                <w:webHidden/>
              </w:rPr>
              <w:tab/>
            </w:r>
            <w:r>
              <w:rPr>
                <w:noProof/>
                <w:webHidden/>
              </w:rPr>
              <w:fldChar w:fldCharType="begin"/>
            </w:r>
            <w:r>
              <w:rPr>
                <w:noProof/>
                <w:webHidden/>
              </w:rPr>
              <w:instrText xml:space="preserve"> PAGEREF _Toc236340211 \h </w:instrText>
            </w:r>
            <w:r>
              <w:rPr>
                <w:noProof/>
                <w:webHidden/>
              </w:rPr>
            </w:r>
            <w:r>
              <w:rPr>
                <w:noProof/>
                <w:webHidden/>
              </w:rPr>
              <w:fldChar w:fldCharType="separate"/>
            </w:r>
            <w:r>
              <w:rPr>
                <w:noProof/>
                <w:webHidden/>
              </w:rPr>
              <w:t>3</w:t>
            </w:r>
            <w:r>
              <w:rPr>
                <w:noProof/>
                <w:webHidden/>
              </w:rPr>
              <w:fldChar w:fldCharType="end"/>
            </w:r>
          </w:hyperlink>
        </w:p>
        <w:p w14:paraId="5A5A06DD" w14:textId="4BDBD63D"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12" w:history="1">
            <w:r w:rsidRPr="000B7070">
              <w:rPr>
                <w:rStyle w:val="Hyperlink"/>
                <w:rFonts w:ascii="Times New Roman" w:hAnsi="Times New Roman" w:cs="Times New Roman"/>
                <w:noProof/>
              </w:rPr>
              <w:t>2.4 Method for Objective 2: Unconfirmed Order Hold Management</w:t>
            </w:r>
            <w:r>
              <w:rPr>
                <w:noProof/>
                <w:webHidden/>
              </w:rPr>
              <w:tab/>
            </w:r>
            <w:r>
              <w:rPr>
                <w:noProof/>
                <w:webHidden/>
              </w:rPr>
              <w:fldChar w:fldCharType="begin"/>
            </w:r>
            <w:r>
              <w:rPr>
                <w:noProof/>
                <w:webHidden/>
              </w:rPr>
              <w:instrText xml:space="preserve"> PAGEREF _Toc236340212 \h </w:instrText>
            </w:r>
            <w:r>
              <w:rPr>
                <w:noProof/>
                <w:webHidden/>
              </w:rPr>
            </w:r>
            <w:r>
              <w:rPr>
                <w:noProof/>
                <w:webHidden/>
              </w:rPr>
              <w:fldChar w:fldCharType="separate"/>
            </w:r>
            <w:r>
              <w:rPr>
                <w:noProof/>
                <w:webHidden/>
              </w:rPr>
              <w:t>4</w:t>
            </w:r>
            <w:r>
              <w:rPr>
                <w:noProof/>
                <w:webHidden/>
              </w:rPr>
              <w:fldChar w:fldCharType="end"/>
            </w:r>
          </w:hyperlink>
        </w:p>
        <w:p w14:paraId="4AC6302A" w14:textId="3D8D8FB5" w:rsidR="00B116C0" w:rsidRDefault="00B116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340213" w:history="1">
            <w:r w:rsidRPr="000B7070">
              <w:rPr>
                <w:rStyle w:val="Hyperlink"/>
                <w:rFonts w:ascii="Times New Roman" w:hAnsi="Times New Roman" w:cs="Times New Roman"/>
                <w:noProof/>
              </w:rPr>
              <w:t>3   Results and Findings</w:t>
            </w:r>
            <w:r>
              <w:rPr>
                <w:noProof/>
                <w:webHidden/>
              </w:rPr>
              <w:tab/>
            </w:r>
            <w:r>
              <w:rPr>
                <w:noProof/>
                <w:webHidden/>
              </w:rPr>
              <w:fldChar w:fldCharType="begin"/>
            </w:r>
            <w:r>
              <w:rPr>
                <w:noProof/>
                <w:webHidden/>
              </w:rPr>
              <w:instrText xml:space="preserve"> PAGEREF _Toc236340213 \h </w:instrText>
            </w:r>
            <w:r>
              <w:rPr>
                <w:noProof/>
                <w:webHidden/>
              </w:rPr>
            </w:r>
            <w:r>
              <w:rPr>
                <w:noProof/>
                <w:webHidden/>
              </w:rPr>
              <w:fldChar w:fldCharType="separate"/>
            </w:r>
            <w:r>
              <w:rPr>
                <w:noProof/>
                <w:webHidden/>
              </w:rPr>
              <w:t>5</w:t>
            </w:r>
            <w:r>
              <w:rPr>
                <w:noProof/>
                <w:webHidden/>
              </w:rPr>
              <w:fldChar w:fldCharType="end"/>
            </w:r>
          </w:hyperlink>
        </w:p>
        <w:p w14:paraId="303299F8" w14:textId="6BD0BD7F"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14" w:history="1">
            <w:r w:rsidRPr="000B7070">
              <w:rPr>
                <w:rStyle w:val="Hyperlink"/>
                <w:rFonts w:ascii="Times New Roman" w:hAnsi="Times New Roman" w:cs="Times New Roman"/>
                <w:noProof/>
              </w:rPr>
              <w:t>3.1 Sales &amp; Inventory Performance (Objective 1)</w:t>
            </w:r>
            <w:r>
              <w:rPr>
                <w:noProof/>
                <w:webHidden/>
              </w:rPr>
              <w:tab/>
            </w:r>
            <w:r>
              <w:rPr>
                <w:noProof/>
                <w:webHidden/>
              </w:rPr>
              <w:fldChar w:fldCharType="begin"/>
            </w:r>
            <w:r>
              <w:rPr>
                <w:noProof/>
                <w:webHidden/>
              </w:rPr>
              <w:instrText xml:space="preserve"> PAGEREF _Toc236340214 \h </w:instrText>
            </w:r>
            <w:r>
              <w:rPr>
                <w:noProof/>
                <w:webHidden/>
              </w:rPr>
            </w:r>
            <w:r>
              <w:rPr>
                <w:noProof/>
                <w:webHidden/>
              </w:rPr>
              <w:fldChar w:fldCharType="separate"/>
            </w:r>
            <w:r>
              <w:rPr>
                <w:noProof/>
                <w:webHidden/>
              </w:rPr>
              <w:t>5</w:t>
            </w:r>
            <w:r>
              <w:rPr>
                <w:noProof/>
                <w:webHidden/>
              </w:rPr>
              <w:fldChar w:fldCharType="end"/>
            </w:r>
          </w:hyperlink>
        </w:p>
        <w:p w14:paraId="2049895A" w14:textId="7ABC3AF9"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15" w:history="1">
            <w:r w:rsidRPr="000B7070">
              <w:rPr>
                <w:rStyle w:val="Hyperlink"/>
                <w:rFonts w:ascii="Times New Roman" w:hAnsi="Times New Roman" w:cs="Times New Roman"/>
                <w:noProof/>
              </w:rPr>
              <w:t>3.1.1 Descriptive Statistics of Order Value</w:t>
            </w:r>
            <w:r>
              <w:rPr>
                <w:noProof/>
                <w:webHidden/>
              </w:rPr>
              <w:tab/>
            </w:r>
            <w:r>
              <w:rPr>
                <w:noProof/>
                <w:webHidden/>
              </w:rPr>
              <w:fldChar w:fldCharType="begin"/>
            </w:r>
            <w:r>
              <w:rPr>
                <w:noProof/>
                <w:webHidden/>
              </w:rPr>
              <w:instrText xml:space="preserve"> PAGEREF _Toc236340215 \h </w:instrText>
            </w:r>
            <w:r>
              <w:rPr>
                <w:noProof/>
                <w:webHidden/>
              </w:rPr>
            </w:r>
            <w:r>
              <w:rPr>
                <w:noProof/>
                <w:webHidden/>
              </w:rPr>
              <w:fldChar w:fldCharType="separate"/>
            </w:r>
            <w:r>
              <w:rPr>
                <w:noProof/>
                <w:webHidden/>
              </w:rPr>
              <w:t>5</w:t>
            </w:r>
            <w:r>
              <w:rPr>
                <w:noProof/>
                <w:webHidden/>
              </w:rPr>
              <w:fldChar w:fldCharType="end"/>
            </w:r>
          </w:hyperlink>
        </w:p>
        <w:p w14:paraId="4026F565" w14:textId="0CD4F725"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16" w:history="1">
            <w:r w:rsidRPr="000B7070">
              <w:rPr>
                <w:rStyle w:val="Hyperlink"/>
                <w:rFonts w:ascii="Times New Roman" w:hAnsi="Times New Roman" w:cs="Times New Roman"/>
                <w:noProof/>
              </w:rPr>
              <w:t>3.1.2 Monthly Revenue Trend</w:t>
            </w:r>
            <w:r>
              <w:rPr>
                <w:noProof/>
                <w:webHidden/>
              </w:rPr>
              <w:tab/>
            </w:r>
            <w:r>
              <w:rPr>
                <w:noProof/>
                <w:webHidden/>
              </w:rPr>
              <w:fldChar w:fldCharType="begin"/>
            </w:r>
            <w:r>
              <w:rPr>
                <w:noProof/>
                <w:webHidden/>
              </w:rPr>
              <w:instrText xml:space="preserve"> PAGEREF _Toc236340216 \h </w:instrText>
            </w:r>
            <w:r>
              <w:rPr>
                <w:noProof/>
                <w:webHidden/>
              </w:rPr>
            </w:r>
            <w:r>
              <w:rPr>
                <w:noProof/>
                <w:webHidden/>
              </w:rPr>
              <w:fldChar w:fldCharType="separate"/>
            </w:r>
            <w:r>
              <w:rPr>
                <w:noProof/>
                <w:webHidden/>
              </w:rPr>
              <w:t>5</w:t>
            </w:r>
            <w:r>
              <w:rPr>
                <w:noProof/>
                <w:webHidden/>
              </w:rPr>
              <w:fldChar w:fldCharType="end"/>
            </w:r>
          </w:hyperlink>
        </w:p>
        <w:p w14:paraId="31A10A45" w14:textId="3DE00F2C"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17" w:history="1">
            <w:r w:rsidRPr="000B7070">
              <w:rPr>
                <w:rStyle w:val="Hyperlink"/>
                <w:rFonts w:ascii="Times New Roman" w:hAnsi="Times New Roman" w:cs="Times New Roman"/>
                <w:noProof/>
              </w:rPr>
              <w:t>3.1.3 Category-wise Revenue and ABC Classification</w:t>
            </w:r>
            <w:r>
              <w:rPr>
                <w:noProof/>
                <w:webHidden/>
              </w:rPr>
              <w:tab/>
            </w:r>
            <w:r>
              <w:rPr>
                <w:noProof/>
                <w:webHidden/>
              </w:rPr>
              <w:fldChar w:fldCharType="begin"/>
            </w:r>
            <w:r>
              <w:rPr>
                <w:noProof/>
                <w:webHidden/>
              </w:rPr>
              <w:instrText xml:space="preserve"> PAGEREF _Toc236340217 \h </w:instrText>
            </w:r>
            <w:r>
              <w:rPr>
                <w:noProof/>
                <w:webHidden/>
              </w:rPr>
            </w:r>
            <w:r>
              <w:rPr>
                <w:noProof/>
                <w:webHidden/>
              </w:rPr>
              <w:fldChar w:fldCharType="separate"/>
            </w:r>
            <w:r>
              <w:rPr>
                <w:noProof/>
                <w:webHidden/>
              </w:rPr>
              <w:t>6</w:t>
            </w:r>
            <w:r>
              <w:rPr>
                <w:noProof/>
                <w:webHidden/>
              </w:rPr>
              <w:fldChar w:fldCharType="end"/>
            </w:r>
          </w:hyperlink>
        </w:p>
        <w:p w14:paraId="0A13C619" w14:textId="02E7BC83"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18" w:history="1">
            <w:r w:rsidRPr="000B7070">
              <w:rPr>
                <w:rStyle w:val="Hyperlink"/>
                <w:rFonts w:ascii="Times New Roman" w:hAnsi="Times New Roman" w:cs="Times New Roman"/>
                <w:noProof/>
              </w:rPr>
              <w:t>3.1.4 Sales Velocity and Demand Variability</w:t>
            </w:r>
            <w:r>
              <w:rPr>
                <w:noProof/>
                <w:webHidden/>
              </w:rPr>
              <w:tab/>
            </w:r>
            <w:r>
              <w:rPr>
                <w:noProof/>
                <w:webHidden/>
              </w:rPr>
              <w:fldChar w:fldCharType="begin"/>
            </w:r>
            <w:r>
              <w:rPr>
                <w:noProof/>
                <w:webHidden/>
              </w:rPr>
              <w:instrText xml:space="preserve"> PAGEREF _Toc236340218 \h </w:instrText>
            </w:r>
            <w:r>
              <w:rPr>
                <w:noProof/>
                <w:webHidden/>
              </w:rPr>
            </w:r>
            <w:r>
              <w:rPr>
                <w:noProof/>
                <w:webHidden/>
              </w:rPr>
              <w:fldChar w:fldCharType="separate"/>
            </w:r>
            <w:r>
              <w:rPr>
                <w:noProof/>
                <w:webHidden/>
              </w:rPr>
              <w:t>6</w:t>
            </w:r>
            <w:r>
              <w:rPr>
                <w:noProof/>
                <w:webHidden/>
              </w:rPr>
              <w:fldChar w:fldCharType="end"/>
            </w:r>
          </w:hyperlink>
        </w:p>
        <w:p w14:paraId="33A35612" w14:textId="649AF5CE"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19" w:history="1">
            <w:r w:rsidRPr="000B7070">
              <w:rPr>
                <w:rStyle w:val="Hyperlink"/>
                <w:rFonts w:ascii="Times New Roman" w:hAnsi="Times New Roman" w:cs="Times New Roman"/>
                <w:noProof/>
              </w:rPr>
              <w:t>3.1.5 Demand Variability by Category</w:t>
            </w:r>
            <w:r>
              <w:rPr>
                <w:noProof/>
                <w:webHidden/>
              </w:rPr>
              <w:tab/>
            </w:r>
            <w:r>
              <w:rPr>
                <w:noProof/>
                <w:webHidden/>
              </w:rPr>
              <w:fldChar w:fldCharType="begin"/>
            </w:r>
            <w:r>
              <w:rPr>
                <w:noProof/>
                <w:webHidden/>
              </w:rPr>
              <w:instrText xml:space="preserve"> PAGEREF _Toc236340219 \h </w:instrText>
            </w:r>
            <w:r>
              <w:rPr>
                <w:noProof/>
                <w:webHidden/>
              </w:rPr>
            </w:r>
            <w:r>
              <w:rPr>
                <w:noProof/>
                <w:webHidden/>
              </w:rPr>
              <w:fldChar w:fldCharType="separate"/>
            </w:r>
            <w:r>
              <w:rPr>
                <w:noProof/>
                <w:webHidden/>
              </w:rPr>
              <w:t>7</w:t>
            </w:r>
            <w:r>
              <w:rPr>
                <w:noProof/>
                <w:webHidden/>
              </w:rPr>
              <w:fldChar w:fldCharType="end"/>
            </w:r>
          </w:hyperlink>
        </w:p>
        <w:p w14:paraId="1C29B1BB" w14:textId="292E5924"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0" w:history="1">
            <w:r w:rsidRPr="000B7070">
              <w:rPr>
                <w:rStyle w:val="Hyperlink"/>
                <w:rFonts w:ascii="Times New Roman" w:hAnsi="Times New Roman" w:cs="Times New Roman"/>
                <w:noProof/>
              </w:rPr>
              <w:t>3.1.6 Category Growth Trends</w:t>
            </w:r>
            <w:r>
              <w:rPr>
                <w:noProof/>
                <w:webHidden/>
              </w:rPr>
              <w:tab/>
            </w:r>
            <w:r>
              <w:rPr>
                <w:noProof/>
                <w:webHidden/>
              </w:rPr>
              <w:fldChar w:fldCharType="begin"/>
            </w:r>
            <w:r>
              <w:rPr>
                <w:noProof/>
                <w:webHidden/>
              </w:rPr>
              <w:instrText xml:space="preserve"> PAGEREF _Toc236340220 \h </w:instrText>
            </w:r>
            <w:r>
              <w:rPr>
                <w:noProof/>
                <w:webHidden/>
              </w:rPr>
            </w:r>
            <w:r>
              <w:rPr>
                <w:noProof/>
                <w:webHidden/>
              </w:rPr>
              <w:fldChar w:fldCharType="separate"/>
            </w:r>
            <w:r>
              <w:rPr>
                <w:noProof/>
                <w:webHidden/>
              </w:rPr>
              <w:t>8</w:t>
            </w:r>
            <w:r>
              <w:rPr>
                <w:noProof/>
                <w:webHidden/>
              </w:rPr>
              <w:fldChar w:fldCharType="end"/>
            </w:r>
          </w:hyperlink>
        </w:p>
        <w:p w14:paraId="06940776" w14:textId="14CAED59"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1" w:history="1">
            <w:r w:rsidRPr="000B7070">
              <w:rPr>
                <w:rStyle w:val="Hyperlink"/>
                <w:rFonts w:ascii="Times New Roman" w:hAnsi="Times New Roman" w:cs="Times New Roman"/>
                <w:noProof/>
              </w:rPr>
              <w:t>3.1.7 Price–Demand Relationship and Returns</w:t>
            </w:r>
            <w:r>
              <w:rPr>
                <w:noProof/>
                <w:webHidden/>
              </w:rPr>
              <w:tab/>
            </w:r>
            <w:r>
              <w:rPr>
                <w:noProof/>
                <w:webHidden/>
              </w:rPr>
              <w:fldChar w:fldCharType="begin"/>
            </w:r>
            <w:r>
              <w:rPr>
                <w:noProof/>
                <w:webHidden/>
              </w:rPr>
              <w:instrText xml:space="preserve"> PAGEREF _Toc236340221 \h </w:instrText>
            </w:r>
            <w:r>
              <w:rPr>
                <w:noProof/>
                <w:webHidden/>
              </w:rPr>
            </w:r>
            <w:r>
              <w:rPr>
                <w:noProof/>
                <w:webHidden/>
              </w:rPr>
              <w:fldChar w:fldCharType="separate"/>
            </w:r>
            <w:r>
              <w:rPr>
                <w:noProof/>
                <w:webHidden/>
              </w:rPr>
              <w:t>9</w:t>
            </w:r>
            <w:r>
              <w:rPr>
                <w:noProof/>
                <w:webHidden/>
              </w:rPr>
              <w:fldChar w:fldCharType="end"/>
            </w:r>
          </w:hyperlink>
        </w:p>
        <w:p w14:paraId="77EEFA01" w14:textId="47BA3714"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2" w:history="1">
            <w:r w:rsidRPr="000B7070">
              <w:rPr>
                <w:rStyle w:val="Hyperlink"/>
                <w:rFonts w:ascii="Times New Roman" w:hAnsi="Times New Roman" w:cs="Times New Roman"/>
                <w:noProof/>
              </w:rPr>
              <w:t>3.1.8 Payment Mode and Basket Size</w:t>
            </w:r>
            <w:r>
              <w:rPr>
                <w:noProof/>
                <w:webHidden/>
              </w:rPr>
              <w:tab/>
            </w:r>
            <w:r>
              <w:rPr>
                <w:noProof/>
                <w:webHidden/>
              </w:rPr>
              <w:fldChar w:fldCharType="begin"/>
            </w:r>
            <w:r>
              <w:rPr>
                <w:noProof/>
                <w:webHidden/>
              </w:rPr>
              <w:instrText xml:space="preserve"> PAGEREF _Toc236340222 \h </w:instrText>
            </w:r>
            <w:r>
              <w:rPr>
                <w:noProof/>
                <w:webHidden/>
              </w:rPr>
            </w:r>
            <w:r>
              <w:rPr>
                <w:noProof/>
                <w:webHidden/>
              </w:rPr>
              <w:fldChar w:fldCharType="separate"/>
            </w:r>
            <w:r>
              <w:rPr>
                <w:noProof/>
                <w:webHidden/>
              </w:rPr>
              <w:t>10</w:t>
            </w:r>
            <w:r>
              <w:rPr>
                <w:noProof/>
                <w:webHidden/>
              </w:rPr>
              <w:fldChar w:fldCharType="end"/>
            </w:r>
          </w:hyperlink>
        </w:p>
        <w:p w14:paraId="25F9E4C9" w14:textId="1FAD97EA"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23" w:history="1">
            <w:r w:rsidRPr="000B7070">
              <w:rPr>
                <w:rStyle w:val="Hyperlink"/>
                <w:rFonts w:ascii="Times New Roman" w:hAnsi="Times New Roman" w:cs="Times New Roman"/>
                <w:noProof/>
              </w:rPr>
              <w:t>3.2 Unconfirmed Order Hold Management (Objective 2)</w:t>
            </w:r>
            <w:r>
              <w:rPr>
                <w:noProof/>
                <w:webHidden/>
              </w:rPr>
              <w:tab/>
            </w:r>
            <w:r>
              <w:rPr>
                <w:noProof/>
                <w:webHidden/>
              </w:rPr>
              <w:fldChar w:fldCharType="begin"/>
            </w:r>
            <w:r>
              <w:rPr>
                <w:noProof/>
                <w:webHidden/>
              </w:rPr>
              <w:instrText xml:space="preserve"> PAGEREF _Toc236340223 \h </w:instrText>
            </w:r>
            <w:r>
              <w:rPr>
                <w:noProof/>
                <w:webHidden/>
              </w:rPr>
            </w:r>
            <w:r>
              <w:rPr>
                <w:noProof/>
                <w:webHidden/>
              </w:rPr>
              <w:fldChar w:fldCharType="separate"/>
            </w:r>
            <w:r>
              <w:rPr>
                <w:noProof/>
                <w:webHidden/>
              </w:rPr>
              <w:t>11</w:t>
            </w:r>
            <w:r>
              <w:rPr>
                <w:noProof/>
                <w:webHidden/>
              </w:rPr>
              <w:fldChar w:fldCharType="end"/>
            </w:r>
          </w:hyperlink>
        </w:p>
        <w:p w14:paraId="7ECAC690" w14:textId="4391A722"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4" w:history="1">
            <w:r w:rsidRPr="000B7070">
              <w:rPr>
                <w:rStyle w:val="Hyperlink"/>
                <w:rFonts w:ascii="Times New Roman" w:hAnsi="Times New Roman" w:cs="Times New Roman"/>
                <w:noProof/>
              </w:rPr>
              <w:t>3.2.1 Hold Outcomes Overview</w:t>
            </w:r>
            <w:r>
              <w:rPr>
                <w:noProof/>
                <w:webHidden/>
              </w:rPr>
              <w:tab/>
            </w:r>
            <w:r>
              <w:rPr>
                <w:noProof/>
                <w:webHidden/>
              </w:rPr>
              <w:fldChar w:fldCharType="begin"/>
            </w:r>
            <w:r>
              <w:rPr>
                <w:noProof/>
                <w:webHidden/>
              </w:rPr>
              <w:instrText xml:space="preserve"> PAGEREF _Toc236340224 \h </w:instrText>
            </w:r>
            <w:r>
              <w:rPr>
                <w:noProof/>
                <w:webHidden/>
              </w:rPr>
            </w:r>
            <w:r>
              <w:rPr>
                <w:noProof/>
                <w:webHidden/>
              </w:rPr>
              <w:fldChar w:fldCharType="separate"/>
            </w:r>
            <w:r>
              <w:rPr>
                <w:noProof/>
                <w:webHidden/>
              </w:rPr>
              <w:t>11</w:t>
            </w:r>
            <w:r>
              <w:rPr>
                <w:noProof/>
                <w:webHidden/>
              </w:rPr>
              <w:fldChar w:fldCharType="end"/>
            </w:r>
          </w:hyperlink>
        </w:p>
        <w:p w14:paraId="44307075" w14:textId="48407D14"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5" w:history="1">
            <w:r w:rsidRPr="000B7070">
              <w:rPr>
                <w:rStyle w:val="Hyperlink"/>
                <w:rFonts w:ascii="Times New Roman" w:hAnsi="Times New Roman" w:cs="Times New Roman"/>
                <w:noProof/>
              </w:rPr>
              <w:t>3.2.2 Ghost Rate by Category and Month</w:t>
            </w:r>
            <w:r>
              <w:rPr>
                <w:noProof/>
                <w:webHidden/>
              </w:rPr>
              <w:tab/>
            </w:r>
            <w:r>
              <w:rPr>
                <w:noProof/>
                <w:webHidden/>
              </w:rPr>
              <w:fldChar w:fldCharType="begin"/>
            </w:r>
            <w:r>
              <w:rPr>
                <w:noProof/>
                <w:webHidden/>
              </w:rPr>
              <w:instrText xml:space="preserve"> PAGEREF _Toc236340225 \h </w:instrText>
            </w:r>
            <w:r>
              <w:rPr>
                <w:noProof/>
                <w:webHidden/>
              </w:rPr>
            </w:r>
            <w:r>
              <w:rPr>
                <w:noProof/>
                <w:webHidden/>
              </w:rPr>
              <w:fldChar w:fldCharType="separate"/>
            </w:r>
            <w:r>
              <w:rPr>
                <w:noProof/>
                <w:webHidden/>
              </w:rPr>
              <w:t>12</w:t>
            </w:r>
            <w:r>
              <w:rPr>
                <w:noProof/>
                <w:webHidden/>
              </w:rPr>
              <w:fldChar w:fldCharType="end"/>
            </w:r>
          </w:hyperlink>
        </w:p>
        <w:p w14:paraId="115712F2" w14:textId="62C8E4EE"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6" w:history="1">
            <w:r w:rsidRPr="000B7070">
              <w:rPr>
                <w:rStyle w:val="Hyperlink"/>
                <w:rFonts w:ascii="Times New Roman" w:hAnsi="Times New Roman" w:cs="Times New Roman"/>
                <w:noProof/>
              </w:rPr>
              <w:t>3.2.3 Hold Duration and Opportunity Cost</w:t>
            </w:r>
            <w:r>
              <w:rPr>
                <w:noProof/>
                <w:webHidden/>
              </w:rPr>
              <w:tab/>
            </w:r>
            <w:r>
              <w:rPr>
                <w:noProof/>
                <w:webHidden/>
              </w:rPr>
              <w:fldChar w:fldCharType="begin"/>
            </w:r>
            <w:r>
              <w:rPr>
                <w:noProof/>
                <w:webHidden/>
              </w:rPr>
              <w:instrText xml:space="preserve"> PAGEREF _Toc236340226 \h </w:instrText>
            </w:r>
            <w:r>
              <w:rPr>
                <w:noProof/>
                <w:webHidden/>
              </w:rPr>
            </w:r>
            <w:r>
              <w:rPr>
                <w:noProof/>
                <w:webHidden/>
              </w:rPr>
              <w:fldChar w:fldCharType="separate"/>
            </w:r>
            <w:r>
              <w:rPr>
                <w:noProof/>
                <w:webHidden/>
              </w:rPr>
              <w:t>13</w:t>
            </w:r>
            <w:r>
              <w:rPr>
                <w:noProof/>
                <w:webHidden/>
              </w:rPr>
              <w:fldChar w:fldCharType="end"/>
            </w:r>
          </w:hyperlink>
        </w:p>
        <w:p w14:paraId="547E8A9B" w14:textId="2C50C8C8"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7" w:history="1">
            <w:r w:rsidRPr="000B7070">
              <w:rPr>
                <w:rStyle w:val="Hyperlink"/>
                <w:rFonts w:ascii="Times New Roman" w:hAnsi="Times New Roman" w:cs="Times New Roman"/>
                <w:noProof/>
              </w:rPr>
              <w:t>3.2.4 Bargaining Behavior</w:t>
            </w:r>
            <w:r>
              <w:rPr>
                <w:noProof/>
                <w:webHidden/>
              </w:rPr>
              <w:tab/>
            </w:r>
            <w:r>
              <w:rPr>
                <w:noProof/>
                <w:webHidden/>
              </w:rPr>
              <w:fldChar w:fldCharType="begin"/>
            </w:r>
            <w:r>
              <w:rPr>
                <w:noProof/>
                <w:webHidden/>
              </w:rPr>
              <w:instrText xml:space="preserve"> PAGEREF _Toc236340227 \h </w:instrText>
            </w:r>
            <w:r>
              <w:rPr>
                <w:noProof/>
                <w:webHidden/>
              </w:rPr>
            </w:r>
            <w:r>
              <w:rPr>
                <w:noProof/>
                <w:webHidden/>
              </w:rPr>
              <w:fldChar w:fldCharType="separate"/>
            </w:r>
            <w:r>
              <w:rPr>
                <w:noProof/>
                <w:webHidden/>
              </w:rPr>
              <w:t>14</w:t>
            </w:r>
            <w:r>
              <w:rPr>
                <w:noProof/>
                <w:webHidden/>
              </w:rPr>
              <w:fldChar w:fldCharType="end"/>
            </w:r>
          </w:hyperlink>
        </w:p>
        <w:p w14:paraId="15983B19" w14:textId="7BBB6E22"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8" w:history="1">
            <w:r w:rsidRPr="000B7070">
              <w:rPr>
                <w:rStyle w:val="Hyperlink"/>
                <w:rFonts w:ascii="Times New Roman" w:hAnsi="Times New Roman" w:cs="Times New Roman"/>
                <w:noProof/>
              </w:rPr>
              <w:t>3.2.5 Policy Simulation</w:t>
            </w:r>
            <w:r>
              <w:rPr>
                <w:noProof/>
                <w:webHidden/>
              </w:rPr>
              <w:tab/>
            </w:r>
            <w:r>
              <w:rPr>
                <w:noProof/>
                <w:webHidden/>
              </w:rPr>
              <w:fldChar w:fldCharType="begin"/>
            </w:r>
            <w:r>
              <w:rPr>
                <w:noProof/>
                <w:webHidden/>
              </w:rPr>
              <w:instrText xml:space="preserve"> PAGEREF _Toc236340228 \h </w:instrText>
            </w:r>
            <w:r>
              <w:rPr>
                <w:noProof/>
                <w:webHidden/>
              </w:rPr>
            </w:r>
            <w:r>
              <w:rPr>
                <w:noProof/>
                <w:webHidden/>
              </w:rPr>
              <w:fldChar w:fldCharType="separate"/>
            </w:r>
            <w:r>
              <w:rPr>
                <w:noProof/>
                <w:webHidden/>
              </w:rPr>
              <w:t>14</w:t>
            </w:r>
            <w:r>
              <w:rPr>
                <w:noProof/>
                <w:webHidden/>
              </w:rPr>
              <w:fldChar w:fldCharType="end"/>
            </w:r>
          </w:hyperlink>
        </w:p>
        <w:p w14:paraId="0C1FD8F2" w14:textId="38313482" w:rsidR="00B116C0" w:rsidRDefault="00B116C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340229" w:history="1">
            <w:r w:rsidRPr="000B7070">
              <w:rPr>
                <w:rStyle w:val="Hyperlink"/>
                <w:rFonts w:ascii="Times New Roman" w:hAnsi="Times New Roman" w:cs="Times New Roman"/>
                <w:noProof/>
              </w:rPr>
              <w:t>3.2.6 Bargaining as a Predictive Signal for Ghosting</w:t>
            </w:r>
            <w:r>
              <w:rPr>
                <w:noProof/>
                <w:webHidden/>
              </w:rPr>
              <w:tab/>
            </w:r>
            <w:r>
              <w:rPr>
                <w:noProof/>
                <w:webHidden/>
              </w:rPr>
              <w:fldChar w:fldCharType="begin"/>
            </w:r>
            <w:r>
              <w:rPr>
                <w:noProof/>
                <w:webHidden/>
              </w:rPr>
              <w:instrText xml:space="preserve"> PAGEREF _Toc236340229 \h </w:instrText>
            </w:r>
            <w:r>
              <w:rPr>
                <w:noProof/>
                <w:webHidden/>
              </w:rPr>
            </w:r>
            <w:r>
              <w:rPr>
                <w:noProof/>
                <w:webHidden/>
              </w:rPr>
              <w:fldChar w:fldCharType="separate"/>
            </w:r>
            <w:r>
              <w:rPr>
                <w:noProof/>
                <w:webHidden/>
              </w:rPr>
              <w:t>15</w:t>
            </w:r>
            <w:r>
              <w:rPr>
                <w:noProof/>
                <w:webHidden/>
              </w:rPr>
              <w:fldChar w:fldCharType="end"/>
            </w:r>
          </w:hyperlink>
        </w:p>
        <w:p w14:paraId="3CD26B7E" w14:textId="7D615626" w:rsidR="00B116C0" w:rsidRDefault="00B116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340230" w:history="1">
            <w:r w:rsidRPr="000B7070">
              <w:rPr>
                <w:rStyle w:val="Hyperlink"/>
                <w:rFonts w:ascii="Times New Roman" w:hAnsi="Times New Roman" w:cs="Times New Roman"/>
                <w:noProof/>
              </w:rPr>
              <w:t>4   Interpretation of Results and Recommendations</w:t>
            </w:r>
            <w:r>
              <w:rPr>
                <w:noProof/>
                <w:webHidden/>
              </w:rPr>
              <w:tab/>
            </w:r>
            <w:r>
              <w:rPr>
                <w:noProof/>
                <w:webHidden/>
              </w:rPr>
              <w:fldChar w:fldCharType="begin"/>
            </w:r>
            <w:r>
              <w:rPr>
                <w:noProof/>
                <w:webHidden/>
              </w:rPr>
              <w:instrText xml:space="preserve"> PAGEREF _Toc236340230 \h </w:instrText>
            </w:r>
            <w:r>
              <w:rPr>
                <w:noProof/>
                <w:webHidden/>
              </w:rPr>
            </w:r>
            <w:r>
              <w:rPr>
                <w:noProof/>
                <w:webHidden/>
              </w:rPr>
              <w:fldChar w:fldCharType="separate"/>
            </w:r>
            <w:r>
              <w:rPr>
                <w:noProof/>
                <w:webHidden/>
              </w:rPr>
              <w:t>15</w:t>
            </w:r>
            <w:r>
              <w:rPr>
                <w:noProof/>
                <w:webHidden/>
              </w:rPr>
              <w:fldChar w:fldCharType="end"/>
            </w:r>
          </w:hyperlink>
        </w:p>
        <w:p w14:paraId="6F72A7B9" w14:textId="30FD1994"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1" w:history="1">
            <w:r w:rsidRPr="000B7070">
              <w:rPr>
                <w:rStyle w:val="Hyperlink"/>
                <w:rFonts w:ascii="Times New Roman" w:hAnsi="Times New Roman" w:cs="Times New Roman"/>
                <w:noProof/>
              </w:rPr>
              <w:t>4.1 Integrating ABC, Velocity, and Demand Variability into a Unified Stocking Policy</w:t>
            </w:r>
            <w:r>
              <w:rPr>
                <w:noProof/>
                <w:webHidden/>
              </w:rPr>
              <w:tab/>
            </w:r>
            <w:r>
              <w:rPr>
                <w:noProof/>
                <w:webHidden/>
              </w:rPr>
              <w:fldChar w:fldCharType="begin"/>
            </w:r>
            <w:r>
              <w:rPr>
                <w:noProof/>
                <w:webHidden/>
              </w:rPr>
              <w:instrText xml:space="preserve"> PAGEREF _Toc236340231 \h </w:instrText>
            </w:r>
            <w:r>
              <w:rPr>
                <w:noProof/>
                <w:webHidden/>
              </w:rPr>
            </w:r>
            <w:r>
              <w:rPr>
                <w:noProof/>
                <w:webHidden/>
              </w:rPr>
              <w:fldChar w:fldCharType="separate"/>
            </w:r>
            <w:r>
              <w:rPr>
                <w:noProof/>
                <w:webHidden/>
              </w:rPr>
              <w:t>15</w:t>
            </w:r>
            <w:r>
              <w:rPr>
                <w:noProof/>
                <w:webHidden/>
              </w:rPr>
              <w:fldChar w:fldCharType="end"/>
            </w:r>
          </w:hyperlink>
        </w:p>
        <w:p w14:paraId="1C995414" w14:textId="2151EC49"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2" w:history="1">
            <w:r w:rsidRPr="000B7070">
              <w:rPr>
                <w:rStyle w:val="Hyperlink"/>
                <w:rFonts w:ascii="Times New Roman" w:hAnsi="Times New Roman" w:cs="Times New Roman"/>
                <w:noProof/>
              </w:rPr>
              <w:t>4.2 Category-Specific Reorder and Buffer Rules</w:t>
            </w:r>
            <w:r>
              <w:rPr>
                <w:noProof/>
                <w:webHidden/>
              </w:rPr>
              <w:tab/>
            </w:r>
            <w:r>
              <w:rPr>
                <w:noProof/>
                <w:webHidden/>
              </w:rPr>
              <w:fldChar w:fldCharType="begin"/>
            </w:r>
            <w:r>
              <w:rPr>
                <w:noProof/>
                <w:webHidden/>
              </w:rPr>
              <w:instrText xml:space="preserve"> PAGEREF _Toc236340232 \h </w:instrText>
            </w:r>
            <w:r>
              <w:rPr>
                <w:noProof/>
                <w:webHidden/>
              </w:rPr>
            </w:r>
            <w:r>
              <w:rPr>
                <w:noProof/>
                <w:webHidden/>
              </w:rPr>
              <w:fldChar w:fldCharType="separate"/>
            </w:r>
            <w:r>
              <w:rPr>
                <w:noProof/>
                <w:webHidden/>
              </w:rPr>
              <w:t>16</w:t>
            </w:r>
            <w:r>
              <w:rPr>
                <w:noProof/>
                <w:webHidden/>
              </w:rPr>
              <w:fldChar w:fldCharType="end"/>
            </w:r>
          </w:hyperlink>
        </w:p>
        <w:p w14:paraId="413B3E16" w14:textId="327492AA"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3" w:history="1">
            <w:r w:rsidRPr="000B7070">
              <w:rPr>
                <w:rStyle w:val="Hyperlink"/>
                <w:rFonts w:ascii="Times New Roman" w:hAnsi="Times New Roman" w:cs="Times New Roman"/>
                <w:noProof/>
              </w:rPr>
              <w:t>4.3 Leveraging the Price-Demand Relationship for New Product Decisions</w:t>
            </w:r>
            <w:r>
              <w:rPr>
                <w:noProof/>
                <w:webHidden/>
              </w:rPr>
              <w:tab/>
            </w:r>
            <w:r>
              <w:rPr>
                <w:noProof/>
                <w:webHidden/>
              </w:rPr>
              <w:fldChar w:fldCharType="begin"/>
            </w:r>
            <w:r>
              <w:rPr>
                <w:noProof/>
                <w:webHidden/>
              </w:rPr>
              <w:instrText xml:space="preserve"> PAGEREF _Toc236340233 \h </w:instrText>
            </w:r>
            <w:r>
              <w:rPr>
                <w:noProof/>
                <w:webHidden/>
              </w:rPr>
            </w:r>
            <w:r>
              <w:rPr>
                <w:noProof/>
                <w:webHidden/>
              </w:rPr>
              <w:fldChar w:fldCharType="separate"/>
            </w:r>
            <w:r>
              <w:rPr>
                <w:noProof/>
                <w:webHidden/>
              </w:rPr>
              <w:t>16</w:t>
            </w:r>
            <w:r>
              <w:rPr>
                <w:noProof/>
                <w:webHidden/>
              </w:rPr>
              <w:fldChar w:fldCharType="end"/>
            </w:r>
          </w:hyperlink>
        </w:p>
        <w:p w14:paraId="18C99C06" w14:textId="43568C64"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4" w:history="1">
            <w:r w:rsidRPr="000B7070">
              <w:rPr>
                <w:rStyle w:val="Hyperlink"/>
                <w:rFonts w:ascii="Times New Roman" w:hAnsi="Times New Roman" w:cs="Times New Roman"/>
                <w:noProof/>
              </w:rPr>
              <w:t>4.4 Formalizing the Unconfirmed Order Hold Policy</w:t>
            </w:r>
            <w:r>
              <w:rPr>
                <w:noProof/>
                <w:webHidden/>
              </w:rPr>
              <w:tab/>
            </w:r>
            <w:r>
              <w:rPr>
                <w:noProof/>
                <w:webHidden/>
              </w:rPr>
              <w:fldChar w:fldCharType="begin"/>
            </w:r>
            <w:r>
              <w:rPr>
                <w:noProof/>
                <w:webHidden/>
              </w:rPr>
              <w:instrText xml:space="preserve"> PAGEREF _Toc236340234 \h </w:instrText>
            </w:r>
            <w:r>
              <w:rPr>
                <w:noProof/>
                <w:webHidden/>
              </w:rPr>
            </w:r>
            <w:r>
              <w:rPr>
                <w:noProof/>
                <w:webHidden/>
              </w:rPr>
              <w:fldChar w:fldCharType="separate"/>
            </w:r>
            <w:r>
              <w:rPr>
                <w:noProof/>
                <w:webHidden/>
              </w:rPr>
              <w:t>16</w:t>
            </w:r>
            <w:r>
              <w:rPr>
                <w:noProof/>
                <w:webHidden/>
              </w:rPr>
              <w:fldChar w:fldCharType="end"/>
            </w:r>
          </w:hyperlink>
        </w:p>
        <w:p w14:paraId="09735758" w14:textId="50B69119"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5" w:history="1">
            <w:r w:rsidRPr="000B7070">
              <w:rPr>
                <w:rStyle w:val="Hyperlink"/>
                <w:rFonts w:ascii="Times New Roman" w:hAnsi="Times New Roman" w:cs="Times New Roman"/>
                <w:noProof/>
              </w:rPr>
              <w:t>4.5 Closing the Bargaining Margin Leak</w:t>
            </w:r>
            <w:r>
              <w:rPr>
                <w:noProof/>
                <w:webHidden/>
              </w:rPr>
              <w:tab/>
            </w:r>
            <w:r>
              <w:rPr>
                <w:noProof/>
                <w:webHidden/>
              </w:rPr>
              <w:fldChar w:fldCharType="begin"/>
            </w:r>
            <w:r>
              <w:rPr>
                <w:noProof/>
                <w:webHidden/>
              </w:rPr>
              <w:instrText xml:space="preserve"> PAGEREF _Toc236340235 \h </w:instrText>
            </w:r>
            <w:r>
              <w:rPr>
                <w:noProof/>
                <w:webHidden/>
              </w:rPr>
            </w:r>
            <w:r>
              <w:rPr>
                <w:noProof/>
                <w:webHidden/>
              </w:rPr>
              <w:fldChar w:fldCharType="separate"/>
            </w:r>
            <w:r>
              <w:rPr>
                <w:noProof/>
                <w:webHidden/>
              </w:rPr>
              <w:t>17</w:t>
            </w:r>
            <w:r>
              <w:rPr>
                <w:noProof/>
                <w:webHidden/>
              </w:rPr>
              <w:fldChar w:fldCharType="end"/>
            </w:r>
          </w:hyperlink>
        </w:p>
        <w:p w14:paraId="28EA712F" w14:textId="41739AA5"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6" w:history="1">
            <w:r w:rsidRPr="000B7070">
              <w:rPr>
                <w:rStyle w:val="Hyperlink"/>
                <w:rFonts w:ascii="Times New Roman" w:hAnsi="Times New Roman" w:cs="Times New Roman"/>
                <w:noProof/>
              </w:rPr>
              <w:t>4.6 Turning This Analysis into an Ongoing Monitoring Practice</w:t>
            </w:r>
            <w:r>
              <w:rPr>
                <w:noProof/>
                <w:webHidden/>
              </w:rPr>
              <w:tab/>
            </w:r>
            <w:r>
              <w:rPr>
                <w:noProof/>
                <w:webHidden/>
              </w:rPr>
              <w:fldChar w:fldCharType="begin"/>
            </w:r>
            <w:r>
              <w:rPr>
                <w:noProof/>
                <w:webHidden/>
              </w:rPr>
              <w:instrText xml:space="preserve"> PAGEREF _Toc236340236 \h </w:instrText>
            </w:r>
            <w:r>
              <w:rPr>
                <w:noProof/>
                <w:webHidden/>
              </w:rPr>
            </w:r>
            <w:r>
              <w:rPr>
                <w:noProof/>
                <w:webHidden/>
              </w:rPr>
              <w:fldChar w:fldCharType="separate"/>
            </w:r>
            <w:r>
              <w:rPr>
                <w:noProof/>
                <w:webHidden/>
              </w:rPr>
              <w:t>17</w:t>
            </w:r>
            <w:r>
              <w:rPr>
                <w:noProof/>
                <w:webHidden/>
              </w:rPr>
              <w:fldChar w:fldCharType="end"/>
            </w:r>
          </w:hyperlink>
        </w:p>
        <w:p w14:paraId="4504E3FA" w14:textId="2BEB746B"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7" w:history="1">
            <w:r w:rsidRPr="000B7070">
              <w:rPr>
                <w:rStyle w:val="Hyperlink"/>
                <w:rFonts w:ascii="Times New Roman" w:hAnsi="Times New Roman" w:cs="Times New Roman"/>
                <w:noProof/>
              </w:rPr>
              <w:t>4.7 Implementation Roadmap and Ownership</w:t>
            </w:r>
            <w:r>
              <w:rPr>
                <w:noProof/>
                <w:webHidden/>
              </w:rPr>
              <w:tab/>
            </w:r>
            <w:r>
              <w:rPr>
                <w:noProof/>
                <w:webHidden/>
              </w:rPr>
              <w:fldChar w:fldCharType="begin"/>
            </w:r>
            <w:r>
              <w:rPr>
                <w:noProof/>
                <w:webHidden/>
              </w:rPr>
              <w:instrText xml:space="preserve"> PAGEREF _Toc236340237 \h </w:instrText>
            </w:r>
            <w:r>
              <w:rPr>
                <w:noProof/>
                <w:webHidden/>
              </w:rPr>
            </w:r>
            <w:r>
              <w:rPr>
                <w:noProof/>
                <w:webHidden/>
              </w:rPr>
              <w:fldChar w:fldCharType="separate"/>
            </w:r>
            <w:r>
              <w:rPr>
                <w:noProof/>
                <w:webHidden/>
              </w:rPr>
              <w:t>17</w:t>
            </w:r>
            <w:r>
              <w:rPr>
                <w:noProof/>
                <w:webHidden/>
              </w:rPr>
              <w:fldChar w:fldCharType="end"/>
            </w:r>
          </w:hyperlink>
        </w:p>
        <w:p w14:paraId="67AAC7BB" w14:textId="19B7512C"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8" w:history="1">
            <w:r w:rsidRPr="000B7070">
              <w:rPr>
                <w:rStyle w:val="Hyperlink"/>
                <w:rFonts w:ascii="Times New Roman" w:hAnsi="Times New Roman" w:cs="Times New Roman"/>
                <w:noProof/>
              </w:rPr>
              <w:t>4.8 Risk of Inaction</w:t>
            </w:r>
            <w:r>
              <w:rPr>
                <w:noProof/>
                <w:webHidden/>
              </w:rPr>
              <w:tab/>
            </w:r>
            <w:r>
              <w:rPr>
                <w:noProof/>
                <w:webHidden/>
              </w:rPr>
              <w:fldChar w:fldCharType="begin"/>
            </w:r>
            <w:r>
              <w:rPr>
                <w:noProof/>
                <w:webHidden/>
              </w:rPr>
              <w:instrText xml:space="preserve"> PAGEREF _Toc236340238 \h </w:instrText>
            </w:r>
            <w:r>
              <w:rPr>
                <w:noProof/>
                <w:webHidden/>
              </w:rPr>
            </w:r>
            <w:r>
              <w:rPr>
                <w:noProof/>
                <w:webHidden/>
              </w:rPr>
              <w:fldChar w:fldCharType="separate"/>
            </w:r>
            <w:r>
              <w:rPr>
                <w:noProof/>
                <w:webHidden/>
              </w:rPr>
              <w:t>18</w:t>
            </w:r>
            <w:r>
              <w:rPr>
                <w:noProof/>
                <w:webHidden/>
              </w:rPr>
              <w:fldChar w:fldCharType="end"/>
            </w:r>
          </w:hyperlink>
        </w:p>
        <w:p w14:paraId="1DBD4FF1" w14:textId="47881250"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39" w:history="1">
            <w:r w:rsidRPr="000B7070">
              <w:rPr>
                <w:rStyle w:val="Hyperlink"/>
                <w:rFonts w:ascii="Times New Roman" w:hAnsi="Times New Roman" w:cs="Times New Roman"/>
                <w:noProof/>
              </w:rPr>
              <w:t>4.9 Expected Combined Financial Impact</w:t>
            </w:r>
            <w:r>
              <w:rPr>
                <w:noProof/>
                <w:webHidden/>
              </w:rPr>
              <w:tab/>
            </w:r>
            <w:r>
              <w:rPr>
                <w:noProof/>
                <w:webHidden/>
              </w:rPr>
              <w:fldChar w:fldCharType="begin"/>
            </w:r>
            <w:r>
              <w:rPr>
                <w:noProof/>
                <w:webHidden/>
              </w:rPr>
              <w:instrText xml:space="preserve"> PAGEREF _Toc236340239 \h </w:instrText>
            </w:r>
            <w:r>
              <w:rPr>
                <w:noProof/>
                <w:webHidden/>
              </w:rPr>
            </w:r>
            <w:r>
              <w:rPr>
                <w:noProof/>
                <w:webHidden/>
              </w:rPr>
              <w:fldChar w:fldCharType="separate"/>
            </w:r>
            <w:r>
              <w:rPr>
                <w:noProof/>
                <w:webHidden/>
              </w:rPr>
              <w:t>18</w:t>
            </w:r>
            <w:r>
              <w:rPr>
                <w:noProof/>
                <w:webHidden/>
              </w:rPr>
              <w:fldChar w:fldCharType="end"/>
            </w:r>
          </w:hyperlink>
        </w:p>
        <w:p w14:paraId="02B07F76" w14:textId="32D3D02A"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40" w:history="1">
            <w:r w:rsidRPr="000B7070">
              <w:rPr>
                <w:rStyle w:val="Hyperlink"/>
                <w:rFonts w:ascii="Times New Roman" w:hAnsi="Times New Roman" w:cs="Times New Roman"/>
                <w:noProof/>
              </w:rPr>
              <w:t>4.10 Key Performance Indicators to Track Post-Implementation</w:t>
            </w:r>
            <w:r>
              <w:rPr>
                <w:noProof/>
                <w:webHidden/>
              </w:rPr>
              <w:tab/>
            </w:r>
            <w:r>
              <w:rPr>
                <w:noProof/>
                <w:webHidden/>
              </w:rPr>
              <w:fldChar w:fldCharType="begin"/>
            </w:r>
            <w:r>
              <w:rPr>
                <w:noProof/>
                <w:webHidden/>
              </w:rPr>
              <w:instrText xml:space="preserve"> PAGEREF _Toc236340240 \h </w:instrText>
            </w:r>
            <w:r>
              <w:rPr>
                <w:noProof/>
                <w:webHidden/>
              </w:rPr>
            </w:r>
            <w:r>
              <w:rPr>
                <w:noProof/>
                <w:webHidden/>
              </w:rPr>
              <w:fldChar w:fldCharType="separate"/>
            </w:r>
            <w:r>
              <w:rPr>
                <w:noProof/>
                <w:webHidden/>
              </w:rPr>
              <w:t>18</w:t>
            </w:r>
            <w:r>
              <w:rPr>
                <w:noProof/>
                <w:webHidden/>
              </w:rPr>
              <w:fldChar w:fldCharType="end"/>
            </w:r>
          </w:hyperlink>
        </w:p>
        <w:p w14:paraId="48167A1B" w14:textId="40B7B962" w:rsidR="00B116C0" w:rsidRDefault="00B116C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340241" w:history="1">
            <w:r w:rsidRPr="000B7070">
              <w:rPr>
                <w:rStyle w:val="Hyperlink"/>
                <w:rFonts w:ascii="Times New Roman" w:hAnsi="Times New Roman" w:cs="Times New Roman"/>
                <w:noProof/>
              </w:rPr>
              <w:t>4.11 Limitations and Scope for Future Analysis</w:t>
            </w:r>
            <w:r>
              <w:rPr>
                <w:noProof/>
                <w:webHidden/>
              </w:rPr>
              <w:tab/>
            </w:r>
            <w:r>
              <w:rPr>
                <w:noProof/>
                <w:webHidden/>
              </w:rPr>
              <w:fldChar w:fldCharType="begin"/>
            </w:r>
            <w:r>
              <w:rPr>
                <w:noProof/>
                <w:webHidden/>
              </w:rPr>
              <w:instrText xml:space="preserve"> PAGEREF _Toc236340241 \h </w:instrText>
            </w:r>
            <w:r>
              <w:rPr>
                <w:noProof/>
                <w:webHidden/>
              </w:rPr>
            </w:r>
            <w:r>
              <w:rPr>
                <w:noProof/>
                <w:webHidden/>
              </w:rPr>
              <w:fldChar w:fldCharType="separate"/>
            </w:r>
            <w:r>
              <w:rPr>
                <w:noProof/>
                <w:webHidden/>
              </w:rPr>
              <w:t>19</w:t>
            </w:r>
            <w:r>
              <w:rPr>
                <w:noProof/>
                <w:webHidden/>
              </w:rPr>
              <w:fldChar w:fldCharType="end"/>
            </w:r>
          </w:hyperlink>
        </w:p>
        <w:p w14:paraId="2157260B" w14:textId="0729E822" w:rsidR="00B116C0" w:rsidRDefault="00B116C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340242" w:history="1">
            <w:r w:rsidRPr="000B7070">
              <w:rPr>
                <w:rStyle w:val="Hyperlink"/>
                <w:rFonts w:ascii="Times New Roman" w:hAnsi="Times New Roman" w:cs="Times New Roman"/>
                <w:noProof/>
              </w:rPr>
              <w:t>5   Contents for Credibility</w:t>
            </w:r>
            <w:r>
              <w:rPr>
                <w:noProof/>
                <w:webHidden/>
              </w:rPr>
              <w:tab/>
            </w:r>
            <w:r>
              <w:rPr>
                <w:noProof/>
                <w:webHidden/>
              </w:rPr>
              <w:fldChar w:fldCharType="begin"/>
            </w:r>
            <w:r>
              <w:rPr>
                <w:noProof/>
                <w:webHidden/>
              </w:rPr>
              <w:instrText xml:space="preserve"> PAGEREF _Toc236340242 \h </w:instrText>
            </w:r>
            <w:r>
              <w:rPr>
                <w:noProof/>
                <w:webHidden/>
              </w:rPr>
            </w:r>
            <w:r>
              <w:rPr>
                <w:noProof/>
                <w:webHidden/>
              </w:rPr>
              <w:fldChar w:fldCharType="separate"/>
            </w:r>
            <w:r>
              <w:rPr>
                <w:noProof/>
                <w:webHidden/>
              </w:rPr>
              <w:t>19</w:t>
            </w:r>
            <w:r>
              <w:rPr>
                <w:noProof/>
                <w:webHidden/>
              </w:rPr>
              <w:fldChar w:fldCharType="end"/>
            </w:r>
          </w:hyperlink>
        </w:p>
        <w:p w14:paraId="74C356A2" w14:textId="275B425F" w:rsidR="00E74679" w:rsidRDefault="00E74679">
          <w:r>
            <w:rPr>
              <w:b/>
              <w:bCs/>
              <w:noProof/>
            </w:rPr>
            <w:fldChar w:fldCharType="end"/>
          </w:r>
        </w:p>
      </w:sdtContent>
    </w:sdt>
    <w:p w14:paraId="3108F939" w14:textId="4A5A97C5" w:rsidR="00037BFA" w:rsidRPr="00721AF4" w:rsidRDefault="00000000" w:rsidP="00721AF4">
      <w:pPr>
        <w:pStyle w:val="Heading1"/>
        <w:rPr>
          <w:rFonts w:ascii="Times New Roman" w:hAnsi="Times New Roman" w:cs="Times New Roman"/>
          <w:noProof/>
        </w:rPr>
      </w:pPr>
      <w:bookmarkStart w:id="1" w:name="_Toc236340207"/>
      <w:r w:rsidRPr="00721AF4">
        <w:rPr>
          <w:rFonts w:ascii="Times New Roman" w:hAnsi="Times New Roman" w:cs="Times New Roman"/>
        </w:rPr>
        <w:lastRenderedPageBreak/>
        <w:t>1   Executive Summary</w:t>
      </w:r>
      <w:bookmarkEnd w:id="0"/>
      <w:bookmarkEnd w:id="1"/>
    </w:p>
    <w:p w14:paraId="221C9D8B" w14:textId="620D928B" w:rsidR="000531F1" w:rsidRPr="000531F1" w:rsidRDefault="000531F1" w:rsidP="000531F1">
      <w:pPr>
        <w:spacing w:after="240"/>
        <w:rPr>
          <w:rFonts w:ascii="Times New Roman" w:hAnsi="Times New Roman" w:cs="Times New Roman"/>
        </w:rPr>
      </w:pPr>
      <w:r w:rsidRPr="000531F1">
        <w:rPr>
          <w:rFonts w:ascii="Times New Roman" w:hAnsi="Times New Roman" w:cs="Times New Roman"/>
        </w:rPr>
        <w:t xml:space="preserve">Zane Lifestyle (brand: </w:t>
      </w:r>
      <w:proofErr w:type="spellStart"/>
      <w:r w:rsidRPr="000531F1">
        <w:rPr>
          <w:rFonts w:ascii="Times New Roman" w:hAnsi="Times New Roman" w:cs="Times New Roman"/>
        </w:rPr>
        <w:t>Vanki</w:t>
      </w:r>
      <w:proofErr w:type="spellEnd"/>
      <w:r w:rsidRPr="000531F1">
        <w:rPr>
          <w:rFonts w:ascii="Times New Roman" w:hAnsi="Times New Roman" w:cs="Times New Roman"/>
        </w:rPr>
        <w:t xml:space="preserve">) </w:t>
      </w:r>
      <w:r w:rsidR="00CB68D6" w:rsidRPr="00CB68D6">
        <w:rPr>
          <w:rFonts w:ascii="Times New Roman" w:hAnsi="Times New Roman" w:cs="Times New Roman"/>
        </w:rPr>
        <w:t>is a two-year-old business selling anti-tarnish earrings, bracelets, rings, and neckpieces through one physical shop and WhatsApp/Facebook, with no digital sales history or inventory management system.</w:t>
      </w:r>
      <w:r w:rsidR="00CB68D6">
        <w:rPr>
          <w:rFonts w:ascii="Times New Roman" w:hAnsi="Times New Roman" w:cs="Times New Roman"/>
        </w:rPr>
        <w:t xml:space="preserve"> </w:t>
      </w:r>
      <w:r w:rsidRPr="000531F1">
        <w:rPr>
          <w:rFonts w:ascii="Times New Roman" w:hAnsi="Times New Roman" w:cs="Times New Roman"/>
        </w:rPr>
        <w:t>This made it impossible to identify which products actually drive revenue, how demand varies by category, or how much revenue was silently lost to unconfirmed customer stock holds.</w:t>
      </w:r>
    </w:p>
    <w:p w14:paraId="3ED4A3EE" w14:textId="217AB342" w:rsidR="000531F1" w:rsidRPr="000531F1" w:rsidRDefault="000531F1" w:rsidP="000531F1">
      <w:pPr>
        <w:spacing w:after="240"/>
        <w:rPr>
          <w:rFonts w:ascii="Times New Roman" w:hAnsi="Times New Roman" w:cs="Times New Roman"/>
        </w:rPr>
      </w:pPr>
      <w:r w:rsidRPr="000531F1">
        <w:rPr>
          <w:rFonts w:ascii="Times New Roman" w:hAnsi="Times New Roman" w:cs="Times New Roman"/>
        </w:rPr>
        <w:t xml:space="preserve">This project </w:t>
      </w:r>
      <w:r w:rsidR="00E74679" w:rsidRPr="000531F1">
        <w:rPr>
          <w:rFonts w:ascii="Times New Roman" w:hAnsi="Times New Roman" w:cs="Times New Roman"/>
        </w:rPr>
        <w:t>analysed</w:t>
      </w:r>
      <w:r w:rsidRPr="000531F1">
        <w:rPr>
          <w:rFonts w:ascii="Times New Roman" w:hAnsi="Times New Roman" w:cs="Times New Roman"/>
        </w:rPr>
        <w:t xml:space="preserve"> 100 orders (₹54,200 revenue, March–May 2026) across two objectives. Objective 1 found revenue grew 137% over the period (₹11,106 to ₹26,282 monthly), driven mainly by Bracelets and Earrings (78% of revenue), though ABC classification showed no strong 80/20 concentration</w:t>
      </w:r>
      <w:r w:rsidR="00E74679">
        <w:rPr>
          <w:rFonts w:ascii="Times New Roman" w:hAnsi="Times New Roman" w:cs="Times New Roman"/>
        </w:rPr>
        <w:t xml:space="preserve">; </w:t>
      </w:r>
      <w:r w:rsidRPr="000531F1">
        <w:rPr>
          <w:rFonts w:ascii="Times New Roman" w:hAnsi="Times New Roman" w:cs="Times New Roman"/>
        </w:rPr>
        <w:t>37 of 75 SKUs are needed to reach 70% of revenue. Sales velocity and demand-variability analysis further showed Rings as the least predictable category (CV 74.2%) and Earrings as the most stable (CV 33.4%), while price explained only 7.5% of variation in unit sales meaning product design, not discounting, drives demand.</w:t>
      </w:r>
    </w:p>
    <w:p w14:paraId="7EA1B168" w14:textId="3931E37F" w:rsidR="000531F1" w:rsidRDefault="000531F1" w:rsidP="000531F1">
      <w:pPr>
        <w:spacing w:after="240"/>
        <w:rPr>
          <w:rFonts w:ascii="Times New Roman" w:hAnsi="Times New Roman" w:cs="Times New Roman"/>
        </w:rPr>
      </w:pPr>
      <w:r w:rsidRPr="000531F1">
        <w:rPr>
          <w:rFonts w:ascii="Times New Roman" w:hAnsi="Times New Roman" w:cs="Times New Roman"/>
        </w:rPr>
        <w:t>Objective 2 quantified the cost of unconfirmed WhatsApp holds: of 36 recorded incidents, 19.4% ended in the customer never paying ("ghosting"), losing ₹2,320 in blocked stock value, with an additional ₹1,198.44 lost to informal bargaining</w:t>
      </w:r>
      <w:r w:rsidR="00E74679">
        <w:rPr>
          <w:rFonts w:ascii="Times New Roman" w:hAnsi="Times New Roman" w:cs="Times New Roman"/>
        </w:rPr>
        <w:t xml:space="preserve">, </w:t>
      </w:r>
      <w:r w:rsidRPr="000531F1">
        <w:rPr>
          <w:rFonts w:ascii="Times New Roman" w:hAnsi="Times New Roman" w:cs="Times New Roman"/>
        </w:rPr>
        <w:t xml:space="preserve">together ₹3,518.44, roughly 6.5% of </w:t>
      </w:r>
      <w:r w:rsidR="00E74679" w:rsidRPr="000531F1">
        <w:rPr>
          <w:rFonts w:ascii="Times New Roman" w:hAnsi="Times New Roman" w:cs="Times New Roman"/>
        </w:rPr>
        <w:t>analysed</w:t>
      </w:r>
      <w:r w:rsidRPr="000531F1">
        <w:rPr>
          <w:rFonts w:ascii="Times New Roman" w:hAnsi="Times New Roman" w:cs="Times New Roman"/>
        </w:rPr>
        <w:t xml:space="preserve"> revenue.</w:t>
      </w:r>
    </w:p>
    <w:p w14:paraId="516C71F1" w14:textId="55EF741C" w:rsidR="00CB68D6" w:rsidRPr="000E1BD7" w:rsidRDefault="00CB68D6" w:rsidP="00CB68D6">
      <w:pPr>
        <w:spacing w:after="240"/>
        <w:rPr>
          <w:rFonts w:ascii="Times New Roman" w:hAnsi="Times New Roman" w:cs="Times New Roman"/>
        </w:rPr>
      </w:pPr>
      <w:r>
        <w:rPr>
          <w:rFonts w:ascii="Times New Roman" w:hAnsi="Times New Roman" w:cs="Times New Roman"/>
        </w:rPr>
        <w:t xml:space="preserve">The current analysis recommends that Zane Lifestyle develop a stocking prioritization matrix, </w:t>
      </w:r>
      <w:r w:rsidRPr="00CB68D6">
        <w:rPr>
          <w:rFonts w:ascii="Times New Roman" w:hAnsi="Times New Roman" w:cs="Times New Roman"/>
        </w:rPr>
        <w:t>implement category-specific restocking schedules</w:t>
      </w:r>
      <w:r>
        <w:rPr>
          <w:rFonts w:ascii="Times New Roman" w:hAnsi="Times New Roman" w:cs="Times New Roman"/>
        </w:rPr>
        <w:t xml:space="preserve">, </w:t>
      </w:r>
      <w:r w:rsidRPr="00CB68D6">
        <w:rPr>
          <w:rFonts w:ascii="Times New Roman" w:hAnsi="Times New Roman" w:cs="Times New Roman"/>
        </w:rPr>
        <w:t>establish a 24-hour hold policy for WhatsApp orders, set a cap for informal price negotiations, and conduct monthly analyses to evaluate the impact of these measures</w:t>
      </w:r>
      <w:r w:rsidRPr="000531F1">
        <w:rPr>
          <w:rFonts w:ascii="Times New Roman" w:hAnsi="Times New Roman" w:cs="Times New Roman"/>
        </w:rPr>
        <w:t>.</w:t>
      </w:r>
    </w:p>
    <w:p w14:paraId="07FB3216" w14:textId="274CAAFD" w:rsidR="00526487" w:rsidRDefault="004E7617">
      <w:pPr>
        <w:pStyle w:val="Heading1"/>
        <w:spacing w:before="240"/>
        <w:rPr>
          <w:rFonts w:ascii="Times New Roman" w:hAnsi="Times New Roman" w:cs="Times New Roman"/>
        </w:rPr>
      </w:pPr>
      <w:bookmarkStart w:id="2" w:name="_Toc236340208"/>
      <w:r>
        <w:rPr>
          <w:rFonts w:ascii="Times New Roman" w:hAnsi="Times New Roman" w:cs="Times New Roman"/>
        </w:rPr>
        <w:t>2</w:t>
      </w:r>
      <w:r w:rsidRPr="009F19EF">
        <w:rPr>
          <w:rFonts w:ascii="Times New Roman" w:hAnsi="Times New Roman" w:cs="Times New Roman"/>
        </w:rPr>
        <w:t xml:space="preserve">   </w:t>
      </w:r>
      <w:r w:rsidRPr="004E7617">
        <w:rPr>
          <w:rFonts w:ascii="Times New Roman" w:hAnsi="Times New Roman" w:cs="Times New Roman"/>
        </w:rPr>
        <w:t>Detailed Explanation of Analysis Process/Method</w:t>
      </w:r>
      <w:bookmarkEnd w:id="2"/>
    </w:p>
    <w:p w14:paraId="42ADCFB8" w14:textId="77777777" w:rsidR="004E7617" w:rsidRPr="004E7617" w:rsidRDefault="004E7617" w:rsidP="004E7617">
      <w:pPr>
        <w:pStyle w:val="Heading2"/>
        <w:rPr>
          <w:rFonts w:ascii="Times New Roman" w:hAnsi="Times New Roman" w:cs="Times New Roman"/>
        </w:rPr>
      </w:pPr>
      <w:bookmarkStart w:id="3" w:name="_Toc236340209"/>
      <w:r w:rsidRPr="004E7617">
        <w:rPr>
          <w:rFonts w:ascii="Times New Roman" w:hAnsi="Times New Roman" w:cs="Times New Roman"/>
        </w:rPr>
        <w:t>2.1 Data Collection</w:t>
      </w:r>
      <w:bookmarkEnd w:id="3"/>
    </w:p>
    <w:p w14:paraId="12F581D9" w14:textId="77777777" w:rsidR="000615A7" w:rsidRDefault="000615A7" w:rsidP="000615A7">
      <w:pPr>
        <w:spacing w:after="240"/>
        <w:rPr>
          <w:rFonts w:ascii="Times New Roman" w:hAnsi="Times New Roman" w:cs="Times New Roman"/>
        </w:rPr>
      </w:pPr>
      <w:r w:rsidRPr="000615A7">
        <w:rPr>
          <w:rFonts w:ascii="Times New Roman" w:hAnsi="Times New Roman" w:cs="Times New Roman"/>
        </w:rPr>
        <w:t xml:space="preserve">Data was collected from Zane Lifestyle's order records maintained informally via the shop owner's WhatsApp/Facebook order log and physical sale register, covering the period March–May 2026. Since the business had no prior digital system, order details (date, items, quantities, price, payment mode, returns) were manually compiled into a structured spreadsheet across four linked sheets: </w:t>
      </w:r>
      <w:r w:rsidRPr="000615A7">
        <w:rPr>
          <w:rFonts w:ascii="Times New Roman" w:hAnsi="Times New Roman" w:cs="Times New Roman"/>
          <w:b/>
          <w:bCs/>
        </w:rPr>
        <w:t>Invoices</w:t>
      </w:r>
      <w:r w:rsidRPr="000615A7">
        <w:rPr>
          <w:rFonts w:ascii="Times New Roman" w:hAnsi="Times New Roman" w:cs="Times New Roman"/>
        </w:rPr>
        <w:t xml:space="preserve"> (100 raw orders, one row per order, 18 columns including up to 3 line items per order), </w:t>
      </w:r>
      <w:r w:rsidRPr="000615A7">
        <w:rPr>
          <w:rFonts w:ascii="Times New Roman" w:hAnsi="Times New Roman" w:cs="Times New Roman"/>
          <w:b/>
          <w:bCs/>
        </w:rPr>
        <w:t>Daily Sales</w:t>
      </w:r>
      <w:r w:rsidRPr="000615A7">
        <w:rPr>
          <w:rFonts w:ascii="Times New Roman" w:hAnsi="Times New Roman" w:cs="Times New Roman"/>
        </w:rPr>
        <w:t xml:space="preserve"> (204 flattened line-item records with per-product Month and Line Total fields), </w:t>
      </w:r>
      <w:r w:rsidRPr="000615A7">
        <w:rPr>
          <w:rFonts w:ascii="Times New Roman" w:hAnsi="Times New Roman" w:cs="Times New Roman"/>
          <w:b/>
          <w:bCs/>
        </w:rPr>
        <w:t>Product Summary</w:t>
      </w:r>
      <w:r w:rsidRPr="000615A7">
        <w:rPr>
          <w:rFonts w:ascii="Times New Roman" w:hAnsi="Times New Roman" w:cs="Times New Roman"/>
        </w:rPr>
        <w:t xml:space="preserve"> (75 unique SKUs aggregated with cumulative revenue share, unit price, and units returned), and </w:t>
      </w:r>
      <w:r w:rsidRPr="000615A7">
        <w:rPr>
          <w:rFonts w:ascii="Times New Roman" w:hAnsi="Times New Roman" w:cs="Times New Roman"/>
          <w:b/>
          <w:bCs/>
        </w:rPr>
        <w:t>Hold Tracker</w:t>
      </w:r>
      <w:r w:rsidRPr="000615A7">
        <w:rPr>
          <w:rFonts w:ascii="Times New Roman" w:hAnsi="Times New Roman" w:cs="Times New Roman"/>
        </w:rPr>
        <w:t xml:space="preserve"> (36 valid unconfirmed-hold incidents, recording hold duration, category, value held, bargaining </w:t>
      </w:r>
      <w:proofErr w:type="spellStart"/>
      <w:r w:rsidRPr="000615A7">
        <w:rPr>
          <w:rFonts w:ascii="Times New Roman" w:hAnsi="Times New Roman" w:cs="Times New Roman"/>
        </w:rPr>
        <w:t>behavior</w:t>
      </w:r>
      <w:proofErr w:type="spellEnd"/>
      <w:r w:rsidRPr="000615A7">
        <w:rPr>
          <w:rFonts w:ascii="Times New Roman" w:hAnsi="Times New Roman" w:cs="Times New Roman"/>
        </w:rPr>
        <w:t>, and outcome).</w:t>
      </w:r>
    </w:p>
    <w:p w14:paraId="1A0E498C" w14:textId="77777777" w:rsidR="006109A7" w:rsidRPr="006109A7" w:rsidRDefault="006109A7" w:rsidP="006109A7">
      <w:pPr>
        <w:spacing w:after="240"/>
        <w:rPr>
          <w:rFonts w:ascii="Times New Roman" w:hAnsi="Times New Roman" w:cs="Times New Roman"/>
        </w:rPr>
      </w:pPr>
      <w:r w:rsidRPr="006109A7">
        <w:rPr>
          <w:rFonts w:ascii="Times New Roman" w:hAnsi="Times New Roman" w:cs="Times New Roman"/>
        </w:rPr>
        <w:t xml:space="preserve">There are several reasons for having a four-sheets Excel file instead of having the data in one table. First, the Invoices sheet is in its own tab to represent the order in the exact form the owner had it (minus the customer details for privacy). It was important to have it as is to answer questions related to the return of goods at the most granular level possible. The second sheet, Daily Sales, is a consolidation of the line items in the invoice sheet to </w:t>
      </w:r>
      <w:proofErr w:type="spellStart"/>
      <w:r w:rsidRPr="006109A7">
        <w:rPr>
          <w:rFonts w:ascii="Times New Roman" w:hAnsi="Times New Roman" w:cs="Times New Roman"/>
        </w:rPr>
        <w:t>analyze</w:t>
      </w:r>
      <w:proofErr w:type="spellEnd"/>
      <w:r w:rsidRPr="006109A7">
        <w:rPr>
          <w:rFonts w:ascii="Times New Roman" w:hAnsi="Times New Roman" w:cs="Times New Roman"/>
        </w:rPr>
        <w:t xml:space="preserve"> the revenue at the category/product level (the invoice sheet has multiple products per row, while the Daily Sales sheet has each product per row). The third sheet, Product Summary, was created to answer questions about the inventory at the SKU level, including categorization (ABC), velocity, and ageing. Finally, the Hold Tracker sheet was separated to focus exclusively on the second business problem (order holds) without crowding out the sales information.</w:t>
      </w:r>
    </w:p>
    <w:p w14:paraId="7092755E" w14:textId="77777777" w:rsidR="004E7617" w:rsidRPr="004E7617" w:rsidRDefault="004E7617" w:rsidP="004E7617">
      <w:pPr>
        <w:pStyle w:val="Heading2"/>
        <w:rPr>
          <w:rFonts w:ascii="Times New Roman" w:hAnsi="Times New Roman" w:cs="Times New Roman"/>
        </w:rPr>
      </w:pPr>
      <w:bookmarkStart w:id="4" w:name="_Toc236340210"/>
      <w:r w:rsidRPr="004E7617">
        <w:rPr>
          <w:rFonts w:ascii="Times New Roman" w:hAnsi="Times New Roman" w:cs="Times New Roman"/>
        </w:rPr>
        <w:t>2.2 Data Cleaning</w:t>
      </w:r>
      <w:bookmarkEnd w:id="4"/>
    </w:p>
    <w:p w14:paraId="52F73C58"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Since the source data was compiled manually from WhatsApp/Facebook order logs and the physical sale register, each sheet required standardization before analysis, and this cleaning step directly shapes which numbers can be trusted later in the Results section.</w:t>
      </w:r>
    </w:p>
    <w:p w14:paraId="71D2CDF0" w14:textId="65469F03" w:rsidR="00FD315F" w:rsidRPr="00FD315F" w:rsidRDefault="00FD315F" w:rsidP="00835175">
      <w:pPr>
        <w:pStyle w:val="ListParagraph"/>
        <w:numPr>
          <w:ilvl w:val="0"/>
          <w:numId w:val="25"/>
        </w:numPr>
        <w:spacing w:after="240"/>
        <w:rPr>
          <w:rFonts w:ascii="Times New Roman" w:hAnsi="Times New Roman" w:cs="Times New Roman"/>
        </w:rPr>
      </w:pPr>
      <w:r w:rsidRPr="00FD315F">
        <w:rPr>
          <w:rFonts w:ascii="Times New Roman" w:hAnsi="Times New Roman" w:cs="Times New Roman"/>
          <w:b/>
          <w:bCs/>
        </w:rPr>
        <w:lastRenderedPageBreak/>
        <w:t>Invoices sheet:</w:t>
      </w:r>
      <w:r w:rsidRPr="00FD315F">
        <w:rPr>
          <w:rFonts w:ascii="Times New Roman" w:hAnsi="Times New Roman" w:cs="Times New Roman"/>
        </w:rPr>
        <w:t xml:space="preserve"> </w:t>
      </w:r>
      <w:r w:rsidR="006109A7" w:rsidRPr="006109A7">
        <w:rPr>
          <w:rFonts w:ascii="Times New Roman" w:hAnsi="Times New Roman" w:cs="Times New Roman"/>
        </w:rPr>
        <w:t xml:space="preserve">Orders with fewer than </w:t>
      </w:r>
      <w:proofErr w:type="gramStart"/>
      <w:r w:rsidR="006109A7" w:rsidRPr="006109A7">
        <w:rPr>
          <w:rFonts w:ascii="Times New Roman" w:hAnsi="Times New Roman" w:cs="Times New Roman"/>
        </w:rPr>
        <w:t>3 line</w:t>
      </w:r>
      <w:proofErr w:type="gramEnd"/>
      <w:r w:rsidR="006109A7" w:rsidRPr="006109A7">
        <w:rPr>
          <w:rFonts w:ascii="Times New Roman" w:hAnsi="Times New Roman" w:cs="Times New Roman"/>
        </w:rPr>
        <w:t xml:space="preserve"> items had placeholder "-" values in the unused Item 2/Item 3 fields; these were left as is since there are no missing values in terms of item count. The item values in the lines with "-" were omitted from item-wise aggregations, as this is the specific indicator of an order with a lesser quantity of items.</w:t>
      </w:r>
      <w:r w:rsidR="006109A7">
        <w:rPr>
          <w:rFonts w:ascii="Times New Roman" w:hAnsi="Times New Roman" w:cs="Times New Roman"/>
        </w:rPr>
        <w:t xml:space="preserve"> </w:t>
      </w:r>
      <w:r w:rsidRPr="00FD315F">
        <w:rPr>
          <w:rFonts w:ascii="Times New Roman" w:hAnsi="Times New Roman" w:cs="Times New Roman"/>
        </w:rPr>
        <w:t xml:space="preserve">Order dates (stored as DD-MM-YYYY text) were parsed into a consistent date format to enable month-wise grouping, which is the basis for every monthly trend reported later (Section </w:t>
      </w:r>
      <w:r w:rsidR="00F06C5E">
        <w:rPr>
          <w:rFonts w:ascii="Times New Roman" w:hAnsi="Times New Roman" w:cs="Times New Roman"/>
        </w:rPr>
        <w:t>3</w:t>
      </w:r>
      <w:r w:rsidRPr="00FD315F">
        <w:rPr>
          <w:rFonts w:ascii="Times New Roman" w:hAnsi="Times New Roman" w:cs="Times New Roman"/>
        </w:rPr>
        <w:t xml:space="preserve">.1.2, </w:t>
      </w:r>
      <w:r w:rsidR="00F06C5E">
        <w:rPr>
          <w:rFonts w:ascii="Times New Roman" w:hAnsi="Times New Roman" w:cs="Times New Roman"/>
        </w:rPr>
        <w:t>3</w:t>
      </w:r>
      <w:r w:rsidRPr="00FD315F">
        <w:rPr>
          <w:rFonts w:ascii="Times New Roman" w:hAnsi="Times New Roman" w:cs="Times New Roman"/>
        </w:rPr>
        <w:t xml:space="preserve">.1.5, </w:t>
      </w:r>
      <w:r w:rsidR="00F06C5E">
        <w:rPr>
          <w:rFonts w:ascii="Times New Roman" w:hAnsi="Times New Roman" w:cs="Times New Roman"/>
        </w:rPr>
        <w:t>3</w:t>
      </w:r>
      <w:r w:rsidRPr="00FD315F">
        <w:rPr>
          <w:rFonts w:ascii="Times New Roman" w:hAnsi="Times New Roman" w:cs="Times New Roman"/>
        </w:rPr>
        <w:t>.2.2).</w:t>
      </w:r>
    </w:p>
    <w:p w14:paraId="3F336573" w14:textId="04E83AF2" w:rsidR="00FD315F" w:rsidRPr="006109A7" w:rsidRDefault="00FD315F" w:rsidP="006109A7">
      <w:pPr>
        <w:pStyle w:val="ListParagraph"/>
        <w:numPr>
          <w:ilvl w:val="0"/>
          <w:numId w:val="25"/>
        </w:numPr>
        <w:spacing w:after="240"/>
      </w:pPr>
      <w:r w:rsidRPr="00FD315F">
        <w:rPr>
          <w:rFonts w:ascii="Times New Roman" w:hAnsi="Times New Roman" w:cs="Times New Roman"/>
          <w:b/>
          <w:bCs/>
        </w:rPr>
        <w:t>Daily Sales sheet:</w:t>
      </w:r>
      <w:r w:rsidRPr="00FD315F">
        <w:rPr>
          <w:rFonts w:ascii="Times New Roman" w:hAnsi="Times New Roman" w:cs="Times New Roman"/>
        </w:rPr>
        <w:t xml:space="preserve"> This sheet </w:t>
      </w:r>
      <w:r w:rsidR="00537BB8" w:rsidRPr="00537BB8">
        <w:rPr>
          <w:rFonts w:ascii="Times New Roman" w:hAnsi="Times New Roman" w:cs="Times New Roman"/>
        </w:rPr>
        <w:t>was created by flattening the Invoices sheet to create one row per line item</w:t>
      </w:r>
      <w:r w:rsidR="00537BB8">
        <w:rPr>
          <w:rFonts w:ascii="Times New Roman" w:hAnsi="Times New Roman" w:cs="Times New Roman"/>
        </w:rPr>
        <w:t xml:space="preserve">, </w:t>
      </w:r>
      <w:r w:rsidRPr="00FD315F">
        <w:rPr>
          <w:rFonts w:ascii="Times New Roman" w:hAnsi="Times New Roman" w:cs="Times New Roman"/>
        </w:rPr>
        <w:t xml:space="preserve">allowing product- and category-level aggregation. </w:t>
      </w:r>
      <w:r w:rsidR="00537BB8" w:rsidRPr="00537BB8">
        <w:rPr>
          <w:rFonts w:ascii="Times New Roman" w:hAnsi="Times New Roman" w:cs="Times New Roman"/>
        </w:rPr>
        <w:t xml:space="preserve">Category names were verified for uniformity regarding spelling and capitalization </w:t>
      </w:r>
      <w:r w:rsidRPr="00FD315F">
        <w:rPr>
          <w:rFonts w:ascii="Times New Roman" w:hAnsi="Times New Roman" w:cs="Times New Roman"/>
        </w:rPr>
        <w:t>(e.g., "Earrings" vs "earring") to prevent duplicate groupings during category-wise analysis</w:t>
      </w:r>
      <w:r w:rsidR="00E74679">
        <w:rPr>
          <w:rFonts w:ascii="Times New Roman" w:hAnsi="Times New Roman" w:cs="Times New Roman"/>
        </w:rPr>
        <w:t>.</w:t>
      </w:r>
      <w:r w:rsidRPr="00FD315F">
        <w:rPr>
          <w:rFonts w:ascii="Times New Roman" w:hAnsi="Times New Roman" w:cs="Times New Roman"/>
        </w:rPr>
        <w:t xml:space="preserve"> </w:t>
      </w:r>
      <w:r w:rsidR="006109A7" w:rsidRPr="006109A7">
        <w:rPr>
          <w:rFonts w:ascii="Times New Roman" w:hAnsi="Times New Roman" w:cs="Times New Roman"/>
        </w:rPr>
        <w:t xml:space="preserve">For instance, if </w:t>
      </w:r>
      <w:r w:rsidR="006109A7" w:rsidRPr="006109A7">
        <w:rPr>
          <w:rFonts w:ascii="Times New Roman" w:hAnsi="Times New Roman" w:cs="Times New Roman"/>
          <w:b/>
          <w:bCs/>
        </w:rPr>
        <w:t>Earrings</w:t>
      </w:r>
      <w:r w:rsidR="006109A7" w:rsidRPr="006109A7">
        <w:rPr>
          <w:rFonts w:ascii="Times New Roman" w:hAnsi="Times New Roman" w:cs="Times New Roman"/>
        </w:rPr>
        <w:t xml:space="preserve"> and </w:t>
      </w:r>
      <w:r w:rsidR="006109A7" w:rsidRPr="006109A7">
        <w:rPr>
          <w:rFonts w:ascii="Times New Roman" w:hAnsi="Times New Roman" w:cs="Times New Roman"/>
          <w:b/>
          <w:bCs/>
        </w:rPr>
        <w:t>earrings</w:t>
      </w:r>
      <w:r w:rsidR="006109A7" w:rsidRPr="006109A7">
        <w:rPr>
          <w:rFonts w:ascii="Times New Roman" w:hAnsi="Times New Roman" w:cs="Times New Roman"/>
        </w:rPr>
        <w:t xml:space="preserve"> were treated as separate categories during data import, the actual 37.5% share of total sales for Earrings would be incorrectly split between two entries, resulting in an understated value for each.</w:t>
      </w:r>
    </w:p>
    <w:p w14:paraId="31C7D0F5" w14:textId="1D74BEE8" w:rsidR="00FD315F" w:rsidRPr="00FD315F" w:rsidRDefault="00FD315F" w:rsidP="00FD315F">
      <w:pPr>
        <w:pStyle w:val="ListParagraph"/>
        <w:numPr>
          <w:ilvl w:val="0"/>
          <w:numId w:val="25"/>
        </w:numPr>
        <w:spacing w:after="240"/>
        <w:rPr>
          <w:rFonts w:ascii="Times New Roman" w:hAnsi="Times New Roman" w:cs="Times New Roman"/>
        </w:rPr>
      </w:pPr>
      <w:r w:rsidRPr="00FD315F">
        <w:rPr>
          <w:rFonts w:ascii="Times New Roman" w:hAnsi="Times New Roman" w:cs="Times New Roman"/>
          <w:b/>
          <w:bCs/>
        </w:rPr>
        <w:t>Product Summary sheet:</w:t>
      </w:r>
      <w:r w:rsidRPr="00FD315F">
        <w:rPr>
          <w:rFonts w:ascii="Times New Roman" w:hAnsi="Times New Roman" w:cs="Times New Roman"/>
        </w:rPr>
        <w:t xml:space="preserve"> </w:t>
      </w:r>
      <w:r w:rsidR="00B14C71" w:rsidRPr="00B14C71">
        <w:rPr>
          <w:rFonts w:ascii="Times New Roman" w:hAnsi="Times New Roman" w:cs="Times New Roman"/>
        </w:rPr>
        <w:t>In case of 75 unique SKUs, product names that might have been duplicated due to inconsistencies in names in the orders such as spaces at the end or inconsistency in hyphenation were checked. This consolidation of products is especially important to be performed for doing ABC analysis explained in Section 3.1.3 as any non-consolidated duplicates might cause wrong categorization of the products.</w:t>
      </w:r>
    </w:p>
    <w:p w14:paraId="59A81B39" w14:textId="19A7B7B9" w:rsidR="00FD315F" w:rsidRPr="00FD315F" w:rsidRDefault="00FD315F" w:rsidP="00FD315F">
      <w:pPr>
        <w:pStyle w:val="ListParagraph"/>
        <w:numPr>
          <w:ilvl w:val="0"/>
          <w:numId w:val="25"/>
        </w:numPr>
        <w:spacing w:after="240"/>
        <w:rPr>
          <w:rFonts w:ascii="Times New Roman" w:hAnsi="Times New Roman" w:cs="Times New Roman"/>
        </w:rPr>
      </w:pPr>
      <w:r w:rsidRPr="00FD315F">
        <w:rPr>
          <w:rFonts w:ascii="Times New Roman" w:hAnsi="Times New Roman" w:cs="Times New Roman"/>
          <w:b/>
          <w:bCs/>
        </w:rPr>
        <w:t>Currency fields:</w:t>
      </w:r>
      <w:r w:rsidRPr="00FD315F">
        <w:rPr>
          <w:rFonts w:ascii="Times New Roman" w:hAnsi="Times New Roman" w:cs="Times New Roman"/>
        </w:rPr>
        <w:t xml:space="preserve"> Order Total, Line Total, Total Revenue, and Value Held were stored as text with ₹ symbols and comma separators across all sheets; a custom cleaning function stripped these characters and converted values to numeric type for calculation. Every ₹ figure quoted anywhere in this report </w:t>
      </w:r>
      <w:r w:rsidR="00E74679">
        <w:rPr>
          <w:rFonts w:ascii="Times New Roman" w:hAnsi="Times New Roman" w:cs="Times New Roman"/>
        </w:rPr>
        <w:t>(</w:t>
      </w:r>
      <w:r w:rsidRPr="00FD315F">
        <w:rPr>
          <w:rFonts w:ascii="Times New Roman" w:hAnsi="Times New Roman" w:cs="Times New Roman"/>
        </w:rPr>
        <w:t xml:space="preserve">from the ₹54,200 total revenue in the Executive Summary to the ₹1,198.44 bargaining cost in Section </w:t>
      </w:r>
      <w:r w:rsidR="00F06C5E">
        <w:rPr>
          <w:rFonts w:ascii="Times New Roman" w:hAnsi="Times New Roman" w:cs="Times New Roman"/>
        </w:rPr>
        <w:t>3</w:t>
      </w:r>
      <w:r w:rsidRPr="00FD315F">
        <w:rPr>
          <w:rFonts w:ascii="Times New Roman" w:hAnsi="Times New Roman" w:cs="Times New Roman"/>
        </w:rPr>
        <w:t>.2.4</w:t>
      </w:r>
      <w:r w:rsidR="00E74679">
        <w:rPr>
          <w:rFonts w:ascii="Times New Roman" w:hAnsi="Times New Roman" w:cs="Times New Roman"/>
        </w:rPr>
        <w:t>)</w:t>
      </w:r>
      <w:r w:rsidRPr="00FD315F">
        <w:rPr>
          <w:rFonts w:ascii="Times New Roman" w:hAnsi="Times New Roman" w:cs="Times New Roman"/>
        </w:rPr>
        <w:t xml:space="preserve"> depends on this conversion being applied consistently across all four sheets.</w:t>
      </w:r>
    </w:p>
    <w:p w14:paraId="2F45BE2F" w14:textId="62983AE5" w:rsidR="0054559D" w:rsidRPr="00FD315F" w:rsidRDefault="00FD315F" w:rsidP="00FD315F">
      <w:pPr>
        <w:pStyle w:val="ListParagraph"/>
        <w:numPr>
          <w:ilvl w:val="0"/>
          <w:numId w:val="25"/>
        </w:numPr>
        <w:spacing w:after="240"/>
        <w:rPr>
          <w:rFonts w:ascii="Times New Roman" w:hAnsi="Times New Roman" w:cs="Times New Roman"/>
        </w:rPr>
      </w:pPr>
      <w:r w:rsidRPr="00FD315F">
        <w:rPr>
          <w:rFonts w:ascii="Times New Roman" w:hAnsi="Times New Roman" w:cs="Times New Roman"/>
          <w:b/>
          <w:bCs/>
        </w:rPr>
        <w:t>Hold Tracker sheet:</w:t>
      </w:r>
      <w:r w:rsidRPr="00FD315F">
        <w:rPr>
          <w:rFonts w:ascii="Times New Roman" w:hAnsi="Times New Roman" w:cs="Times New Roman"/>
        </w:rPr>
        <w:t xml:space="preserve"> Records were validated for completeness, </w:t>
      </w:r>
      <w:r w:rsidR="00537BB8" w:rsidRPr="00537BB8">
        <w:rPr>
          <w:rFonts w:ascii="Times New Roman" w:hAnsi="Times New Roman" w:cs="Times New Roman"/>
        </w:rPr>
        <w:t>and there were 19 records that lacked any outcome being recorded; hence they were excluded, leaving 36 valid hold cases (29 converted, 7 ghosted) that were used</w:t>
      </w:r>
      <w:r w:rsidR="00537BB8">
        <w:rPr>
          <w:rFonts w:ascii="Times New Roman" w:hAnsi="Times New Roman" w:cs="Times New Roman"/>
        </w:rPr>
        <w:t xml:space="preserve"> </w:t>
      </w:r>
      <w:r w:rsidRPr="00FD315F">
        <w:rPr>
          <w:rFonts w:ascii="Times New Roman" w:hAnsi="Times New Roman" w:cs="Times New Roman"/>
        </w:rPr>
        <w:t xml:space="preserve">as the working sample for all hold-related calculations in this report. </w:t>
      </w:r>
      <w:r w:rsidR="00537BB8" w:rsidRPr="00537BB8">
        <w:rPr>
          <w:rFonts w:ascii="Times New Roman" w:hAnsi="Times New Roman" w:cs="Times New Roman"/>
        </w:rPr>
        <w:t>The exclusion of the 19 records as opposed to imputation was a strategic move since trying to guess the outcome of an informal hold on WhatsApp would amount to fabrication of data in a section that required factual truth.</w:t>
      </w:r>
    </w:p>
    <w:p w14:paraId="11FB2584" w14:textId="2159E144" w:rsidR="0054559D" w:rsidRPr="0054559D" w:rsidRDefault="0054559D" w:rsidP="0054559D">
      <w:pPr>
        <w:pStyle w:val="Heading2"/>
        <w:rPr>
          <w:rFonts w:ascii="Times New Roman" w:hAnsi="Times New Roman" w:cs="Times New Roman"/>
        </w:rPr>
      </w:pPr>
      <w:bookmarkStart w:id="5" w:name="_Toc236340211"/>
      <w:r w:rsidRPr="0054559D">
        <w:rPr>
          <w:rFonts w:ascii="Times New Roman" w:hAnsi="Times New Roman" w:cs="Times New Roman"/>
        </w:rPr>
        <w:t>2.3 Method for Objective 1</w:t>
      </w:r>
      <w:r w:rsidR="00E74679">
        <w:rPr>
          <w:rFonts w:ascii="Times New Roman" w:hAnsi="Times New Roman" w:cs="Times New Roman"/>
        </w:rPr>
        <w:t>:</w:t>
      </w:r>
      <w:r w:rsidRPr="0054559D">
        <w:rPr>
          <w:rFonts w:ascii="Times New Roman" w:hAnsi="Times New Roman" w:cs="Times New Roman"/>
        </w:rPr>
        <w:t xml:space="preserve"> Sales &amp; Inventory Performance</w:t>
      </w:r>
      <w:bookmarkEnd w:id="5"/>
    </w:p>
    <w:p w14:paraId="1980032E" w14:textId="0E3F9017"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Descriptive statistics.</w:t>
      </w:r>
      <w:r w:rsidRPr="00FD315F">
        <w:rPr>
          <w:rFonts w:ascii="Times New Roman" w:hAnsi="Times New Roman" w:cs="Times New Roman"/>
        </w:rPr>
        <w:t xml:space="preserve"> Mean, median, mode, standard deviation, range, and coefficient of variation were computed on Order Total to characterize typical order value and its variability. Coefficient of variation was included specifically because mean/total alone (as used at mid-term) do not reveal how consistent or volatile order sizes are</w:t>
      </w:r>
      <w:r w:rsidR="00E74679">
        <w:rPr>
          <w:rFonts w:ascii="Times New Roman" w:hAnsi="Times New Roman" w:cs="Times New Roman"/>
        </w:rPr>
        <w:t>. A</w:t>
      </w:r>
      <w:r w:rsidRPr="00FD315F">
        <w:rPr>
          <w:rFonts w:ascii="Times New Roman" w:hAnsi="Times New Roman" w:cs="Times New Roman"/>
        </w:rPr>
        <w:t xml:space="preserve"> business with a ₹542 average order could either be a stable business selling ₹500 items consistently, or a volatile one alternating between ₹100 and ₹1,500 orders, and only CV distinguishes between the two. As reported in Section </w:t>
      </w:r>
      <w:r w:rsidR="00F06C5E">
        <w:rPr>
          <w:rFonts w:ascii="Times New Roman" w:hAnsi="Times New Roman" w:cs="Times New Roman"/>
        </w:rPr>
        <w:t>3</w:t>
      </w:r>
      <w:r w:rsidRPr="00FD315F">
        <w:rPr>
          <w:rFonts w:ascii="Times New Roman" w:hAnsi="Times New Roman" w:cs="Times New Roman"/>
        </w:rPr>
        <w:t>.1.1, the CV of 47.6% confirms the latter</w:t>
      </w:r>
      <w:r w:rsidR="001F7C22">
        <w:rPr>
          <w:rFonts w:ascii="Times New Roman" w:hAnsi="Times New Roman" w:cs="Times New Roman"/>
        </w:rPr>
        <w:t>,</w:t>
      </w:r>
      <w:r w:rsidRPr="00FD315F">
        <w:rPr>
          <w:rFonts w:ascii="Times New Roman" w:hAnsi="Times New Roman" w:cs="Times New Roman"/>
        </w:rPr>
        <w:t xml:space="preserve"> meaningful order-to-order variability that a mean alone would hide.</w:t>
      </w:r>
    </w:p>
    <w:p w14:paraId="5F06C0DE" w14:textId="35B548B6"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ABC/Pareto classification.</w:t>
      </w:r>
      <w:r w:rsidRPr="00FD315F">
        <w:rPr>
          <w:rFonts w:ascii="Times New Roman" w:hAnsi="Times New Roman" w:cs="Times New Roman"/>
        </w:rPr>
        <w:t xml:space="preserve"> This was applied to all 75 SKUs by cumulative revenue share (A: up to 70% of cumulative revenue, B: 70–90%, C: 90–100%)</w:t>
      </w:r>
      <w:r w:rsidR="00FE0E0D">
        <w:rPr>
          <w:rFonts w:ascii="Times New Roman" w:hAnsi="Times New Roman" w:cs="Times New Roman"/>
        </w:rPr>
        <w:t xml:space="preserve">. </w:t>
      </w:r>
      <w:r w:rsidR="00FE0E0D" w:rsidRPr="00FE0E0D">
        <w:rPr>
          <w:rFonts w:ascii="Times New Roman" w:hAnsi="Times New Roman" w:cs="Times New Roman"/>
        </w:rPr>
        <w:t>This approach has been used in order to determine those products that require prioritized restocking and those that can be deprioritized. This classification has been selected instead of the mere “Top 10 products” ranking, applied in the mid-term, as ABC classifies quantitatively the share of revenues of each category while the other approach only provides an arbitrary ranking of any length.</w:t>
      </w:r>
      <w:r w:rsidR="00FE0E0D">
        <w:rPr>
          <w:rFonts w:ascii="Times New Roman" w:hAnsi="Times New Roman" w:cs="Times New Roman"/>
        </w:rPr>
        <w:t xml:space="preserve"> </w:t>
      </w:r>
      <w:r w:rsidRPr="00FD315F">
        <w:rPr>
          <w:rFonts w:ascii="Times New Roman" w:hAnsi="Times New Roman" w:cs="Times New Roman"/>
        </w:rPr>
        <w:t xml:space="preserve">Crucially, this method also lets the data reveal </w:t>
      </w:r>
      <w:r w:rsidRPr="00FD315F">
        <w:rPr>
          <w:rFonts w:ascii="Times New Roman" w:hAnsi="Times New Roman" w:cs="Times New Roman"/>
          <w:i/>
          <w:iCs/>
        </w:rPr>
        <w:t>whether</w:t>
      </w:r>
      <w:r w:rsidRPr="00FD315F">
        <w:rPr>
          <w:rFonts w:ascii="Times New Roman" w:hAnsi="Times New Roman" w:cs="Times New Roman"/>
        </w:rPr>
        <w:t xml:space="preserve"> a Pareto-style concentration exists at all, rather than assuming it which is exactly what the mid-term remarks flagged as a premature conclusion. The result, detailed in Section </w:t>
      </w:r>
      <w:r w:rsidR="00F06C5E">
        <w:rPr>
          <w:rFonts w:ascii="Times New Roman" w:hAnsi="Times New Roman" w:cs="Times New Roman"/>
        </w:rPr>
        <w:t>3</w:t>
      </w:r>
      <w:r w:rsidRPr="00FD315F">
        <w:rPr>
          <w:rFonts w:ascii="Times New Roman" w:hAnsi="Times New Roman" w:cs="Times New Roman"/>
        </w:rPr>
        <w:t>.1.3, shows the concentration is real but far weaker than a textbook 80/20 pattern.</w:t>
      </w:r>
    </w:p>
    <w:p w14:paraId="2121F797" w14:textId="58068F61"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lastRenderedPageBreak/>
        <w:t>Sales velocity and stock ageing risk.</w:t>
      </w:r>
      <w:r w:rsidRPr="00FD315F">
        <w:rPr>
          <w:rFonts w:ascii="Times New Roman" w:hAnsi="Times New Roman" w:cs="Times New Roman"/>
        </w:rPr>
        <w:t xml:space="preserve"> Sales velocity (units sold per week) was calculated per product and category as Total Units Sold ÷ 13 weeks, to measure demand pace independent of price</w:t>
      </w:r>
      <w:r w:rsidR="001F7C22">
        <w:rPr>
          <w:rFonts w:ascii="Times New Roman" w:hAnsi="Times New Roman" w:cs="Times New Roman"/>
        </w:rPr>
        <w:t>. A</w:t>
      </w:r>
      <w:r w:rsidRPr="00FD315F">
        <w:rPr>
          <w:rFonts w:ascii="Times New Roman" w:hAnsi="Times New Roman" w:cs="Times New Roman"/>
        </w:rPr>
        <w:t xml:space="preserve"> product can generate strong revenue from a high price rather than genuine popularity, so velocity is a necessary complement to the ABC classification rather than a repeat of it. Each product was further placed into a Stock Ageing Risk tier (High/Medium/Low) based on its quartile position in total units sold, giving the business a direct, actionable flag for which SKUs should stop being reordered at standard volumes (Section </w:t>
      </w:r>
      <w:r w:rsidR="00F06C5E">
        <w:rPr>
          <w:rFonts w:ascii="Times New Roman" w:hAnsi="Times New Roman" w:cs="Times New Roman"/>
        </w:rPr>
        <w:t>3</w:t>
      </w:r>
      <w:r w:rsidRPr="00FD315F">
        <w:rPr>
          <w:rFonts w:ascii="Times New Roman" w:hAnsi="Times New Roman" w:cs="Times New Roman"/>
        </w:rPr>
        <w:t>.1.4).</w:t>
      </w:r>
    </w:p>
    <w:p w14:paraId="2F2427C2" w14:textId="77777777"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Demand variability (coefficient of variation by category).</w:t>
      </w:r>
      <w:r w:rsidRPr="00FD315F">
        <w:rPr>
          <w:rFonts w:ascii="Times New Roman" w:hAnsi="Times New Roman" w:cs="Times New Roman"/>
        </w:rPr>
        <w:t xml:space="preserve"> Category-wise CV was computed on monthly unit sales to assess demand stability, using the same CV logic applied to Order Total in the descriptive statistics step, but now applied at the category level to test a different question: not "how much do order sizes vary" but "how predictably does each category sell month to month." This was a direct response to the mid-term feedback that the report lacked diagnostic depth beyond simple totals.</w:t>
      </w:r>
    </w:p>
    <w:p w14:paraId="19161765" w14:textId="7534124E"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Month-over-month growth by category.</w:t>
      </w:r>
      <w:r w:rsidRPr="00FD315F">
        <w:rPr>
          <w:rFonts w:ascii="Times New Roman" w:hAnsi="Times New Roman" w:cs="Times New Roman"/>
        </w:rPr>
        <w:t xml:space="preserve"> Category-wise revenue was pivoted by month and growth rates were calculated as (Revenue Month </w:t>
      </w:r>
      <w:r w:rsidRPr="00FD315F">
        <w:rPr>
          <w:rFonts w:ascii="Times New Roman" w:hAnsi="Times New Roman" w:cs="Times New Roman"/>
          <w:i/>
          <w:iCs/>
        </w:rPr>
        <w:t>t</w:t>
      </w:r>
      <w:r w:rsidRPr="00FD315F">
        <w:rPr>
          <w:rFonts w:ascii="Times New Roman" w:hAnsi="Times New Roman" w:cs="Times New Roman"/>
        </w:rPr>
        <w:t xml:space="preserve"> − Revenue Month </w:t>
      </w:r>
      <w:r w:rsidRPr="00FD315F">
        <w:rPr>
          <w:rFonts w:ascii="Times New Roman" w:hAnsi="Times New Roman" w:cs="Times New Roman"/>
          <w:i/>
          <w:iCs/>
        </w:rPr>
        <w:t>t−1</w:t>
      </w:r>
      <w:r w:rsidRPr="00FD315F">
        <w:rPr>
          <w:rFonts w:ascii="Times New Roman" w:hAnsi="Times New Roman" w:cs="Times New Roman"/>
        </w:rPr>
        <w:t xml:space="preserve">) ÷ Revenue Month </w:t>
      </w:r>
      <w:r w:rsidRPr="00FD315F">
        <w:rPr>
          <w:rFonts w:ascii="Times New Roman" w:hAnsi="Times New Roman" w:cs="Times New Roman"/>
          <w:i/>
          <w:iCs/>
        </w:rPr>
        <w:t>t−1</w:t>
      </w:r>
      <w:r w:rsidRPr="00FD315F">
        <w:rPr>
          <w:rFonts w:ascii="Times New Roman" w:hAnsi="Times New Roman" w:cs="Times New Roman"/>
        </w:rPr>
        <w:t xml:space="preserve"> × 100, run separately for April-over-March and May-over-April. This was necessary because a single 3-month total, as reported at mid-term, cannot distinguish a category that is accelerating from one that spiked once and plateaued</w:t>
      </w:r>
      <w:r w:rsidR="001F7C22">
        <w:rPr>
          <w:rFonts w:ascii="Times New Roman" w:hAnsi="Times New Roman" w:cs="Times New Roman"/>
        </w:rPr>
        <w:t>. A</w:t>
      </w:r>
      <w:r w:rsidRPr="00FD315F">
        <w:rPr>
          <w:rFonts w:ascii="Times New Roman" w:hAnsi="Times New Roman" w:cs="Times New Roman"/>
        </w:rPr>
        <w:t xml:space="preserve"> distinction that matters directly for whether a category's growth should be trusted as a forecasting basis (Section </w:t>
      </w:r>
      <w:r w:rsidR="00F06C5E">
        <w:rPr>
          <w:rFonts w:ascii="Times New Roman" w:hAnsi="Times New Roman" w:cs="Times New Roman"/>
        </w:rPr>
        <w:t>3</w:t>
      </w:r>
      <w:r w:rsidRPr="00FD315F">
        <w:rPr>
          <w:rFonts w:ascii="Times New Roman" w:hAnsi="Times New Roman" w:cs="Times New Roman"/>
        </w:rPr>
        <w:t>.1.5).</w:t>
      </w:r>
    </w:p>
    <w:p w14:paraId="7F8C2FF7" w14:textId="7110D4E2" w:rsidR="00FD315F"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Price–demand correlation.</w:t>
      </w:r>
      <w:r w:rsidRPr="00FD315F">
        <w:rPr>
          <w:rFonts w:ascii="Times New Roman" w:hAnsi="Times New Roman" w:cs="Times New Roman"/>
        </w:rPr>
        <w:t xml:space="preserve"> A Pearson correlation was run between unit price and total quantity sold (r = −0.274, p = 0.017), chosen because both variables are continuous and the relationship under test</w:t>
      </w:r>
      <w:r w:rsidR="001F7C22">
        <w:rPr>
          <w:rFonts w:ascii="Times New Roman" w:hAnsi="Times New Roman" w:cs="Times New Roman"/>
        </w:rPr>
        <w:t xml:space="preserve">, </w:t>
      </w:r>
      <w:r w:rsidRPr="00FD315F">
        <w:rPr>
          <w:rFonts w:ascii="Times New Roman" w:hAnsi="Times New Roman" w:cs="Times New Roman"/>
        </w:rPr>
        <w:t>whether cheaper items sell in higher volume</w:t>
      </w:r>
      <w:r w:rsidR="001F7C22">
        <w:rPr>
          <w:rFonts w:ascii="Times New Roman" w:hAnsi="Times New Roman" w:cs="Times New Roman"/>
        </w:rPr>
        <w:t xml:space="preserve">, </w:t>
      </w:r>
      <w:r w:rsidRPr="00FD315F">
        <w:rPr>
          <w:rFonts w:ascii="Times New Roman" w:hAnsi="Times New Roman" w:cs="Times New Roman"/>
        </w:rPr>
        <w:t>is inherently linear in framing. This diagnostic step was added specifically to address the mid-term feedback that "results are too descriptive, not enough why," giving the report a tested, statistically significant explanation (rather than an assumption) for why certain products outperform others in volume.</w:t>
      </w:r>
    </w:p>
    <w:p w14:paraId="6FFD9766" w14:textId="0AFC5D51" w:rsidR="0054559D" w:rsidRPr="00FD315F" w:rsidRDefault="00FD315F" w:rsidP="00FD315F">
      <w:pPr>
        <w:pStyle w:val="ListParagraph"/>
        <w:numPr>
          <w:ilvl w:val="0"/>
          <w:numId w:val="26"/>
        </w:numPr>
        <w:spacing w:after="240"/>
        <w:rPr>
          <w:rFonts w:ascii="Times New Roman" w:hAnsi="Times New Roman" w:cs="Times New Roman"/>
        </w:rPr>
      </w:pPr>
      <w:r w:rsidRPr="00FD315F">
        <w:rPr>
          <w:rFonts w:ascii="Times New Roman" w:hAnsi="Times New Roman" w:cs="Times New Roman"/>
          <w:b/>
          <w:bCs/>
        </w:rPr>
        <w:t>Return rate.</w:t>
      </w:r>
      <w:r w:rsidRPr="00FD315F">
        <w:rPr>
          <w:rFonts w:ascii="Times New Roman" w:hAnsi="Times New Roman" w:cs="Times New Roman"/>
        </w:rPr>
        <w:t xml:space="preserve"> Return rate was calculated by merging Daily Sales with the Invoices sheet's Returned? flag on Order No., then computing the percentage of order-lines returned per category. This was included as a basic quality-control check: a category could show strong revenue and velocity while quietly suffering high returns, which would undercut any recommendation to prioritize it. As shown in Section </w:t>
      </w:r>
      <w:r w:rsidR="00F06C5E">
        <w:rPr>
          <w:rFonts w:ascii="Times New Roman" w:hAnsi="Times New Roman" w:cs="Times New Roman"/>
        </w:rPr>
        <w:t>3</w:t>
      </w:r>
      <w:r w:rsidRPr="00FD315F">
        <w:rPr>
          <w:rFonts w:ascii="Times New Roman" w:hAnsi="Times New Roman" w:cs="Times New Roman"/>
        </w:rPr>
        <w:t>.1.6, this is not the case here.</w:t>
      </w:r>
    </w:p>
    <w:p w14:paraId="2F7414F2" w14:textId="068797C5" w:rsidR="0054559D" w:rsidRPr="0054559D" w:rsidRDefault="0054559D" w:rsidP="0054559D">
      <w:pPr>
        <w:pStyle w:val="Heading2"/>
        <w:rPr>
          <w:rFonts w:ascii="Times New Roman" w:hAnsi="Times New Roman" w:cs="Times New Roman"/>
        </w:rPr>
      </w:pPr>
      <w:bookmarkStart w:id="6" w:name="_Toc236340212"/>
      <w:r w:rsidRPr="0054559D">
        <w:rPr>
          <w:rFonts w:ascii="Times New Roman" w:hAnsi="Times New Roman" w:cs="Times New Roman"/>
        </w:rPr>
        <w:t>2.4 Method for Objective 2</w:t>
      </w:r>
      <w:r w:rsidR="001F7C22">
        <w:rPr>
          <w:rFonts w:ascii="Times New Roman" w:hAnsi="Times New Roman" w:cs="Times New Roman"/>
        </w:rPr>
        <w:t>:</w:t>
      </w:r>
      <w:r w:rsidRPr="0054559D">
        <w:rPr>
          <w:rFonts w:ascii="Times New Roman" w:hAnsi="Times New Roman" w:cs="Times New Roman"/>
        </w:rPr>
        <w:t xml:space="preserve"> Unconfirmed Order Hold Management</w:t>
      </w:r>
      <w:bookmarkEnd w:id="6"/>
    </w:p>
    <w:p w14:paraId="5ED19A93"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Each of the 36 valid hold incidents was classified as "Converted (Paid)" or "Lost (No Payment/Ghosted)," forming the basis for four escalating layers of analysis, each answering a distinct business question the mid-term report had left unanswered.</w:t>
      </w:r>
    </w:p>
    <w:p w14:paraId="2A23E5FA" w14:textId="375366D5" w:rsidR="00FD315F" w:rsidRPr="00FD315F" w:rsidRDefault="00FD315F" w:rsidP="00FD315F">
      <w:pPr>
        <w:pStyle w:val="ListParagraph"/>
        <w:numPr>
          <w:ilvl w:val="0"/>
          <w:numId w:val="27"/>
        </w:numPr>
        <w:spacing w:after="240"/>
        <w:rPr>
          <w:rFonts w:ascii="Times New Roman" w:hAnsi="Times New Roman" w:cs="Times New Roman"/>
        </w:rPr>
      </w:pPr>
      <w:r w:rsidRPr="00FD315F">
        <w:rPr>
          <w:rFonts w:ascii="Times New Roman" w:hAnsi="Times New Roman" w:cs="Times New Roman"/>
          <w:b/>
          <w:bCs/>
        </w:rPr>
        <w:t>Ghost rate</w:t>
      </w:r>
      <w:r w:rsidRPr="00FD315F">
        <w:rPr>
          <w:rFonts w:ascii="Times New Roman" w:hAnsi="Times New Roman" w:cs="Times New Roman"/>
        </w:rPr>
        <w:t xml:space="preserve"> (proportion of holds ending in no payment) was calculated overall, by category, and by month, to identify </w:t>
      </w:r>
      <w:r w:rsidRPr="00FD315F">
        <w:rPr>
          <w:rFonts w:ascii="Times New Roman" w:hAnsi="Times New Roman" w:cs="Times New Roman"/>
          <w:i/>
          <w:iCs/>
        </w:rPr>
        <w:t>where</w:t>
      </w:r>
      <w:r w:rsidRPr="00FD315F">
        <w:rPr>
          <w:rFonts w:ascii="Times New Roman" w:hAnsi="Times New Roman" w:cs="Times New Roman"/>
        </w:rPr>
        <w:t xml:space="preserve"> stock-blocking risk concentrates rather than only </w:t>
      </w:r>
      <w:r w:rsidRPr="00FD315F">
        <w:rPr>
          <w:rFonts w:ascii="Times New Roman" w:hAnsi="Times New Roman" w:cs="Times New Roman"/>
          <w:i/>
          <w:iCs/>
        </w:rPr>
        <w:t>how much</w:t>
      </w:r>
      <w:r w:rsidRPr="00FD315F">
        <w:rPr>
          <w:rFonts w:ascii="Times New Roman" w:hAnsi="Times New Roman" w:cs="Times New Roman"/>
        </w:rPr>
        <w:t xml:space="preserve"> it costs in total</w:t>
      </w:r>
      <w:r w:rsidR="001F7C22">
        <w:rPr>
          <w:rFonts w:ascii="Times New Roman" w:hAnsi="Times New Roman" w:cs="Times New Roman"/>
        </w:rPr>
        <w:t>. T</w:t>
      </w:r>
      <w:r w:rsidRPr="00FD315F">
        <w:rPr>
          <w:rFonts w:ascii="Times New Roman" w:hAnsi="Times New Roman" w:cs="Times New Roman"/>
        </w:rPr>
        <w:t>his breakdown is what allows the recommendation to target Rings and Earrings specifically rather than proposing a uniform policy.</w:t>
      </w:r>
    </w:p>
    <w:p w14:paraId="3E3A62DD" w14:textId="045AE46D" w:rsidR="00FD315F" w:rsidRPr="00FD315F" w:rsidRDefault="00FD315F" w:rsidP="00FD315F">
      <w:pPr>
        <w:pStyle w:val="ListParagraph"/>
        <w:numPr>
          <w:ilvl w:val="0"/>
          <w:numId w:val="27"/>
        </w:numPr>
        <w:spacing w:after="240"/>
        <w:rPr>
          <w:rFonts w:ascii="Times New Roman" w:hAnsi="Times New Roman" w:cs="Times New Roman"/>
        </w:rPr>
      </w:pPr>
      <w:r w:rsidRPr="00FD315F">
        <w:rPr>
          <w:rFonts w:ascii="Times New Roman" w:hAnsi="Times New Roman" w:cs="Times New Roman"/>
          <w:b/>
          <w:bCs/>
        </w:rPr>
        <w:t>Stock-hours blocked</w:t>
      </w:r>
      <w:r w:rsidRPr="00FD315F">
        <w:rPr>
          <w:rFonts w:ascii="Times New Roman" w:hAnsi="Times New Roman" w:cs="Times New Roman"/>
        </w:rPr>
        <w:t xml:space="preserve"> (Value Held ₹ × Hold Duration hrs) was constructed as an opportunity-cost metric because a simple count of ghosted incidents understates the true cost: a ghosted hold that sits for 90 hours ties up inventory far more expensively than one resolved in 5 hours, even if both are counted as a single "ghosted" incident. This metric, detailed in Section </w:t>
      </w:r>
      <w:r w:rsidR="00B16F17">
        <w:rPr>
          <w:rFonts w:ascii="Times New Roman" w:hAnsi="Times New Roman" w:cs="Times New Roman"/>
        </w:rPr>
        <w:t>3</w:t>
      </w:r>
      <w:r w:rsidRPr="00FD315F">
        <w:rPr>
          <w:rFonts w:ascii="Times New Roman" w:hAnsi="Times New Roman" w:cs="Times New Roman"/>
        </w:rPr>
        <w:t>.2.3, is what reveals that ghosted holds</w:t>
      </w:r>
      <w:r w:rsidR="001F7C22">
        <w:rPr>
          <w:rFonts w:ascii="Times New Roman" w:hAnsi="Times New Roman" w:cs="Times New Roman"/>
        </w:rPr>
        <w:t xml:space="preserve">, </w:t>
      </w:r>
      <w:r w:rsidRPr="00FD315F">
        <w:rPr>
          <w:rFonts w:ascii="Times New Roman" w:hAnsi="Times New Roman" w:cs="Times New Roman"/>
        </w:rPr>
        <w:t>despite being fewer in number</w:t>
      </w:r>
      <w:r w:rsidR="001F7C22">
        <w:rPr>
          <w:rFonts w:ascii="Times New Roman" w:hAnsi="Times New Roman" w:cs="Times New Roman"/>
        </w:rPr>
        <w:t xml:space="preserve">, </w:t>
      </w:r>
      <w:r w:rsidRPr="00FD315F">
        <w:rPr>
          <w:rFonts w:ascii="Times New Roman" w:hAnsi="Times New Roman" w:cs="Times New Roman"/>
        </w:rPr>
        <w:t>actually block more aggregate stock-time than converted holds.</w:t>
      </w:r>
    </w:p>
    <w:p w14:paraId="60EF9738" w14:textId="732C6B27" w:rsidR="00FD315F" w:rsidRPr="00FD315F" w:rsidRDefault="00FD315F" w:rsidP="00FD315F">
      <w:pPr>
        <w:pStyle w:val="ListParagraph"/>
        <w:numPr>
          <w:ilvl w:val="0"/>
          <w:numId w:val="27"/>
        </w:numPr>
        <w:spacing w:after="240"/>
        <w:rPr>
          <w:rFonts w:ascii="Times New Roman" w:hAnsi="Times New Roman" w:cs="Times New Roman"/>
        </w:rPr>
      </w:pPr>
      <w:r w:rsidRPr="00FD315F">
        <w:rPr>
          <w:rFonts w:ascii="Times New Roman" w:hAnsi="Times New Roman" w:cs="Times New Roman"/>
          <w:b/>
          <w:bCs/>
        </w:rPr>
        <w:t>Bargaining cost</w:t>
      </w:r>
      <w:r w:rsidRPr="00FD315F">
        <w:rPr>
          <w:rFonts w:ascii="Times New Roman" w:hAnsi="Times New Roman" w:cs="Times New Roman"/>
        </w:rPr>
        <w:t xml:space="preserve"> was calculated for holds where a discount was requested and the order converted, as Value Held × (Discount Requested % ÷ 100). This captures a cost the business had </w:t>
      </w:r>
      <w:r w:rsidRPr="00FD315F">
        <w:rPr>
          <w:rFonts w:ascii="Times New Roman" w:hAnsi="Times New Roman" w:cs="Times New Roman"/>
        </w:rPr>
        <w:lastRenderedPageBreak/>
        <w:t xml:space="preserve">never previously tracked: margin quietly given away during informal negotiation, separate from the ghosting problem entirely (Section </w:t>
      </w:r>
      <w:r w:rsidR="00B16F17">
        <w:rPr>
          <w:rFonts w:ascii="Times New Roman" w:hAnsi="Times New Roman" w:cs="Times New Roman"/>
        </w:rPr>
        <w:t>3</w:t>
      </w:r>
      <w:r w:rsidRPr="00FD315F">
        <w:rPr>
          <w:rFonts w:ascii="Times New Roman" w:hAnsi="Times New Roman" w:cs="Times New Roman"/>
        </w:rPr>
        <w:t>.2.4).</w:t>
      </w:r>
    </w:p>
    <w:p w14:paraId="524DB092" w14:textId="269D8C52" w:rsidR="0054559D" w:rsidRPr="00FD315F" w:rsidRDefault="00FD315F" w:rsidP="00FD315F">
      <w:pPr>
        <w:pStyle w:val="ListParagraph"/>
        <w:numPr>
          <w:ilvl w:val="0"/>
          <w:numId w:val="27"/>
        </w:numPr>
        <w:spacing w:after="240"/>
        <w:rPr>
          <w:rFonts w:ascii="Times New Roman" w:hAnsi="Times New Roman" w:cs="Times New Roman"/>
        </w:rPr>
      </w:pPr>
      <w:r w:rsidRPr="00FD315F">
        <w:rPr>
          <w:rFonts w:ascii="Times New Roman" w:hAnsi="Times New Roman" w:cs="Times New Roman"/>
          <w:b/>
          <w:bCs/>
        </w:rPr>
        <w:t>Policy simulation</w:t>
      </w:r>
      <w:r w:rsidRPr="00FD315F">
        <w:rPr>
          <w:rFonts w:ascii="Times New Roman" w:hAnsi="Times New Roman" w:cs="Times New Roman"/>
        </w:rPr>
        <w:t xml:space="preserve"> tested two hypothetical hold-expiry rules</w:t>
      </w:r>
      <w:r w:rsidR="001F7C22">
        <w:rPr>
          <w:rFonts w:ascii="Times New Roman" w:hAnsi="Times New Roman" w:cs="Times New Roman"/>
        </w:rPr>
        <w:t xml:space="preserve">, </w:t>
      </w:r>
      <w:r w:rsidRPr="00FD315F">
        <w:rPr>
          <w:rFonts w:ascii="Times New Roman" w:hAnsi="Times New Roman" w:cs="Times New Roman"/>
        </w:rPr>
        <w:t>24-hour and 48-hour auto-release</w:t>
      </w:r>
      <w:r w:rsidR="001F7C22">
        <w:rPr>
          <w:rFonts w:ascii="Times New Roman" w:hAnsi="Times New Roman" w:cs="Times New Roman"/>
        </w:rPr>
        <w:t xml:space="preserve">, </w:t>
      </w:r>
      <w:r w:rsidRPr="00FD315F">
        <w:rPr>
          <w:rFonts w:ascii="Times New Roman" w:hAnsi="Times New Roman" w:cs="Times New Roman"/>
        </w:rPr>
        <w:t>against the actual recorded ghosted orders, counting how many would have been flagged and how much stock value would have been freed earlier under each rule. This was designed specifically to produce a testable, adoptable recommendation rather than a general observation like "the business should manage holds better"</w:t>
      </w:r>
      <w:r w:rsidR="001F7C22">
        <w:rPr>
          <w:rFonts w:ascii="Times New Roman" w:hAnsi="Times New Roman" w:cs="Times New Roman"/>
        </w:rPr>
        <w:t>. I</w:t>
      </w:r>
      <w:r w:rsidRPr="00FD315F">
        <w:rPr>
          <w:rFonts w:ascii="Times New Roman" w:hAnsi="Times New Roman" w:cs="Times New Roman"/>
        </w:rPr>
        <w:t xml:space="preserve">t lets the owner see, in ₹ terms, the concrete difference between two specific policy choices (Section </w:t>
      </w:r>
      <w:r w:rsidR="00B16F17">
        <w:rPr>
          <w:rFonts w:ascii="Times New Roman" w:hAnsi="Times New Roman" w:cs="Times New Roman"/>
        </w:rPr>
        <w:t>3</w:t>
      </w:r>
      <w:r w:rsidRPr="00FD315F">
        <w:rPr>
          <w:rFonts w:ascii="Times New Roman" w:hAnsi="Times New Roman" w:cs="Times New Roman"/>
        </w:rPr>
        <w:t>.2.5).</w:t>
      </w:r>
    </w:p>
    <w:p w14:paraId="74FFFAAE" w14:textId="11285E5E" w:rsidR="00037BFA" w:rsidRPr="009F19EF" w:rsidRDefault="004261EE">
      <w:pPr>
        <w:pStyle w:val="Heading1"/>
        <w:spacing w:before="240"/>
        <w:rPr>
          <w:rFonts w:ascii="Times New Roman" w:hAnsi="Times New Roman" w:cs="Times New Roman"/>
        </w:rPr>
      </w:pPr>
      <w:bookmarkStart w:id="7" w:name="_Toc236340213"/>
      <w:r>
        <w:rPr>
          <w:rFonts w:ascii="Times New Roman" w:hAnsi="Times New Roman" w:cs="Times New Roman"/>
        </w:rPr>
        <w:t>3</w:t>
      </w:r>
      <w:r w:rsidRPr="009F19EF">
        <w:rPr>
          <w:rFonts w:ascii="Times New Roman" w:hAnsi="Times New Roman" w:cs="Times New Roman"/>
        </w:rPr>
        <w:t xml:space="preserve">   </w:t>
      </w:r>
      <w:r w:rsidR="00D52713" w:rsidRPr="00D52713">
        <w:rPr>
          <w:rFonts w:ascii="Times New Roman" w:hAnsi="Times New Roman" w:cs="Times New Roman"/>
        </w:rPr>
        <w:t>Results and Findings</w:t>
      </w:r>
      <w:bookmarkEnd w:id="7"/>
    </w:p>
    <w:p w14:paraId="092D059C" w14:textId="0E216D23" w:rsidR="00D52713" w:rsidRPr="00D52713" w:rsidRDefault="00D52713" w:rsidP="00D52713">
      <w:pPr>
        <w:pStyle w:val="Heading2"/>
        <w:rPr>
          <w:rFonts w:ascii="Times New Roman" w:hAnsi="Times New Roman" w:cs="Times New Roman"/>
        </w:rPr>
      </w:pPr>
      <w:bookmarkStart w:id="8" w:name="_Toc236340214"/>
      <w:r w:rsidRPr="00D52713">
        <w:rPr>
          <w:rFonts w:ascii="Times New Roman" w:hAnsi="Times New Roman" w:cs="Times New Roman"/>
        </w:rPr>
        <w:t>3.1 Sales &amp; Inventory Performance (Objective 1)</w:t>
      </w:r>
      <w:bookmarkEnd w:id="8"/>
    </w:p>
    <w:p w14:paraId="1F3CE0BB" w14:textId="2EC4279A" w:rsidR="00D52713" w:rsidRPr="00D52713" w:rsidRDefault="00D52713" w:rsidP="00283CF2">
      <w:pPr>
        <w:pStyle w:val="Heading3"/>
        <w:spacing w:after="240"/>
        <w:rPr>
          <w:rFonts w:ascii="Times New Roman" w:hAnsi="Times New Roman" w:cs="Times New Roman"/>
        </w:rPr>
      </w:pPr>
      <w:bookmarkStart w:id="9" w:name="_Toc236340215"/>
      <w:r w:rsidRPr="00D52713">
        <w:rPr>
          <w:rFonts w:ascii="Times New Roman" w:hAnsi="Times New Roman" w:cs="Times New Roman"/>
        </w:rPr>
        <w:t>3.1.1 Descriptive Statistics of Order Value</w:t>
      </w:r>
      <w:bookmarkEnd w:id="9"/>
    </w:p>
    <w:p w14:paraId="32839C77" w14:textId="77777777" w:rsidR="00283CF2" w:rsidRDefault="00FD315F" w:rsidP="000F3D85">
      <w:pPr>
        <w:jc w:val="center"/>
        <w:rPr>
          <w:rFonts w:ascii="Times New Roman" w:hAnsi="Times New Roman" w:cs="Times New Roman"/>
        </w:rPr>
      </w:pPr>
      <w:r w:rsidRPr="007077F3">
        <w:rPr>
          <w:rFonts w:ascii="Times New Roman" w:hAnsi="Times New Roman" w:cs="Times New Roman"/>
          <w:b/>
          <w:bCs/>
          <w:noProof/>
        </w:rPr>
        <w:drawing>
          <wp:inline distT="0" distB="0" distL="0" distR="0" wp14:anchorId="07BC2AE7" wp14:editId="31D135F3">
            <wp:extent cx="2983481" cy="2121063"/>
            <wp:effectExtent l="0" t="0" r="7620" b="0"/>
            <wp:docPr id="6698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5101" name=""/>
                    <pic:cNvPicPr/>
                  </pic:nvPicPr>
                  <pic:blipFill>
                    <a:blip r:embed="rId9">
                      <a:extLst>
                        <a:ext uri="{28A0092B-C50C-407E-A947-70E740481C1C}">
                          <a14:useLocalDpi xmlns:a14="http://schemas.microsoft.com/office/drawing/2010/main" val="0"/>
                        </a:ext>
                      </a:extLst>
                    </a:blip>
                    <a:stretch>
                      <a:fillRect/>
                    </a:stretch>
                  </pic:blipFill>
                  <pic:spPr>
                    <a:xfrm>
                      <a:off x="0" y="0"/>
                      <a:ext cx="2992168" cy="2127239"/>
                    </a:xfrm>
                    <a:prstGeom prst="rect">
                      <a:avLst/>
                    </a:prstGeom>
                  </pic:spPr>
                </pic:pic>
              </a:graphicData>
            </a:graphic>
          </wp:inline>
        </w:drawing>
      </w:r>
    </w:p>
    <w:p w14:paraId="4A5BFD8B" w14:textId="02200839" w:rsidR="000F3D85" w:rsidRPr="000F3D85" w:rsidRDefault="007606CF" w:rsidP="00283CF2">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3.1</w:t>
      </w:r>
      <w:r w:rsidR="000F3D85">
        <w:rPr>
          <w:rFonts w:ascii="Times New Roman" w:hAnsi="Times New Roman" w:cs="Times New Roman"/>
          <w:i/>
          <w:iCs/>
          <w:sz w:val="16"/>
          <w:szCs w:val="16"/>
        </w:rPr>
        <w:t xml:space="preserve">: </w:t>
      </w:r>
      <w:r w:rsidR="000F3D85" w:rsidRPr="000F3D85">
        <w:rPr>
          <w:rFonts w:ascii="Times New Roman" w:hAnsi="Times New Roman" w:cs="Times New Roman"/>
          <w:i/>
          <w:iCs/>
          <w:sz w:val="16"/>
          <w:szCs w:val="16"/>
        </w:rPr>
        <w:t>Descriptive Statistics of Order Value</w:t>
      </w:r>
    </w:p>
    <w:p w14:paraId="7D861C1A" w14:textId="30FC1947" w:rsidR="00D52713" w:rsidRPr="00D52713" w:rsidRDefault="00FD315F" w:rsidP="00283CF2">
      <w:pPr>
        <w:spacing w:after="240"/>
        <w:rPr>
          <w:rFonts w:ascii="Times New Roman" w:hAnsi="Times New Roman" w:cs="Times New Roman"/>
        </w:rPr>
      </w:pPr>
      <w:r w:rsidRPr="00FD315F">
        <w:rPr>
          <w:rFonts w:ascii="Times New Roman" w:hAnsi="Times New Roman" w:cs="Times New Roman"/>
        </w:rPr>
        <w:t xml:space="preserve">The 100 orders </w:t>
      </w:r>
      <w:r w:rsidR="001F7C22" w:rsidRPr="00FD315F">
        <w:rPr>
          <w:rFonts w:ascii="Times New Roman" w:hAnsi="Times New Roman" w:cs="Times New Roman"/>
        </w:rPr>
        <w:t>analysed</w:t>
      </w:r>
      <w:r w:rsidRPr="00FD315F">
        <w:rPr>
          <w:rFonts w:ascii="Times New Roman" w:hAnsi="Times New Roman" w:cs="Times New Roman"/>
        </w:rPr>
        <w:t xml:space="preserve"> had a mean order value of ₹542, median ₹548, and mode ₹249</w:t>
      </w:r>
      <w:r w:rsidR="001F7C22">
        <w:rPr>
          <w:rFonts w:ascii="Times New Roman" w:hAnsi="Times New Roman" w:cs="Times New Roman"/>
        </w:rPr>
        <w:t xml:space="preserve">. </w:t>
      </w:r>
      <w:r w:rsidR="00F848ED" w:rsidRPr="00F848ED">
        <w:rPr>
          <w:rFonts w:ascii="Times New Roman" w:hAnsi="Times New Roman" w:cs="Times New Roman"/>
        </w:rPr>
        <w:t xml:space="preserve">The difference between the mean/median and mode </w:t>
      </w:r>
      <w:r w:rsidR="00F848ED">
        <w:rPr>
          <w:rFonts w:ascii="Times New Roman" w:hAnsi="Times New Roman" w:cs="Times New Roman"/>
        </w:rPr>
        <w:t xml:space="preserve">suggests that there is a </w:t>
      </w:r>
      <w:r w:rsidR="00F848ED" w:rsidRPr="00F848ED">
        <w:rPr>
          <w:rFonts w:ascii="Times New Roman" w:hAnsi="Times New Roman" w:cs="Times New Roman"/>
        </w:rPr>
        <w:t>cluster of low-value repeat</w:t>
      </w:r>
      <w:r w:rsidR="00F848ED">
        <w:rPr>
          <w:rFonts w:ascii="Times New Roman" w:hAnsi="Times New Roman" w:cs="Times New Roman"/>
        </w:rPr>
        <w:t>ed</w:t>
      </w:r>
      <w:r w:rsidR="00F848ED" w:rsidRPr="00F848ED">
        <w:rPr>
          <w:rFonts w:ascii="Times New Roman" w:hAnsi="Times New Roman" w:cs="Times New Roman"/>
        </w:rPr>
        <w:t xml:space="preserve"> orders (likely single-item earring purchases), along with a few orders of high value pulling the average up. The order value for all the orders was between ₹99 to ₹1,580 (₹1,481), having a standard deviation of ₹258.14 and coefficient of variation of 47.6%</w:t>
      </w:r>
      <w:r w:rsidR="00F848ED">
        <w:rPr>
          <w:rFonts w:ascii="Times New Roman" w:hAnsi="Times New Roman" w:cs="Times New Roman"/>
        </w:rPr>
        <w:t xml:space="preserve">, </w:t>
      </w:r>
      <w:r w:rsidRPr="00FD315F">
        <w:rPr>
          <w:rFonts w:ascii="Times New Roman" w:hAnsi="Times New Roman" w:cs="Times New Roman"/>
        </w:rPr>
        <w:t>indicating substantial order-to-order variability, consistent with a small retailer selling across multiple price tiers (studs vs. statement pieces) rather than a single standardized product line. This variability is precisely why the category- and product-level breakdowns that follow are necessary</w:t>
      </w:r>
      <w:r w:rsidR="00F848ED">
        <w:rPr>
          <w:rFonts w:ascii="Times New Roman" w:hAnsi="Times New Roman" w:cs="Times New Roman"/>
        </w:rPr>
        <w:t>. A</w:t>
      </w:r>
      <w:r w:rsidRPr="00FD315F">
        <w:rPr>
          <w:rFonts w:ascii="Times New Roman" w:hAnsi="Times New Roman" w:cs="Times New Roman"/>
        </w:rPr>
        <w:t>n average order value alone gives the owner no actionable guidance on which products or price tiers to focus on.</w:t>
      </w:r>
    </w:p>
    <w:p w14:paraId="691EE987" w14:textId="6C1A826B" w:rsidR="00D52713" w:rsidRPr="00D52713" w:rsidRDefault="00D52713" w:rsidP="00283CF2">
      <w:pPr>
        <w:pStyle w:val="Heading3"/>
        <w:spacing w:after="240"/>
        <w:rPr>
          <w:rFonts w:ascii="Times New Roman" w:hAnsi="Times New Roman" w:cs="Times New Roman"/>
        </w:rPr>
      </w:pPr>
      <w:bookmarkStart w:id="10" w:name="_Toc236340216"/>
      <w:r w:rsidRPr="00D52713">
        <w:rPr>
          <w:rFonts w:ascii="Times New Roman" w:hAnsi="Times New Roman" w:cs="Times New Roman"/>
        </w:rPr>
        <w:t>3.1.2 Monthly Revenue Trend</w:t>
      </w:r>
      <w:bookmarkEnd w:id="10"/>
    </w:p>
    <w:p w14:paraId="1738F25C" w14:textId="77777777" w:rsidR="00283CF2" w:rsidRDefault="00FD315F" w:rsidP="000F3D85">
      <w:pPr>
        <w:jc w:val="center"/>
        <w:rPr>
          <w:rFonts w:ascii="Times New Roman" w:hAnsi="Times New Roman" w:cs="Times New Roman"/>
        </w:rPr>
      </w:pPr>
      <w:r>
        <w:rPr>
          <w:noProof/>
        </w:rPr>
        <w:drawing>
          <wp:inline distT="0" distB="0" distL="0" distR="0" wp14:anchorId="3F690985" wp14:editId="2C0EAD85">
            <wp:extent cx="3359217" cy="1876927"/>
            <wp:effectExtent l="0" t="0" r="12700" b="9525"/>
            <wp:docPr id="8467783"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1FB6EA2" w14:textId="601F40FE" w:rsidR="000F3D85" w:rsidRPr="000F3D85" w:rsidRDefault="007606CF" w:rsidP="000F3D8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w:t>
      </w:r>
      <w:r w:rsidR="000F3D85">
        <w:rPr>
          <w:rFonts w:ascii="Times New Roman" w:hAnsi="Times New Roman" w:cs="Times New Roman"/>
          <w:i/>
          <w:iCs/>
          <w:sz w:val="16"/>
          <w:szCs w:val="16"/>
        </w:rPr>
        <w:t>2: Monthly Revenue Trend</w:t>
      </w:r>
    </w:p>
    <w:p w14:paraId="7EAC166D" w14:textId="6C83ED05" w:rsidR="000F3D85" w:rsidRPr="00105D08" w:rsidRDefault="00F848ED" w:rsidP="00105D08">
      <w:pPr>
        <w:spacing w:after="240"/>
        <w:rPr>
          <w:rFonts w:ascii="Times New Roman" w:hAnsi="Times New Roman" w:cs="Times New Roman"/>
        </w:rPr>
      </w:pPr>
      <w:r w:rsidRPr="00F848ED">
        <w:rPr>
          <w:rFonts w:ascii="Times New Roman" w:hAnsi="Times New Roman" w:cs="Times New Roman"/>
        </w:rPr>
        <w:lastRenderedPageBreak/>
        <w:t xml:space="preserve">The monthly revenue has increased from ₹11,106 in March to ₹16,812 in April and ₹26,282 in May, while the average order value has increased from ₹482 to ₹509 and then ₹597. An overall revenue increase of 137% in a span of 3 months. </w:t>
      </w:r>
      <w:r w:rsidR="00FD315F" w:rsidRPr="00FD315F">
        <w:rPr>
          <w:rFonts w:ascii="Times New Roman" w:hAnsi="Times New Roman" w:cs="Times New Roman"/>
        </w:rPr>
        <w:t xml:space="preserve">Given the short observation period, this is reported as an observed directional trend rather than a confirmed seasonal pattern, and the category-level growth breakdown in Section </w:t>
      </w:r>
      <w:r w:rsidR="00B16F17">
        <w:rPr>
          <w:rFonts w:ascii="Times New Roman" w:hAnsi="Times New Roman" w:cs="Times New Roman"/>
        </w:rPr>
        <w:t>3</w:t>
      </w:r>
      <w:r w:rsidR="00FD315F" w:rsidRPr="00FD315F">
        <w:rPr>
          <w:rFonts w:ascii="Times New Roman" w:hAnsi="Times New Roman" w:cs="Times New Roman"/>
        </w:rPr>
        <w:t>.1.5 shows this aggregate trend is not evenly distributed</w:t>
      </w:r>
      <w:r w:rsidR="001F7C22">
        <w:rPr>
          <w:rFonts w:ascii="Times New Roman" w:hAnsi="Times New Roman" w:cs="Times New Roman"/>
        </w:rPr>
        <w:t>;</w:t>
      </w:r>
      <w:r w:rsidR="00FD315F" w:rsidRPr="00FD315F">
        <w:rPr>
          <w:rFonts w:ascii="Times New Roman" w:hAnsi="Times New Roman" w:cs="Times New Roman"/>
        </w:rPr>
        <w:t xml:space="preserve"> it is driven disproportionately by two specific categories.</w:t>
      </w:r>
    </w:p>
    <w:p w14:paraId="3082A040" w14:textId="39D56AEB" w:rsidR="00D52713" w:rsidRPr="00D52713" w:rsidRDefault="00D52713" w:rsidP="00D52713">
      <w:pPr>
        <w:pStyle w:val="Heading3"/>
        <w:rPr>
          <w:rFonts w:ascii="Times New Roman" w:hAnsi="Times New Roman" w:cs="Times New Roman"/>
        </w:rPr>
      </w:pPr>
      <w:bookmarkStart w:id="11" w:name="_Toc236340217"/>
      <w:r w:rsidRPr="00D52713">
        <w:rPr>
          <w:rFonts w:ascii="Times New Roman" w:hAnsi="Times New Roman" w:cs="Times New Roman"/>
        </w:rPr>
        <w:t>3.1.3 Category-wise Revenue and ABC Classification</w:t>
      </w:r>
      <w:bookmarkEnd w:id="11"/>
    </w:p>
    <w:p w14:paraId="77B276E1" w14:textId="0A6F6291" w:rsidR="00FD315F" w:rsidRPr="00FD315F" w:rsidRDefault="00FD315F" w:rsidP="00835175">
      <w:pPr>
        <w:spacing w:after="240"/>
        <w:rPr>
          <w:rFonts w:ascii="Times New Roman" w:hAnsi="Times New Roman" w:cs="Times New Roman"/>
        </w:rPr>
      </w:pPr>
      <w:r w:rsidRPr="00FD315F">
        <w:rPr>
          <w:rFonts w:ascii="Times New Roman" w:hAnsi="Times New Roman" w:cs="Times New Roman"/>
        </w:rPr>
        <w:t>Bracelets (₹21,850, 68 units) and Earrings (₹20,343, 102 units) together account for 78% of total revenue, followed by Rings (₹7,793, 14.4%) and Neckpieces (₹4,214, 7.8%).</w:t>
      </w:r>
    </w:p>
    <w:p w14:paraId="14879139" w14:textId="344EA2BF"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At the SKU level, ABC classification of all 75 products produced the following distribution:</w:t>
      </w:r>
    </w:p>
    <w:tbl>
      <w:tblPr>
        <w:tblStyle w:val="TableGrid"/>
        <w:tblW w:w="0" w:type="auto"/>
        <w:jc w:val="center"/>
        <w:tblLook w:val="04A0" w:firstRow="1" w:lastRow="0" w:firstColumn="1" w:lastColumn="0" w:noHBand="0" w:noVBand="1"/>
      </w:tblPr>
      <w:tblGrid>
        <w:gridCol w:w="718"/>
        <w:gridCol w:w="1677"/>
        <w:gridCol w:w="1683"/>
        <w:gridCol w:w="2832"/>
      </w:tblGrid>
      <w:tr w:rsidR="00FD315F" w:rsidRPr="00FD315F" w14:paraId="3AA529E2" w14:textId="77777777" w:rsidTr="00FD315F">
        <w:trPr>
          <w:jc w:val="center"/>
        </w:trPr>
        <w:tc>
          <w:tcPr>
            <w:tcW w:w="0" w:type="auto"/>
            <w:hideMark/>
          </w:tcPr>
          <w:p w14:paraId="2FDAF85F" w14:textId="77777777" w:rsidR="00FD315F" w:rsidRPr="00FD315F" w:rsidRDefault="00FD315F" w:rsidP="00FD315F">
            <w:pPr>
              <w:spacing w:after="240"/>
              <w:rPr>
                <w:rFonts w:ascii="Times New Roman" w:hAnsi="Times New Roman" w:cs="Times New Roman"/>
                <w:b/>
                <w:bCs/>
              </w:rPr>
            </w:pPr>
            <w:r w:rsidRPr="00FD315F">
              <w:rPr>
                <w:rFonts w:ascii="Times New Roman" w:hAnsi="Times New Roman" w:cs="Times New Roman"/>
                <w:b/>
                <w:bCs/>
              </w:rPr>
              <w:t>Class</w:t>
            </w:r>
          </w:p>
        </w:tc>
        <w:tc>
          <w:tcPr>
            <w:tcW w:w="0" w:type="auto"/>
            <w:hideMark/>
          </w:tcPr>
          <w:p w14:paraId="7E7724FB" w14:textId="77777777" w:rsidR="00FD315F" w:rsidRPr="00FD315F" w:rsidRDefault="00FD315F" w:rsidP="00FD315F">
            <w:pPr>
              <w:spacing w:after="240"/>
              <w:rPr>
                <w:rFonts w:ascii="Times New Roman" w:hAnsi="Times New Roman" w:cs="Times New Roman"/>
                <w:b/>
                <w:bCs/>
              </w:rPr>
            </w:pPr>
            <w:r w:rsidRPr="00FD315F">
              <w:rPr>
                <w:rFonts w:ascii="Times New Roman" w:hAnsi="Times New Roman" w:cs="Times New Roman"/>
                <w:b/>
                <w:bCs/>
              </w:rPr>
              <w:t>No. of Products</w:t>
            </w:r>
          </w:p>
        </w:tc>
        <w:tc>
          <w:tcPr>
            <w:tcW w:w="0" w:type="auto"/>
            <w:hideMark/>
          </w:tcPr>
          <w:p w14:paraId="3BD2B489" w14:textId="3DC584E7" w:rsidR="00FD315F" w:rsidRPr="00FD315F" w:rsidRDefault="00FD315F" w:rsidP="00FD315F">
            <w:pPr>
              <w:spacing w:after="240"/>
              <w:rPr>
                <w:rFonts w:ascii="Times New Roman" w:hAnsi="Times New Roman" w:cs="Times New Roman"/>
                <w:b/>
                <w:bCs/>
              </w:rPr>
            </w:pPr>
            <w:r w:rsidRPr="00FD315F">
              <w:rPr>
                <w:rFonts w:ascii="Times New Roman" w:hAnsi="Times New Roman" w:cs="Times New Roman"/>
                <w:b/>
                <w:bCs/>
              </w:rPr>
              <w:t>% of Catalogue</w:t>
            </w:r>
          </w:p>
        </w:tc>
        <w:tc>
          <w:tcPr>
            <w:tcW w:w="0" w:type="auto"/>
            <w:hideMark/>
          </w:tcPr>
          <w:p w14:paraId="1D64AF48" w14:textId="77777777" w:rsidR="00FD315F" w:rsidRPr="00FD315F" w:rsidRDefault="00FD315F" w:rsidP="00FD315F">
            <w:pPr>
              <w:spacing w:after="240"/>
              <w:rPr>
                <w:rFonts w:ascii="Times New Roman" w:hAnsi="Times New Roman" w:cs="Times New Roman"/>
                <w:b/>
                <w:bCs/>
              </w:rPr>
            </w:pPr>
            <w:r w:rsidRPr="00FD315F">
              <w:rPr>
                <w:rFonts w:ascii="Times New Roman" w:hAnsi="Times New Roman" w:cs="Times New Roman"/>
                <w:b/>
                <w:bCs/>
              </w:rPr>
              <w:t>Cumulative Revenue Range</w:t>
            </w:r>
          </w:p>
        </w:tc>
      </w:tr>
      <w:tr w:rsidR="00FD315F" w:rsidRPr="00FD315F" w14:paraId="7BAD1A1A" w14:textId="77777777" w:rsidTr="00FD315F">
        <w:trPr>
          <w:jc w:val="center"/>
        </w:trPr>
        <w:tc>
          <w:tcPr>
            <w:tcW w:w="0" w:type="auto"/>
            <w:hideMark/>
          </w:tcPr>
          <w:p w14:paraId="6D449CF0"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A</w:t>
            </w:r>
          </w:p>
        </w:tc>
        <w:tc>
          <w:tcPr>
            <w:tcW w:w="0" w:type="auto"/>
            <w:hideMark/>
          </w:tcPr>
          <w:p w14:paraId="7C459B38"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37</w:t>
            </w:r>
          </w:p>
        </w:tc>
        <w:tc>
          <w:tcPr>
            <w:tcW w:w="0" w:type="auto"/>
            <w:hideMark/>
          </w:tcPr>
          <w:p w14:paraId="1560B340"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49.3%</w:t>
            </w:r>
          </w:p>
        </w:tc>
        <w:tc>
          <w:tcPr>
            <w:tcW w:w="0" w:type="auto"/>
            <w:hideMark/>
          </w:tcPr>
          <w:p w14:paraId="39C95420"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0–70%</w:t>
            </w:r>
          </w:p>
        </w:tc>
      </w:tr>
      <w:tr w:rsidR="00FD315F" w:rsidRPr="00FD315F" w14:paraId="7669788D" w14:textId="77777777" w:rsidTr="00FD315F">
        <w:trPr>
          <w:jc w:val="center"/>
        </w:trPr>
        <w:tc>
          <w:tcPr>
            <w:tcW w:w="0" w:type="auto"/>
            <w:hideMark/>
          </w:tcPr>
          <w:p w14:paraId="3ACF466A"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B</w:t>
            </w:r>
          </w:p>
        </w:tc>
        <w:tc>
          <w:tcPr>
            <w:tcW w:w="0" w:type="auto"/>
            <w:hideMark/>
          </w:tcPr>
          <w:p w14:paraId="3CCD2ACC"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19</w:t>
            </w:r>
          </w:p>
        </w:tc>
        <w:tc>
          <w:tcPr>
            <w:tcW w:w="0" w:type="auto"/>
            <w:hideMark/>
          </w:tcPr>
          <w:p w14:paraId="25EFA93B"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25.3%</w:t>
            </w:r>
          </w:p>
        </w:tc>
        <w:tc>
          <w:tcPr>
            <w:tcW w:w="0" w:type="auto"/>
            <w:hideMark/>
          </w:tcPr>
          <w:p w14:paraId="763BFD18"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70–90%</w:t>
            </w:r>
          </w:p>
        </w:tc>
      </w:tr>
      <w:tr w:rsidR="00FD315F" w:rsidRPr="00FD315F" w14:paraId="6979E033" w14:textId="77777777" w:rsidTr="00FD315F">
        <w:trPr>
          <w:jc w:val="center"/>
        </w:trPr>
        <w:tc>
          <w:tcPr>
            <w:tcW w:w="0" w:type="auto"/>
            <w:hideMark/>
          </w:tcPr>
          <w:p w14:paraId="4742BCB9"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C</w:t>
            </w:r>
          </w:p>
        </w:tc>
        <w:tc>
          <w:tcPr>
            <w:tcW w:w="0" w:type="auto"/>
            <w:hideMark/>
          </w:tcPr>
          <w:p w14:paraId="664ED6A7"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19</w:t>
            </w:r>
          </w:p>
        </w:tc>
        <w:tc>
          <w:tcPr>
            <w:tcW w:w="0" w:type="auto"/>
            <w:hideMark/>
          </w:tcPr>
          <w:p w14:paraId="798DAF83"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25.3%</w:t>
            </w:r>
          </w:p>
        </w:tc>
        <w:tc>
          <w:tcPr>
            <w:tcW w:w="0" w:type="auto"/>
            <w:hideMark/>
          </w:tcPr>
          <w:p w14:paraId="4B93358B" w14:textId="77777777" w:rsidR="00FD315F" w:rsidRPr="00FD315F" w:rsidRDefault="00FD315F" w:rsidP="00FD315F">
            <w:pPr>
              <w:spacing w:after="240"/>
              <w:rPr>
                <w:rFonts w:ascii="Times New Roman" w:hAnsi="Times New Roman" w:cs="Times New Roman"/>
              </w:rPr>
            </w:pPr>
            <w:r w:rsidRPr="00FD315F">
              <w:rPr>
                <w:rFonts w:ascii="Times New Roman" w:hAnsi="Times New Roman" w:cs="Times New Roman"/>
              </w:rPr>
              <w:t>90–100%</w:t>
            </w:r>
          </w:p>
        </w:tc>
      </w:tr>
    </w:tbl>
    <w:p w14:paraId="26C11289" w14:textId="69145A28" w:rsidR="00835175" w:rsidRPr="00835175" w:rsidRDefault="00835175" w:rsidP="00835175">
      <w:pPr>
        <w:spacing w:after="240"/>
        <w:jc w:val="center"/>
        <w:rPr>
          <w:rFonts w:ascii="Times New Roman" w:hAnsi="Times New Roman" w:cs="Times New Roman"/>
          <w:i/>
          <w:iCs/>
          <w:sz w:val="16"/>
          <w:szCs w:val="16"/>
        </w:rPr>
      </w:pPr>
      <w:r w:rsidRPr="00835175">
        <w:rPr>
          <w:rFonts w:ascii="Times New Roman" w:hAnsi="Times New Roman" w:cs="Times New Roman"/>
          <w:i/>
          <w:iCs/>
          <w:sz w:val="16"/>
          <w:szCs w:val="16"/>
        </w:rPr>
        <w:t xml:space="preserve">Table </w:t>
      </w:r>
      <w:r>
        <w:rPr>
          <w:rFonts w:ascii="Times New Roman" w:hAnsi="Times New Roman" w:cs="Times New Roman"/>
          <w:i/>
          <w:iCs/>
          <w:sz w:val="16"/>
          <w:szCs w:val="16"/>
        </w:rPr>
        <w:t>3.</w:t>
      </w:r>
      <w:r w:rsidRPr="00835175">
        <w:rPr>
          <w:rFonts w:ascii="Times New Roman" w:hAnsi="Times New Roman" w:cs="Times New Roman"/>
          <w:i/>
          <w:iCs/>
          <w:sz w:val="16"/>
          <w:szCs w:val="16"/>
        </w:rPr>
        <w:t>1: Revenue Contribution by Product Category</w:t>
      </w:r>
    </w:p>
    <w:p w14:paraId="3CD10BF2" w14:textId="25C236E7" w:rsidR="00283CF2" w:rsidRDefault="00283CF2" w:rsidP="000F3D85">
      <w:pPr>
        <w:spacing w:before="240"/>
        <w:jc w:val="center"/>
        <w:rPr>
          <w:rFonts w:ascii="Times New Roman" w:hAnsi="Times New Roman" w:cs="Times New Roman"/>
        </w:rPr>
      </w:pPr>
      <w:r>
        <w:rPr>
          <w:noProof/>
        </w:rPr>
        <w:drawing>
          <wp:inline distT="0" distB="0" distL="0" distR="0" wp14:anchorId="4E299576" wp14:editId="7A0E982A">
            <wp:extent cx="4011346" cy="2616385"/>
            <wp:effectExtent l="0" t="0" r="8255" b="12700"/>
            <wp:docPr id="1021739395"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C99FF0B" w14:textId="70130CDB" w:rsidR="000F3D85" w:rsidRPr="000F3D85" w:rsidRDefault="007606CF" w:rsidP="000F3D8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w:t>
      </w:r>
      <w:r w:rsidR="000F3D85">
        <w:rPr>
          <w:rFonts w:ascii="Times New Roman" w:hAnsi="Times New Roman" w:cs="Times New Roman"/>
          <w:i/>
          <w:iCs/>
          <w:sz w:val="16"/>
          <w:szCs w:val="16"/>
        </w:rPr>
        <w:t>3: Revenue Contribution by Product Category</w:t>
      </w:r>
    </w:p>
    <w:p w14:paraId="3B8415E4" w14:textId="76E8E553" w:rsidR="00FD315F" w:rsidRPr="00FD315F" w:rsidRDefault="00FD315F" w:rsidP="00FD315F">
      <w:pPr>
        <w:spacing w:before="240" w:after="240"/>
        <w:rPr>
          <w:rFonts w:ascii="Times New Roman" w:hAnsi="Times New Roman" w:cs="Times New Roman"/>
        </w:rPr>
      </w:pPr>
      <w:r w:rsidRPr="00FD315F">
        <w:rPr>
          <w:rFonts w:ascii="Times New Roman" w:hAnsi="Times New Roman" w:cs="Times New Roman"/>
        </w:rPr>
        <w:t>This is a notably flatter split than a textbook 80/20 Pareto pattern. The single highest-revenue product, Zenith Spark Anti-Tarnish Earrings, contributes just 3.55% of total revenue (₹1,925) on its own, and it takes 37 of 75 SKUs</w:t>
      </w:r>
      <w:r w:rsidR="001F7C22">
        <w:rPr>
          <w:rFonts w:ascii="Times New Roman" w:hAnsi="Times New Roman" w:cs="Times New Roman"/>
        </w:rPr>
        <w:t xml:space="preserve"> (</w:t>
      </w:r>
      <w:r w:rsidRPr="00FD315F">
        <w:rPr>
          <w:rFonts w:ascii="Times New Roman" w:hAnsi="Times New Roman" w:cs="Times New Roman"/>
        </w:rPr>
        <w:t>nearly half the catalogue</w:t>
      </w:r>
      <w:r w:rsidR="001F7C22">
        <w:rPr>
          <w:rFonts w:ascii="Times New Roman" w:hAnsi="Times New Roman" w:cs="Times New Roman"/>
        </w:rPr>
        <w:t xml:space="preserve">) </w:t>
      </w:r>
      <w:r w:rsidRPr="00FD315F">
        <w:rPr>
          <w:rFonts w:ascii="Times New Roman" w:hAnsi="Times New Roman" w:cs="Times New Roman"/>
        </w:rPr>
        <w:t xml:space="preserve">to reach 70% cumulative revenue. This directly confirms the caution raised in the mid-term remarks: </w:t>
      </w:r>
      <w:r w:rsidRPr="00FD315F">
        <w:rPr>
          <w:rFonts w:ascii="Times New Roman" w:hAnsi="Times New Roman" w:cs="Times New Roman"/>
          <w:b/>
          <w:bCs/>
        </w:rPr>
        <w:t>a true 80/20 Pareto pattern is not present in this business</w:t>
      </w:r>
      <w:r w:rsidRPr="00FD315F">
        <w:rPr>
          <w:rFonts w:ascii="Times New Roman" w:hAnsi="Times New Roman" w:cs="Times New Roman"/>
        </w:rPr>
        <w:t>, and revenue instead comes from a broad, moderately even spread of mid-priced products. The practical consequence is that inventory strategy cannot rely on a small "hero SKU" list</w:t>
      </w:r>
      <w:r w:rsidR="001F7C22">
        <w:rPr>
          <w:rFonts w:ascii="Times New Roman" w:hAnsi="Times New Roman" w:cs="Times New Roman"/>
        </w:rPr>
        <w:t xml:space="preserve">; </w:t>
      </w:r>
      <w:r w:rsidRPr="00FD315F">
        <w:rPr>
          <w:rFonts w:ascii="Times New Roman" w:hAnsi="Times New Roman" w:cs="Times New Roman"/>
        </w:rPr>
        <w:t>nearly half the catalogue needs consistent stocking attention to protect the bulk of revenue.</w:t>
      </w:r>
    </w:p>
    <w:p w14:paraId="2FA5E8D0" w14:textId="0236DB10" w:rsidR="00FD315F" w:rsidRDefault="00FD315F" w:rsidP="00FD315F">
      <w:pPr>
        <w:spacing w:after="240"/>
        <w:rPr>
          <w:rFonts w:ascii="Times New Roman" w:hAnsi="Times New Roman" w:cs="Times New Roman"/>
        </w:rPr>
      </w:pPr>
      <w:r w:rsidRPr="00FD315F">
        <w:rPr>
          <w:rFonts w:ascii="Times New Roman" w:hAnsi="Times New Roman" w:cs="Times New Roman"/>
        </w:rPr>
        <w:t>Notably, Class A includes four Ring SKUs (Luna Spark Anti-Tarnish Ring, Crystal Charm Ring, Royal Bloom Adjustable Ring, Eternal Shine Ring) despite Rings being the lowest-revenue category overall</w:t>
      </w:r>
      <w:r w:rsidR="001F7C22">
        <w:rPr>
          <w:rFonts w:ascii="Times New Roman" w:hAnsi="Times New Roman" w:cs="Times New Roman"/>
        </w:rPr>
        <w:t>. T</w:t>
      </w:r>
      <w:r w:rsidRPr="00FD315F">
        <w:rPr>
          <w:rFonts w:ascii="Times New Roman" w:hAnsi="Times New Roman" w:cs="Times New Roman"/>
        </w:rPr>
        <w:t xml:space="preserve">hese specific products are strong outliers within an otherwise weak category, a pattern examined further in Section </w:t>
      </w:r>
      <w:r w:rsidR="00F06C5E">
        <w:rPr>
          <w:rFonts w:ascii="Times New Roman" w:hAnsi="Times New Roman" w:cs="Times New Roman"/>
        </w:rPr>
        <w:t>3</w:t>
      </w:r>
      <w:r w:rsidRPr="00FD315F">
        <w:rPr>
          <w:rFonts w:ascii="Times New Roman" w:hAnsi="Times New Roman" w:cs="Times New Roman"/>
        </w:rPr>
        <w:t>.1.4.</w:t>
      </w:r>
    </w:p>
    <w:p w14:paraId="0DD7ABB3" w14:textId="77777777" w:rsidR="0021750C" w:rsidRPr="00D52713" w:rsidRDefault="0021750C" w:rsidP="00FD315F">
      <w:pPr>
        <w:spacing w:after="240"/>
        <w:rPr>
          <w:rFonts w:ascii="Times New Roman" w:hAnsi="Times New Roman" w:cs="Times New Roman"/>
        </w:rPr>
      </w:pPr>
    </w:p>
    <w:p w14:paraId="748C287D" w14:textId="632B14E6" w:rsidR="00D52713" w:rsidRPr="00D52713" w:rsidRDefault="00D52713" w:rsidP="00D52713">
      <w:pPr>
        <w:pStyle w:val="Heading3"/>
        <w:rPr>
          <w:rFonts w:ascii="Times New Roman" w:hAnsi="Times New Roman" w:cs="Times New Roman"/>
        </w:rPr>
      </w:pPr>
      <w:bookmarkStart w:id="12" w:name="_Toc236340218"/>
      <w:r w:rsidRPr="00D52713">
        <w:rPr>
          <w:rFonts w:ascii="Times New Roman" w:hAnsi="Times New Roman" w:cs="Times New Roman"/>
        </w:rPr>
        <w:lastRenderedPageBreak/>
        <w:t>3.1.4 Sales Velocity and Demand Variability</w:t>
      </w:r>
      <w:bookmarkEnd w:id="12"/>
    </w:p>
    <w:p w14:paraId="2D062316" w14:textId="1403DD93" w:rsidR="000F3D85" w:rsidRPr="00F06C5E" w:rsidRDefault="00F06C5E" w:rsidP="00F06C5E">
      <w:pPr>
        <w:spacing w:after="240"/>
        <w:rPr>
          <w:rFonts w:ascii="Times New Roman" w:hAnsi="Times New Roman" w:cs="Times New Roman"/>
        </w:rPr>
      </w:pPr>
      <w:r w:rsidRPr="00F06C5E">
        <w:rPr>
          <w:rFonts w:ascii="Times New Roman" w:hAnsi="Times New Roman" w:cs="Times New Roman"/>
        </w:rPr>
        <w:t>Category-level sales velocity mirrors the revenue pattern but adds a demand-speed dimension that revenue alone cannot show:</w:t>
      </w:r>
    </w:p>
    <w:tbl>
      <w:tblPr>
        <w:tblStyle w:val="TableGrid"/>
        <w:tblW w:w="0" w:type="auto"/>
        <w:jc w:val="center"/>
        <w:tblLook w:val="04A0" w:firstRow="1" w:lastRow="0" w:firstColumn="1" w:lastColumn="0" w:noHBand="0" w:noVBand="1"/>
      </w:tblPr>
      <w:tblGrid>
        <w:gridCol w:w="1230"/>
        <w:gridCol w:w="2441"/>
        <w:gridCol w:w="2722"/>
      </w:tblGrid>
      <w:tr w:rsidR="00F06C5E" w:rsidRPr="00F06C5E" w14:paraId="66111844" w14:textId="77777777" w:rsidTr="00F06C5E">
        <w:trPr>
          <w:jc w:val="center"/>
        </w:trPr>
        <w:tc>
          <w:tcPr>
            <w:tcW w:w="0" w:type="auto"/>
            <w:hideMark/>
          </w:tcPr>
          <w:p w14:paraId="595A60F0"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Category</w:t>
            </w:r>
          </w:p>
        </w:tc>
        <w:tc>
          <w:tcPr>
            <w:tcW w:w="0" w:type="auto"/>
            <w:hideMark/>
          </w:tcPr>
          <w:p w14:paraId="7B45AFD3"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 xml:space="preserve">Total Qty Sold (13 </w:t>
            </w:r>
            <w:proofErr w:type="spellStart"/>
            <w:r w:rsidRPr="00F06C5E">
              <w:rPr>
                <w:rFonts w:ascii="Times New Roman" w:hAnsi="Times New Roman" w:cs="Times New Roman"/>
                <w:b/>
                <w:bCs/>
              </w:rPr>
              <w:t>wks</w:t>
            </w:r>
            <w:proofErr w:type="spellEnd"/>
            <w:r w:rsidRPr="00F06C5E">
              <w:rPr>
                <w:rFonts w:ascii="Times New Roman" w:hAnsi="Times New Roman" w:cs="Times New Roman"/>
                <w:b/>
                <w:bCs/>
              </w:rPr>
              <w:t>)</w:t>
            </w:r>
          </w:p>
        </w:tc>
        <w:tc>
          <w:tcPr>
            <w:tcW w:w="0" w:type="auto"/>
            <w:hideMark/>
          </w:tcPr>
          <w:p w14:paraId="3B772D49" w14:textId="5CBFC453"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Sales Velocity (units/week)</w:t>
            </w:r>
          </w:p>
        </w:tc>
      </w:tr>
      <w:tr w:rsidR="00F06C5E" w:rsidRPr="00F06C5E" w14:paraId="3E0FAE32" w14:textId="77777777" w:rsidTr="00F06C5E">
        <w:trPr>
          <w:jc w:val="center"/>
        </w:trPr>
        <w:tc>
          <w:tcPr>
            <w:tcW w:w="0" w:type="auto"/>
            <w:hideMark/>
          </w:tcPr>
          <w:p w14:paraId="38DCE53C"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Earrings</w:t>
            </w:r>
          </w:p>
        </w:tc>
        <w:tc>
          <w:tcPr>
            <w:tcW w:w="0" w:type="auto"/>
            <w:hideMark/>
          </w:tcPr>
          <w:p w14:paraId="0D53044B"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102</w:t>
            </w:r>
          </w:p>
        </w:tc>
        <w:tc>
          <w:tcPr>
            <w:tcW w:w="0" w:type="auto"/>
            <w:hideMark/>
          </w:tcPr>
          <w:p w14:paraId="44D86E63" w14:textId="6C5CBA0E"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7.85</w:t>
            </w:r>
          </w:p>
        </w:tc>
      </w:tr>
      <w:tr w:rsidR="00F06C5E" w:rsidRPr="00F06C5E" w14:paraId="6DF1A713" w14:textId="77777777" w:rsidTr="00F06C5E">
        <w:trPr>
          <w:jc w:val="center"/>
        </w:trPr>
        <w:tc>
          <w:tcPr>
            <w:tcW w:w="0" w:type="auto"/>
            <w:hideMark/>
          </w:tcPr>
          <w:p w14:paraId="7A9A9305" w14:textId="0ED4E849"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Bracelets</w:t>
            </w:r>
          </w:p>
        </w:tc>
        <w:tc>
          <w:tcPr>
            <w:tcW w:w="0" w:type="auto"/>
            <w:hideMark/>
          </w:tcPr>
          <w:p w14:paraId="17072560"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68</w:t>
            </w:r>
          </w:p>
        </w:tc>
        <w:tc>
          <w:tcPr>
            <w:tcW w:w="0" w:type="auto"/>
            <w:hideMark/>
          </w:tcPr>
          <w:p w14:paraId="08317F69"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5.23</w:t>
            </w:r>
          </w:p>
        </w:tc>
      </w:tr>
      <w:tr w:rsidR="00F06C5E" w:rsidRPr="00F06C5E" w14:paraId="1FB71123" w14:textId="77777777" w:rsidTr="00F06C5E">
        <w:trPr>
          <w:jc w:val="center"/>
        </w:trPr>
        <w:tc>
          <w:tcPr>
            <w:tcW w:w="0" w:type="auto"/>
            <w:hideMark/>
          </w:tcPr>
          <w:p w14:paraId="6AA36C20" w14:textId="3774295F"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Rings</w:t>
            </w:r>
          </w:p>
        </w:tc>
        <w:tc>
          <w:tcPr>
            <w:tcW w:w="0" w:type="auto"/>
            <w:hideMark/>
          </w:tcPr>
          <w:p w14:paraId="1A77FAF1"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39</w:t>
            </w:r>
          </w:p>
        </w:tc>
        <w:tc>
          <w:tcPr>
            <w:tcW w:w="0" w:type="auto"/>
            <w:hideMark/>
          </w:tcPr>
          <w:p w14:paraId="07E2B7EF"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3.00</w:t>
            </w:r>
          </w:p>
        </w:tc>
      </w:tr>
      <w:tr w:rsidR="00F06C5E" w:rsidRPr="00F06C5E" w14:paraId="171AF163" w14:textId="77777777" w:rsidTr="00F06C5E">
        <w:trPr>
          <w:jc w:val="center"/>
        </w:trPr>
        <w:tc>
          <w:tcPr>
            <w:tcW w:w="0" w:type="auto"/>
            <w:hideMark/>
          </w:tcPr>
          <w:p w14:paraId="4D191FDD"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Neckpieces</w:t>
            </w:r>
          </w:p>
        </w:tc>
        <w:tc>
          <w:tcPr>
            <w:tcW w:w="0" w:type="auto"/>
            <w:hideMark/>
          </w:tcPr>
          <w:p w14:paraId="57E84B4F"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20</w:t>
            </w:r>
          </w:p>
        </w:tc>
        <w:tc>
          <w:tcPr>
            <w:tcW w:w="0" w:type="auto"/>
            <w:hideMark/>
          </w:tcPr>
          <w:p w14:paraId="059DF05E"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1.54</w:t>
            </w:r>
          </w:p>
        </w:tc>
      </w:tr>
    </w:tbl>
    <w:p w14:paraId="52658E81" w14:textId="70696B61" w:rsidR="00835175" w:rsidRPr="00835175" w:rsidRDefault="00835175" w:rsidP="00835175">
      <w:pPr>
        <w:spacing w:after="240"/>
        <w:jc w:val="center"/>
        <w:rPr>
          <w:rFonts w:ascii="Times New Roman" w:hAnsi="Times New Roman" w:cs="Times New Roman"/>
          <w:i/>
          <w:iCs/>
          <w:sz w:val="16"/>
          <w:szCs w:val="16"/>
          <w:lang w:val="en-US"/>
        </w:rPr>
      </w:pPr>
      <w:r w:rsidRPr="00835175">
        <w:rPr>
          <w:rFonts w:ascii="Times New Roman" w:hAnsi="Times New Roman" w:cs="Times New Roman"/>
          <w:i/>
          <w:iCs/>
          <w:sz w:val="16"/>
          <w:szCs w:val="16"/>
        </w:rPr>
        <w:t xml:space="preserve">Table </w:t>
      </w:r>
      <w:r>
        <w:rPr>
          <w:rFonts w:ascii="Times New Roman" w:hAnsi="Times New Roman" w:cs="Times New Roman"/>
          <w:i/>
          <w:iCs/>
          <w:sz w:val="16"/>
          <w:szCs w:val="16"/>
        </w:rPr>
        <w:t>3.</w:t>
      </w:r>
      <w:r w:rsidRPr="00835175">
        <w:rPr>
          <w:rFonts w:ascii="Times New Roman" w:hAnsi="Times New Roman" w:cs="Times New Roman"/>
          <w:i/>
          <w:iCs/>
          <w:sz w:val="16"/>
          <w:szCs w:val="16"/>
        </w:rPr>
        <w:t xml:space="preserve">2: </w:t>
      </w:r>
      <w:r w:rsidRPr="00835175">
        <w:rPr>
          <w:rFonts w:ascii="Times New Roman" w:hAnsi="Times New Roman" w:cs="Times New Roman"/>
          <w:i/>
          <w:iCs/>
          <w:sz w:val="16"/>
          <w:szCs w:val="16"/>
          <w:lang w:val="en-US"/>
        </w:rPr>
        <w:t>Sales Velocity (units/week)</w:t>
      </w:r>
    </w:p>
    <w:p w14:paraId="4D0D44AF" w14:textId="3B0BE539" w:rsidR="00283CF2" w:rsidRDefault="00F06C5E" w:rsidP="000F3D85">
      <w:pPr>
        <w:spacing w:before="240"/>
        <w:jc w:val="center"/>
        <w:rPr>
          <w:rFonts w:ascii="Times New Roman" w:hAnsi="Times New Roman" w:cs="Times New Roman"/>
        </w:rPr>
      </w:pPr>
      <w:r>
        <w:rPr>
          <w:noProof/>
        </w:rPr>
        <w:drawing>
          <wp:inline distT="0" distB="0" distL="0" distR="0" wp14:anchorId="2A6C9713" wp14:editId="60442EED">
            <wp:extent cx="3751043" cy="2402803"/>
            <wp:effectExtent l="0" t="0" r="1905" b="17145"/>
            <wp:docPr id="615329898" name="Chart 1">
              <a:extLst xmlns:a="http://schemas.openxmlformats.org/drawingml/2006/main">
                <a:ext uri="{FF2B5EF4-FFF2-40B4-BE49-F238E27FC236}">
                  <a16:creationId xmlns:a16="http://schemas.microsoft.com/office/drawing/2014/main" id="{4640C9A1-A214-7B13-053C-6829E1E62E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EA5C44" w14:textId="485DDDC4" w:rsidR="000F3D85" w:rsidRPr="000F3D85" w:rsidRDefault="007606CF" w:rsidP="000F3D8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w:t>
      </w:r>
      <w:r w:rsidR="000F3D85">
        <w:rPr>
          <w:rFonts w:ascii="Times New Roman" w:hAnsi="Times New Roman" w:cs="Times New Roman"/>
          <w:i/>
          <w:iCs/>
          <w:sz w:val="16"/>
          <w:szCs w:val="16"/>
        </w:rPr>
        <w:t xml:space="preserve"> </w:t>
      </w:r>
      <w:r>
        <w:rPr>
          <w:rFonts w:ascii="Times New Roman" w:hAnsi="Times New Roman" w:cs="Times New Roman"/>
          <w:i/>
          <w:iCs/>
          <w:sz w:val="16"/>
          <w:szCs w:val="16"/>
        </w:rPr>
        <w:t>3.</w:t>
      </w:r>
      <w:r w:rsidR="000F3D85">
        <w:rPr>
          <w:rFonts w:ascii="Times New Roman" w:hAnsi="Times New Roman" w:cs="Times New Roman"/>
          <w:i/>
          <w:iCs/>
          <w:sz w:val="16"/>
          <w:szCs w:val="16"/>
        </w:rPr>
        <w:t>4: Sales Velocity</w:t>
      </w:r>
    </w:p>
    <w:p w14:paraId="7FAB0F05" w14:textId="255B73F9" w:rsidR="00F06C5E" w:rsidRPr="00F06C5E" w:rsidRDefault="00F06C5E" w:rsidP="00F06C5E">
      <w:pPr>
        <w:spacing w:before="240" w:after="240"/>
        <w:rPr>
          <w:rFonts w:ascii="Times New Roman" w:hAnsi="Times New Roman" w:cs="Times New Roman"/>
        </w:rPr>
      </w:pPr>
      <w:r w:rsidRPr="00F06C5E">
        <w:rPr>
          <w:rFonts w:ascii="Times New Roman" w:hAnsi="Times New Roman" w:cs="Times New Roman"/>
        </w:rPr>
        <w:t>At the individual product level, Zenith Spark Anti-Tarnish Earrings leads at 0.85 units/week</w:t>
      </w:r>
      <w:r w:rsidR="001F7C22">
        <w:rPr>
          <w:rFonts w:ascii="Times New Roman" w:hAnsi="Times New Roman" w:cs="Times New Roman"/>
        </w:rPr>
        <w:t>, c</w:t>
      </w:r>
      <w:r w:rsidRPr="00F06C5E">
        <w:rPr>
          <w:rFonts w:ascii="Times New Roman" w:hAnsi="Times New Roman" w:cs="Times New Roman"/>
        </w:rPr>
        <w:t>onsistent with it also being the top ABC revenue contributor</w:t>
      </w:r>
      <w:r w:rsidR="001F7C22">
        <w:rPr>
          <w:rFonts w:ascii="Times New Roman" w:hAnsi="Times New Roman" w:cs="Times New Roman"/>
        </w:rPr>
        <w:t xml:space="preserve">, </w:t>
      </w:r>
      <w:r w:rsidRPr="00F06C5E">
        <w:rPr>
          <w:rFonts w:ascii="Times New Roman" w:hAnsi="Times New Roman" w:cs="Times New Roman"/>
        </w:rPr>
        <w:t>followed by Glow fly Anti-Tarnish Stud (0.62 units/week), a low-priced item (₹99) that ranks lower in revenue but very high in turnover. This distinction matters: the ABC classification alone would not have surfaced Glow fly Anti-Tarnish Stud as a priority, since velocity and revenue rank products differently.</w:t>
      </w:r>
    </w:p>
    <w:p w14:paraId="6ED191DC" w14:textId="45497852" w:rsidR="00F06C5E" w:rsidRDefault="00F06C5E" w:rsidP="00F06C5E">
      <w:pPr>
        <w:spacing w:after="240"/>
        <w:rPr>
          <w:rFonts w:ascii="Times New Roman" w:hAnsi="Times New Roman" w:cs="Times New Roman"/>
        </w:rPr>
      </w:pPr>
      <w:r w:rsidRPr="00F06C5E">
        <w:rPr>
          <w:rFonts w:ascii="Times New Roman" w:hAnsi="Times New Roman" w:cs="Times New Roman"/>
        </w:rPr>
        <w:t xml:space="preserve">At the opposite end, several products including </w:t>
      </w:r>
      <w:proofErr w:type="spellStart"/>
      <w:r w:rsidRPr="00F06C5E">
        <w:rPr>
          <w:rFonts w:ascii="Times New Roman" w:hAnsi="Times New Roman" w:cs="Times New Roman"/>
        </w:rPr>
        <w:t>Trivara</w:t>
      </w:r>
      <w:proofErr w:type="spellEnd"/>
      <w:r w:rsidRPr="00F06C5E">
        <w:rPr>
          <w:rFonts w:ascii="Times New Roman" w:hAnsi="Times New Roman" w:cs="Times New Roman"/>
        </w:rPr>
        <w:t xml:space="preserve"> Anti-tarnish Earrings, Sculpted Open Golden Ring, Aurora Loop Anti-Tarnish Bangles, Golden Adjustable Ring, Enamelled Gold Ring, and Sweet Twinkle Anti-Tarnish Earrings sell at roughly 0.08–0.15 units/week, translating to 65–130+ weeks to clear even a 10-unit restock batch. These were flagged under the Stock Ageing Risk classification as </w:t>
      </w:r>
      <w:r w:rsidRPr="00F06C5E">
        <w:rPr>
          <w:rFonts w:ascii="Times New Roman" w:hAnsi="Times New Roman" w:cs="Times New Roman"/>
          <w:b/>
          <w:bCs/>
        </w:rPr>
        <w:t>High Risk (Slow Mover)</w:t>
      </w:r>
      <w:r w:rsidRPr="00F06C5E">
        <w:rPr>
          <w:rFonts w:ascii="Times New Roman" w:hAnsi="Times New Roman" w:cs="Times New Roman"/>
        </w:rPr>
        <w:t>, sitting in the bottom quartile of units sold, and several are Rings</w:t>
      </w:r>
      <w:r w:rsidR="001F7C22">
        <w:rPr>
          <w:rFonts w:ascii="Times New Roman" w:hAnsi="Times New Roman" w:cs="Times New Roman"/>
        </w:rPr>
        <w:t xml:space="preserve">, </w:t>
      </w:r>
      <w:r w:rsidRPr="00F06C5E">
        <w:rPr>
          <w:rFonts w:ascii="Times New Roman" w:hAnsi="Times New Roman" w:cs="Times New Roman"/>
        </w:rPr>
        <w:t>consistent with Rings' otherwise weak overall velocity (3.00 units/week) despite the four Class-A Ring standouts noted above. This shows Rings is not uniformly a weak category; it is a category with a small number of genuine performers surrounded by a long tail of ageing stock, a pattern that would be invisible from category averages alone.</w:t>
      </w:r>
    </w:p>
    <w:p w14:paraId="08FC98BA" w14:textId="5234EB28" w:rsidR="00F06C5E" w:rsidRDefault="00F06C5E" w:rsidP="00F06C5E">
      <w:pPr>
        <w:pStyle w:val="Heading3"/>
        <w:rPr>
          <w:rFonts w:ascii="Times New Roman" w:hAnsi="Times New Roman" w:cs="Times New Roman"/>
        </w:rPr>
      </w:pPr>
      <w:bookmarkStart w:id="13" w:name="_Toc236340219"/>
      <w:r>
        <w:rPr>
          <w:rFonts w:ascii="Times New Roman" w:hAnsi="Times New Roman" w:cs="Times New Roman"/>
        </w:rPr>
        <w:t xml:space="preserve">3.1.5 </w:t>
      </w:r>
      <w:r w:rsidRPr="00F06C5E">
        <w:rPr>
          <w:rFonts w:ascii="Times New Roman" w:hAnsi="Times New Roman" w:cs="Times New Roman"/>
        </w:rPr>
        <w:t>Demand Variability by Category</w:t>
      </w:r>
      <w:bookmarkEnd w:id="13"/>
    </w:p>
    <w:p w14:paraId="4C29B8EA" w14:textId="7C5D7C0D"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To assess how predictably each category sells month to month</w:t>
      </w:r>
      <w:r w:rsidR="001F7C22">
        <w:rPr>
          <w:rFonts w:ascii="Times New Roman" w:hAnsi="Times New Roman" w:cs="Times New Roman"/>
        </w:rPr>
        <w:t xml:space="preserve">, </w:t>
      </w:r>
      <w:r w:rsidRPr="00F06C5E">
        <w:rPr>
          <w:rFonts w:ascii="Times New Roman" w:hAnsi="Times New Roman" w:cs="Times New Roman"/>
        </w:rPr>
        <w:t>a separate question from how fast it sells</w:t>
      </w:r>
      <w:r w:rsidR="001F7C22">
        <w:rPr>
          <w:rFonts w:ascii="Times New Roman" w:hAnsi="Times New Roman" w:cs="Times New Roman"/>
        </w:rPr>
        <w:t xml:space="preserve">, </w:t>
      </w:r>
      <w:r w:rsidRPr="00F06C5E">
        <w:rPr>
          <w:rFonts w:ascii="Times New Roman" w:hAnsi="Times New Roman" w:cs="Times New Roman"/>
        </w:rPr>
        <w:t>coefficient of variation was computed on monthly unit sales per category:</w:t>
      </w:r>
    </w:p>
    <w:tbl>
      <w:tblPr>
        <w:tblStyle w:val="TableGrid"/>
        <w:tblW w:w="0" w:type="auto"/>
        <w:jc w:val="center"/>
        <w:tblLook w:val="04A0" w:firstRow="1" w:lastRow="0" w:firstColumn="1" w:lastColumn="0" w:noHBand="0" w:noVBand="1"/>
      </w:tblPr>
      <w:tblGrid>
        <w:gridCol w:w="1230"/>
        <w:gridCol w:w="2025"/>
        <w:gridCol w:w="1066"/>
        <w:gridCol w:w="956"/>
      </w:tblGrid>
      <w:tr w:rsidR="00F06C5E" w:rsidRPr="00F06C5E" w14:paraId="24CA1716" w14:textId="77777777" w:rsidTr="00F06C5E">
        <w:trPr>
          <w:jc w:val="center"/>
        </w:trPr>
        <w:tc>
          <w:tcPr>
            <w:tcW w:w="0" w:type="auto"/>
            <w:hideMark/>
          </w:tcPr>
          <w:p w14:paraId="77A7C7CA" w14:textId="77777777" w:rsidR="00F06C5E" w:rsidRPr="00F06C5E" w:rsidRDefault="00F06C5E" w:rsidP="00F06C5E">
            <w:pPr>
              <w:rPr>
                <w:rFonts w:ascii="Times New Roman" w:hAnsi="Times New Roman" w:cs="Times New Roman"/>
                <w:b/>
                <w:bCs/>
              </w:rPr>
            </w:pPr>
            <w:r w:rsidRPr="00F06C5E">
              <w:rPr>
                <w:rFonts w:ascii="Times New Roman" w:hAnsi="Times New Roman" w:cs="Times New Roman"/>
                <w:b/>
                <w:bCs/>
              </w:rPr>
              <w:t>Category</w:t>
            </w:r>
          </w:p>
        </w:tc>
        <w:tc>
          <w:tcPr>
            <w:tcW w:w="0" w:type="auto"/>
            <w:hideMark/>
          </w:tcPr>
          <w:p w14:paraId="7AA887F7" w14:textId="77777777" w:rsidR="00F06C5E" w:rsidRPr="00F06C5E" w:rsidRDefault="00F06C5E" w:rsidP="00F06C5E">
            <w:pPr>
              <w:rPr>
                <w:rFonts w:ascii="Times New Roman" w:hAnsi="Times New Roman" w:cs="Times New Roman"/>
                <w:b/>
                <w:bCs/>
              </w:rPr>
            </w:pPr>
            <w:r w:rsidRPr="00F06C5E">
              <w:rPr>
                <w:rFonts w:ascii="Times New Roman" w:hAnsi="Times New Roman" w:cs="Times New Roman"/>
                <w:b/>
                <w:bCs/>
              </w:rPr>
              <w:t>Mean Monthly Qty</w:t>
            </w:r>
          </w:p>
        </w:tc>
        <w:tc>
          <w:tcPr>
            <w:tcW w:w="0" w:type="auto"/>
            <w:hideMark/>
          </w:tcPr>
          <w:p w14:paraId="2E750B0A" w14:textId="77777777" w:rsidR="00F06C5E" w:rsidRPr="00F06C5E" w:rsidRDefault="00F06C5E" w:rsidP="00F06C5E">
            <w:pPr>
              <w:rPr>
                <w:rFonts w:ascii="Times New Roman" w:hAnsi="Times New Roman" w:cs="Times New Roman"/>
                <w:b/>
                <w:bCs/>
              </w:rPr>
            </w:pPr>
            <w:r w:rsidRPr="00F06C5E">
              <w:rPr>
                <w:rFonts w:ascii="Times New Roman" w:hAnsi="Times New Roman" w:cs="Times New Roman"/>
                <w:b/>
                <w:bCs/>
              </w:rPr>
              <w:t>Std. Dev.</w:t>
            </w:r>
          </w:p>
        </w:tc>
        <w:tc>
          <w:tcPr>
            <w:tcW w:w="0" w:type="auto"/>
            <w:hideMark/>
          </w:tcPr>
          <w:p w14:paraId="5B353F4B" w14:textId="77777777" w:rsidR="00F06C5E" w:rsidRPr="00F06C5E" w:rsidRDefault="00F06C5E" w:rsidP="00F06C5E">
            <w:pPr>
              <w:rPr>
                <w:rFonts w:ascii="Times New Roman" w:hAnsi="Times New Roman" w:cs="Times New Roman"/>
                <w:b/>
                <w:bCs/>
              </w:rPr>
            </w:pPr>
            <w:r w:rsidRPr="00F06C5E">
              <w:rPr>
                <w:rFonts w:ascii="Times New Roman" w:hAnsi="Times New Roman" w:cs="Times New Roman"/>
                <w:b/>
                <w:bCs/>
              </w:rPr>
              <w:t>CV (%)</w:t>
            </w:r>
          </w:p>
        </w:tc>
      </w:tr>
      <w:tr w:rsidR="00F06C5E" w:rsidRPr="00F06C5E" w14:paraId="438BC850" w14:textId="77777777" w:rsidTr="00F06C5E">
        <w:trPr>
          <w:jc w:val="center"/>
        </w:trPr>
        <w:tc>
          <w:tcPr>
            <w:tcW w:w="0" w:type="auto"/>
            <w:hideMark/>
          </w:tcPr>
          <w:p w14:paraId="77E45D9D"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Rings</w:t>
            </w:r>
          </w:p>
        </w:tc>
        <w:tc>
          <w:tcPr>
            <w:tcW w:w="0" w:type="auto"/>
            <w:hideMark/>
          </w:tcPr>
          <w:p w14:paraId="0EE839D6"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13.0</w:t>
            </w:r>
          </w:p>
        </w:tc>
        <w:tc>
          <w:tcPr>
            <w:tcW w:w="0" w:type="auto"/>
            <w:hideMark/>
          </w:tcPr>
          <w:p w14:paraId="7DFF8C7F"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9.64</w:t>
            </w:r>
          </w:p>
        </w:tc>
        <w:tc>
          <w:tcPr>
            <w:tcW w:w="0" w:type="auto"/>
            <w:hideMark/>
          </w:tcPr>
          <w:p w14:paraId="4FBDE876"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74.2</w:t>
            </w:r>
          </w:p>
        </w:tc>
      </w:tr>
      <w:tr w:rsidR="00F06C5E" w:rsidRPr="00F06C5E" w14:paraId="3659D320" w14:textId="77777777" w:rsidTr="00F06C5E">
        <w:trPr>
          <w:jc w:val="center"/>
        </w:trPr>
        <w:tc>
          <w:tcPr>
            <w:tcW w:w="0" w:type="auto"/>
            <w:hideMark/>
          </w:tcPr>
          <w:p w14:paraId="64908FE9"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lastRenderedPageBreak/>
              <w:t>Neckpieces</w:t>
            </w:r>
          </w:p>
        </w:tc>
        <w:tc>
          <w:tcPr>
            <w:tcW w:w="0" w:type="auto"/>
            <w:hideMark/>
          </w:tcPr>
          <w:p w14:paraId="18EDB83C"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6.67</w:t>
            </w:r>
          </w:p>
        </w:tc>
        <w:tc>
          <w:tcPr>
            <w:tcW w:w="0" w:type="auto"/>
            <w:hideMark/>
          </w:tcPr>
          <w:p w14:paraId="72C1A06C"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3.51</w:t>
            </w:r>
          </w:p>
        </w:tc>
        <w:tc>
          <w:tcPr>
            <w:tcW w:w="0" w:type="auto"/>
            <w:hideMark/>
          </w:tcPr>
          <w:p w14:paraId="09344C25"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52.7</w:t>
            </w:r>
          </w:p>
        </w:tc>
      </w:tr>
      <w:tr w:rsidR="00F06C5E" w:rsidRPr="00F06C5E" w14:paraId="387F064B" w14:textId="77777777" w:rsidTr="00F06C5E">
        <w:trPr>
          <w:jc w:val="center"/>
        </w:trPr>
        <w:tc>
          <w:tcPr>
            <w:tcW w:w="0" w:type="auto"/>
            <w:hideMark/>
          </w:tcPr>
          <w:p w14:paraId="2F05487F"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Bracelets</w:t>
            </w:r>
          </w:p>
        </w:tc>
        <w:tc>
          <w:tcPr>
            <w:tcW w:w="0" w:type="auto"/>
            <w:hideMark/>
          </w:tcPr>
          <w:p w14:paraId="78BAE9C1"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22.67</w:t>
            </w:r>
          </w:p>
        </w:tc>
        <w:tc>
          <w:tcPr>
            <w:tcW w:w="0" w:type="auto"/>
            <w:hideMark/>
          </w:tcPr>
          <w:p w14:paraId="35A6851A"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8.62</w:t>
            </w:r>
          </w:p>
        </w:tc>
        <w:tc>
          <w:tcPr>
            <w:tcW w:w="0" w:type="auto"/>
            <w:hideMark/>
          </w:tcPr>
          <w:p w14:paraId="504D172D"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38.0</w:t>
            </w:r>
          </w:p>
        </w:tc>
      </w:tr>
      <w:tr w:rsidR="00F06C5E" w:rsidRPr="00F06C5E" w14:paraId="7DF6FD95" w14:textId="77777777" w:rsidTr="00F06C5E">
        <w:trPr>
          <w:jc w:val="center"/>
        </w:trPr>
        <w:tc>
          <w:tcPr>
            <w:tcW w:w="0" w:type="auto"/>
            <w:hideMark/>
          </w:tcPr>
          <w:p w14:paraId="7C214921"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Earrings</w:t>
            </w:r>
          </w:p>
        </w:tc>
        <w:tc>
          <w:tcPr>
            <w:tcW w:w="0" w:type="auto"/>
            <w:hideMark/>
          </w:tcPr>
          <w:p w14:paraId="23FF67AF"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34.0</w:t>
            </w:r>
          </w:p>
        </w:tc>
        <w:tc>
          <w:tcPr>
            <w:tcW w:w="0" w:type="auto"/>
            <w:hideMark/>
          </w:tcPr>
          <w:p w14:paraId="18395F3F"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11.36</w:t>
            </w:r>
          </w:p>
        </w:tc>
        <w:tc>
          <w:tcPr>
            <w:tcW w:w="0" w:type="auto"/>
            <w:hideMark/>
          </w:tcPr>
          <w:p w14:paraId="6C07AFFA" w14:textId="77777777" w:rsidR="00F06C5E" w:rsidRPr="00F06C5E" w:rsidRDefault="00F06C5E" w:rsidP="00F06C5E">
            <w:pPr>
              <w:rPr>
                <w:rFonts w:ascii="Times New Roman" w:hAnsi="Times New Roman" w:cs="Times New Roman"/>
              </w:rPr>
            </w:pPr>
            <w:r w:rsidRPr="00F06C5E">
              <w:rPr>
                <w:rFonts w:ascii="Times New Roman" w:hAnsi="Times New Roman" w:cs="Times New Roman"/>
              </w:rPr>
              <w:t>33.4</w:t>
            </w:r>
          </w:p>
        </w:tc>
      </w:tr>
    </w:tbl>
    <w:p w14:paraId="252A42F5" w14:textId="754CD366" w:rsidR="00835175" w:rsidRPr="00835175" w:rsidRDefault="00835175" w:rsidP="00835175">
      <w:pPr>
        <w:jc w:val="center"/>
        <w:rPr>
          <w:rFonts w:ascii="Times New Roman" w:hAnsi="Times New Roman" w:cs="Times New Roman"/>
          <w:i/>
          <w:iCs/>
          <w:sz w:val="16"/>
          <w:szCs w:val="16"/>
        </w:rPr>
      </w:pPr>
      <w:r>
        <w:rPr>
          <w:rFonts w:ascii="Times New Roman" w:hAnsi="Times New Roman" w:cs="Times New Roman"/>
          <w:i/>
          <w:iCs/>
          <w:sz w:val="16"/>
          <w:szCs w:val="16"/>
        </w:rPr>
        <w:t xml:space="preserve">Table 3.3: </w:t>
      </w:r>
      <w:r w:rsidRPr="00835175">
        <w:rPr>
          <w:rFonts w:ascii="Times New Roman" w:hAnsi="Times New Roman" w:cs="Times New Roman"/>
          <w:i/>
          <w:iCs/>
          <w:sz w:val="16"/>
          <w:szCs w:val="16"/>
        </w:rPr>
        <w:t>Demand Variability by Category (CV%)</w:t>
      </w:r>
    </w:p>
    <w:p w14:paraId="5A476507" w14:textId="47370792" w:rsidR="00283CF2" w:rsidRDefault="00F06C5E" w:rsidP="007606CF">
      <w:pPr>
        <w:spacing w:before="240"/>
        <w:jc w:val="center"/>
        <w:rPr>
          <w:rFonts w:ascii="Times New Roman" w:hAnsi="Times New Roman" w:cs="Times New Roman"/>
        </w:rPr>
      </w:pPr>
      <w:r>
        <w:rPr>
          <w:noProof/>
        </w:rPr>
        <w:drawing>
          <wp:inline distT="0" distB="0" distL="0" distR="0" wp14:anchorId="3ABC9872" wp14:editId="6582CC6B">
            <wp:extent cx="3637576" cy="2369185"/>
            <wp:effectExtent l="0" t="0" r="1270" b="12065"/>
            <wp:docPr id="1003109872" name="Chart 1">
              <a:extLst xmlns:a="http://schemas.openxmlformats.org/drawingml/2006/main">
                <a:ext uri="{FF2B5EF4-FFF2-40B4-BE49-F238E27FC236}">
                  <a16:creationId xmlns:a16="http://schemas.microsoft.com/office/drawing/2014/main" id="{5EAF7A4E-E2BC-6D07-B918-E39127A4B4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C9A4310" w14:textId="750F6D26"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3.5: Demand Variability by Category</w:t>
      </w:r>
    </w:p>
    <w:p w14:paraId="2FC9E0C7" w14:textId="658CDACF" w:rsidR="00F06C5E" w:rsidRPr="00F06C5E" w:rsidRDefault="00F06C5E" w:rsidP="00283CF2">
      <w:pPr>
        <w:spacing w:before="240" w:after="240"/>
        <w:rPr>
          <w:rFonts w:ascii="Times New Roman" w:hAnsi="Times New Roman" w:cs="Times New Roman"/>
        </w:rPr>
      </w:pPr>
      <w:r w:rsidRPr="00F06C5E">
        <w:rPr>
          <w:rFonts w:ascii="Times New Roman" w:hAnsi="Times New Roman" w:cs="Times New Roman"/>
        </w:rPr>
        <w:t xml:space="preserve">Rings </w:t>
      </w:r>
      <w:r w:rsidR="007606CF" w:rsidRPr="00F06C5E">
        <w:rPr>
          <w:rFonts w:ascii="Times New Roman" w:hAnsi="Times New Roman" w:cs="Times New Roman"/>
        </w:rPr>
        <w:t>show</w:t>
      </w:r>
      <w:r w:rsidRPr="00F06C5E">
        <w:rPr>
          <w:rFonts w:ascii="Times New Roman" w:hAnsi="Times New Roman" w:cs="Times New Roman"/>
        </w:rPr>
        <w:t xml:space="preserve"> by far the highest demand variability (CV 74.2%), consistent with the "spiky, outlier-driven" pattern already observed in Section </w:t>
      </w:r>
      <w:r w:rsidR="00B16F17">
        <w:rPr>
          <w:rFonts w:ascii="Times New Roman" w:hAnsi="Times New Roman" w:cs="Times New Roman"/>
        </w:rPr>
        <w:t>3</w:t>
      </w:r>
      <w:r w:rsidRPr="00F06C5E">
        <w:rPr>
          <w:rFonts w:ascii="Times New Roman" w:hAnsi="Times New Roman" w:cs="Times New Roman"/>
        </w:rPr>
        <w:t>.1.4</w:t>
      </w:r>
      <w:r w:rsidR="001F7C22">
        <w:rPr>
          <w:rFonts w:ascii="Times New Roman" w:hAnsi="Times New Roman" w:cs="Times New Roman"/>
        </w:rPr>
        <w:t>. A</w:t>
      </w:r>
      <w:r w:rsidRPr="00F06C5E">
        <w:rPr>
          <w:rFonts w:ascii="Times New Roman" w:hAnsi="Times New Roman" w:cs="Times New Roman"/>
        </w:rPr>
        <w:t xml:space="preserve"> small number of strong SKUs surrounded by slow movers naturally produces unpredictable month-to-month category totals. Earrings, by contrast, shows the most stable demand (CV 33.4%), consistent with its position as the highest-velocity category driven by broad, consistent everyday sales rather than occasional spikes. This has a direct planning implication, developed further in the Recommendations: a fixed monthly reorder quantity is reasonable for Earrings and Bracelets, but poorly suited to Rings, where a smaller, more frequently reviewed buffer would reduce both stockout and overstock risk.</w:t>
      </w:r>
    </w:p>
    <w:p w14:paraId="37C22A92" w14:textId="133FCB3A" w:rsidR="00D52713" w:rsidRPr="00733B6E" w:rsidRDefault="00D52713" w:rsidP="00F06C5E">
      <w:pPr>
        <w:pStyle w:val="Heading3"/>
        <w:spacing w:after="240"/>
        <w:rPr>
          <w:rFonts w:ascii="Times New Roman" w:hAnsi="Times New Roman" w:cs="Times New Roman"/>
        </w:rPr>
      </w:pPr>
      <w:bookmarkStart w:id="14" w:name="_Toc236340220"/>
      <w:r w:rsidRPr="00733B6E">
        <w:rPr>
          <w:rFonts w:ascii="Times New Roman" w:hAnsi="Times New Roman" w:cs="Times New Roman"/>
        </w:rPr>
        <w:t>3.1.</w:t>
      </w:r>
      <w:r w:rsidR="00F06C5E">
        <w:rPr>
          <w:rFonts w:ascii="Times New Roman" w:hAnsi="Times New Roman" w:cs="Times New Roman"/>
        </w:rPr>
        <w:t>6</w:t>
      </w:r>
      <w:r w:rsidRPr="00733B6E">
        <w:rPr>
          <w:rFonts w:ascii="Times New Roman" w:hAnsi="Times New Roman" w:cs="Times New Roman"/>
        </w:rPr>
        <w:t xml:space="preserve"> Category Growth Trends</w:t>
      </w:r>
      <w:bookmarkEnd w:id="14"/>
    </w:p>
    <w:tbl>
      <w:tblPr>
        <w:tblStyle w:val="TableGrid"/>
        <w:tblW w:w="0" w:type="auto"/>
        <w:jc w:val="center"/>
        <w:tblLook w:val="04A0" w:firstRow="1" w:lastRow="0" w:firstColumn="1" w:lastColumn="0" w:noHBand="0" w:noVBand="1"/>
      </w:tblPr>
      <w:tblGrid>
        <w:gridCol w:w="1230"/>
        <w:gridCol w:w="1163"/>
        <w:gridCol w:w="1029"/>
        <w:gridCol w:w="956"/>
        <w:gridCol w:w="1659"/>
        <w:gridCol w:w="1707"/>
      </w:tblGrid>
      <w:tr w:rsidR="00F06C5E" w:rsidRPr="00F06C5E" w14:paraId="50F6D103" w14:textId="77777777" w:rsidTr="00F06C5E">
        <w:trPr>
          <w:jc w:val="center"/>
        </w:trPr>
        <w:tc>
          <w:tcPr>
            <w:tcW w:w="0" w:type="auto"/>
            <w:hideMark/>
          </w:tcPr>
          <w:p w14:paraId="0381E0FE"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Category</w:t>
            </w:r>
          </w:p>
        </w:tc>
        <w:tc>
          <w:tcPr>
            <w:tcW w:w="0" w:type="auto"/>
            <w:hideMark/>
          </w:tcPr>
          <w:p w14:paraId="28A119EF"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March (₹)</w:t>
            </w:r>
          </w:p>
        </w:tc>
        <w:tc>
          <w:tcPr>
            <w:tcW w:w="0" w:type="auto"/>
            <w:hideMark/>
          </w:tcPr>
          <w:p w14:paraId="476CBF5D"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April (₹)</w:t>
            </w:r>
          </w:p>
        </w:tc>
        <w:tc>
          <w:tcPr>
            <w:tcW w:w="0" w:type="auto"/>
            <w:hideMark/>
          </w:tcPr>
          <w:p w14:paraId="31F62EF3" w14:textId="020DFE3E"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May (₹)</w:t>
            </w:r>
          </w:p>
        </w:tc>
        <w:tc>
          <w:tcPr>
            <w:tcW w:w="0" w:type="auto"/>
            <w:hideMark/>
          </w:tcPr>
          <w:p w14:paraId="4C73E3CA"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Apr Growth %</w:t>
            </w:r>
          </w:p>
        </w:tc>
        <w:tc>
          <w:tcPr>
            <w:tcW w:w="0" w:type="auto"/>
            <w:hideMark/>
          </w:tcPr>
          <w:p w14:paraId="14F6891D" w14:textId="77777777" w:rsidR="00F06C5E" w:rsidRPr="00F06C5E" w:rsidRDefault="00F06C5E" w:rsidP="00F06C5E">
            <w:pPr>
              <w:spacing w:after="240"/>
              <w:rPr>
                <w:rFonts w:ascii="Times New Roman" w:hAnsi="Times New Roman" w:cs="Times New Roman"/>
                <w:b/>
                <w:bCs/>
              </w:rPr>
            </w:pPr>
            <w:r w:rsidRPr="00F06C5E">
              <w:rPr>
                <w:rFonts w:ascii="Times New Roman" w:hAnsi="Times New Roman" w:cs="Times New Roman"/>
                <w:b/>
                <w:bCs/>
              </w:rPr>
              <w:t>May Growth %</w:t>
            </w:r>
          </w:p>
        </w:tc>
      </w:tr>
      <w:tr w:rsidR="00F06C5E" w:rsidRPr="00F06C5E" w14:paraId="2534FF65" w14:textId="77777777" w:rsidTr="00F06C5E">
        <w:trPr>
          <w:jc w:val="center"/>
        </w:trPr>
        <w:tc>
          <w:tcPr>
            <w:tcW w:w="0" w:type="auto"/>
            <w:hideMark/>
          </w:tcPr>
          <w:p w14:paraId="27BD31C3"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Bracelets</w:t>
            </w:r>
          </w:p>
        </w:tc>
        <w:tc>
          <w:tcPr>
            <w:tcW w:w="0" w:type="auto"/>
            <w:hideMark/>
          </w:tcPr>
          <w:p w14:paraId="202ADF3B"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5,035</w:t>
            </w:r>
          </w:p>
        </w:tc>
        <w:tc>
          <w:tcPr>
            <w:tcW w:w="0" w:type="auto"/>
            <w:hideMark/>
          </w:tcPr>
          <w:p w14:paraId="27C2A8A9"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6,631</w:t>
            </w:r>
          </w:p>
        </w:tc>
        <w:tc>
          <w:tcPr>
            <w:tcW w:w="0" w:type="auto"/>
            <w:hideMark/>
          </w:tcPr>
          <w:p w14:paraId="71CD2725" w14:textId="4D2127DE"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10,184</w:t>
            </w:r>
          </w:p>
        </w:tc>
        <w:tc>
          <w:tcPr>
            <w:tcW w:w="0" w:type="auto"/>
            <w:hideMark/>
          </w:tcPr>
          <w:p w14:paraId="6663A8C8"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+31.7%</w:t>
            </w:r>
          </w:p>
        </w:tc>
        <w:tc>
          <w:tcPr>
            <w:tcW w:w="0" w:type="auto"/>
            <w:hideMark/>
          </w:tcPr>
          <w:p w14:paraId="184EE1B1"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+53.6%</w:t>
            </w:r>
          </w:p>
        </w:tc>
      </w:tr>
      <w:tr w:rsidR="00F06C5E" w:rsidRPr="00F06C5E" w14:paraId="39FA82E3" w14:textId="77777777" w:rsidTr="00F06C5E">
        <w:trPr>
          <w:jc w:val="center"/>
        </w:trPr>
        <w:tc>
          <w:tcPr>
            <w:tcW w:w="0" w:type="auto"/>
            <w:hideMark/>
          </w:tcPr>
          <w:p w14:paraId="7D369317"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Earrings</w:t>
            </w:r>
          </w:p>
        </w:tc>
        <w:tc>
          <w:tcPr>
            <w:tcW w:w="0" w:type="auto"/>
            <w:hideMark/>
          </w:tcPr>
          <w:p w14:paraId="31B5CB8C"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5,098</w:t>
            </w:r>
          </w:p>
        </w:tc>
        <w:tc>
          <w:tcPr>
            <w:tcW w:w="0" w:type="auto"/>
            <w:hideMark/>
          </w:tcPr>
          <w:p w14:paraId="264E8CCF"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5,305</w:t>
            </w:r>
          </w:p>
        </w:tc>
        <w:tc>
          <w:tcPr>
            <w:tcW w:w="0" w:type="auto"/>
            <w:hideMark/>
          </w:tcPr>
          <w:p w14:paraId="2E7C9799" w14:textId="1F9292BB"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9,940</w:t>
            </w:r>
          </w:p>
        </w:tc>
        <w:tc>
          <w:tcPr>
            <w:tcW w:w="0" w:type="auto"/>
            <w:hideMark/>
          </w:tcPr>
          <w:p w14:paraId="7CD09D79"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+4.1%</w:t>
            </w:r>
          </w:p>
        </w:tc>
        <w:tc>
          <w:tcPr>
            <w:tcW w:w="0" w:type="auto"/>
            <w:hideMark/>
          </w:tcPr>
          <w:p w14:paraId="6A362371"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+87.4%</w:t>
            </w:r>
          </w:p>
        </w:tc>
      </w:tr>
      <w:tr w:rsidR="00F06C5E" w:rsidRPr="00F06C5E" w14:paraId="19670C09" w14:textId="77777777" w:rsidTr="00F06C5E">
        <w:trPr>
          <w:jc w:val="center"/>
        </w:trPr>
        <w:tc>
          <w:tcPr>
            <w:tcW w:w="0" w:type="auto"/>
            <w:hideMark/>
          </w:tcPr>
          <w:p w14:paraId="5A7C1A53"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Neckpieces</w:t>
            </w:r>
          </w:p>
        </w:tc>
        <w:tc>
          <w:tcPr>
            <w:tcW w:w="0" w:type="auto"/>
            <w:hideMark/>
          </w:tcPr>
          <w:p w14:paraId="660AD684"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525</w:t>
            </w:r>
          </w:p>
        </w:tc>
        <w:tc>
          <w:tcPr>
            <w:tcW w:w="0" w:type="auto"/>
            <w:hideMark/>
          </w:tcPr>
          <w:p w14:paraId="48D4632A"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1,496</w:t>
            </w:r>
          </w:p>
        </w:tc>
        <w:tc>
          <w:tcPr>
            <w:tcW w:w="0" w:type="auto"/>
            <w:hideMark/>
          </w:tcPr>
          <w:p w14:paraId="16ED1A9A"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2,193</w:t>
            </w:r>
          </w:p>
        </w:tc>
        <w:tc>
          <w:tcPr>
            <w:tcW w:w="0" w:type="auto"/>
            <w:hideMark/>
          </w:tcPr>
          <w:p w14:paraId="21223F58"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+185.0%</w:t>
            </w:r>
          </w:p>
        </w:tc>
        <w:tc>
          <w:tcPr>
            <w:tcW w:w="0" w:type="auto"/>
            <w:hideMark/>
          </w:tcPr>
          <w:p w14:paraId="39E4CBB1"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+46.6%</w:t>
            </w:r>
          </w:p>
        </w:tc>
      </w:tr>
      <w:tr w:rsidR="00F06C5E" w:rsidRPr="00F06C5E" w14:paraId="29C04B22" w14:textId="77777777" w:rsidTr="00F06C5E">
        <w:trPr>
          <w:jc w:val="center"/>
        </w:trPr>
        <w:tc>
          <w:tcPr>
            <w:tcW w:w="0" w:type="auto"/>
            <w:hideMark/>
          </w:tcPr>
          <w:p w14:paraId="21457ABB"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Rings</w:t>
            </w:r>
          </w:p>
        </w:tc>
        <w:tc>
          <w:tcPr>
            <w:tcW w:w="0" w:type="auto"/>
            <w:hideMark/>
          </w:tcPr>
          <w:p w14:paraId="01821A06"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448</w:t>
            </w:r>
          </w:p>
        </w:tc>
        <w:tc>
          <w:tcPr>
            <w:tcW w:w="0" w:type="auto"/>
            <w:hideMark/>
          </w:tcPr>
          <w:p w14:paraId="772D1398"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3,380</w:t>
            </w:r>
          </w:p>
        </w:tc>
        <w:tc>
          <w:tcPr>
            <w:tcW w:w="0" w:type="auto"/>
            <w:hideMark/>
          </w:tcPr>
          <w:p w14:paraId="1755B000"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3,965</w:t>
            </w:r>
          </w:p>
        </w:tc>
        <w:tc>
          <w:tcPr>
            <w:tcW w:w="0" w:type="auto"/>
            <w:hideMark/>
          </w:tcPr>
          <w:p w14:paraId="4D4D9FBB"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+654.5%</w:t>
            </w:r>
          </w:p>
        </w:tc>
        <w:tc>
          <w:tcPr>
            <w:tcW w:w="0" w:type="auto"/>
            <w:hideMark/>
          </w:tcPr>
          <w:p w14:paraId="35F59776" w14:textId="77777777" w:rsidR="00F06C5E" w:rsidRPr="00F06C5E" w:rsidRDefault="00F06C5E" w:rsidP="00F06C5E">
            <w:pPr>
              <w:spacing w:after="240"/>
              <w:rPr>
                <w:rFonts w:ascii="Times New Roman" w:hAnsi="Times New Roman" w:cs="Times New Roman"/>
              </w:rPr>
            </w:pPr>
            <w:r w:rsidRPr="00F06C5E">
              <w:rPr>
                <w:rFonts w:ascii="Times New Roman" w:hAnsi="Times New Roman" w:cs="Times New Roman"/>
              </w:rPr>
              <w:t>+17.3%</w:t>
            </w:r>
          </w:p>
        </w:tc>
      </w:tr>
    </w:tbl>
    <w:p w14:paraId="346A7E2B" w14:textId="652C4712" w:rsidR="00835175" w:rsidRPr="00835175" w:rsidRDefault="00835175" w:rsidP="00835175">
      <w:pPr>
        <w:jc w:val="center"/>
        <w:rPr>
          <w:rFonts w:ascii="Times New Roman" w:hAnsi="Times New Roman" w:cs="Times New Roman"/>
          <w:i/>
          <w:iCs/>
          <w:sz w:val="16"/>
          <w:szCs w:val="16"/>
        </w:rPr>
      </w:pPr>
      <w:r>
        <w:rPr>
          <w:rFonts w:ascii="Times New Roman" w:hAnsi="Times New Roman" w:cs="Times New Roman"/>
          <w:i/>
          <w:iCs/>
          <w:sz w:val="16"/>
          <w:szCs w:val="16"/>
        </w:rPr>
        <w:t xml:space="preserve">Table 3.4: </w:t>
      </w:r>
      <w:r w:rsidRPr="00835175">
        <w:rPr>
          <w:rFonts w:ascii="Times New Roman" w:hAnsi="Times New Roman" w:cs="Times New Roman"/>
          <w:i/>
          <w:iCs/>
          <w:sz w:val="16"/>
          <w:szCs w:val="16"/>
        </w:rPr>
        <w:t>Category Month-over-Month Growth</w:t>
      </w:r>
    </w:p>
    <w:p w14:paraId="305D11F2" w14:textId="4BA5D85E" w:rsidR="00283CF2" w:rsidRDefault="00283CF2" w:rsidP="007606CF">
      <w:pPr>
        <w:spacing w:before="240"/>
        <w:jc w:val="center"/>
        <w:rPr>
          <w:rFonts w:ascii="Times New Roman" w:hAnsi="Times New Roman" w:cs="Times New Roman"/>
        </w:rPr>
      </w:pPr>
      <w:r>
        <w:rPr>
          <w:noProof/>
        </w:rPr>
        <w:lastRenderedPageBreak/>
        <w:drawing>
          <wp:inline distT="0" distB="0" distL="0" distR="0" wp14:anchorId="455A1FF9" wp14:editId="604DC87E">
            <wp:extent cx="3737694" cy="2569664"/>
            <wp:effectExtent l="0" t="0" r="15240" b="2540"/>
            <wp:docPr id="967951840" name="Chart 1">
              <a:extLst xmlns:a="http://schemas.openxmlformats.org/drawingml/2006/main">
                <a:ext uri="{FF2B5EF4-FFF2-40B4-BE49-F238E27FC236}">
                  <a16:creationId xmlns:a16="http://schemas.microsoft.com/office/drawing/2014/main" id="{74DD4665-B8F2-8B14-A628-E89ABE7631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F7EF392" w14:textId="566C2263"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3.6: Category MoM Growth</w:t>
      </w:r>
    </w:p>
    <w:p w14:paraId="510F12D8" w14:textId="20A7CD9B" w:rsidR="00F06C5E" w:rsidRPr="00F06C5E" w:rsidRDefault="00F06C5E" w:rsidP="00F06C5E">
      <w:pPr>
        <w:spacing w:before="240" w:after="240"/>
        <w:rPr>
          <w:rFonts w:ascii="Times New Roman" w:hAnsi="Times New Roman" w:cs="Times New Roman"/>
        </w:rPr>
      </w:pPr>
      <w:r w:rsidRPr="00F06C5E">
        <w:rPr>
          <w:rFonts w:ascii="Times New Roman" w:hAnsi="Times New Roman" w:cs="Times New Roman"/>
        </w:rPr>
        <w:t xml:space="preserve">Every category grew across the full period, consistent with the overall 137% revenue increase reported in Section </w:t>
      </w:r>
      <w:r>
        <w:rPr>
          <w:rFonts w:ascii="Times New Roman" w:hAnsi="Times New Roman" w:cs="Times New Roman"/>
        </w:rPr>
        <w:t>3</w:t>
      </w:r>
      <w:r w:rsidRPr="00F06C5E">
        <w:rPr>
          <w:rFonts w:ascii="Times New Roman" w:hAnsi="Times New Roman" w:cs="Times New Roman"/>
        </w:rPr>
        <w:t>.1.2, but the shape of growth differs sharply. Rings' extreme April jump (+654.5%) is a low-base effect off a very small March figure (₹448) rather than genuine acceleration</w:t>
      </w:r>
      <w:r w:rsidR="001F7C22">
        <w:rPr>
          <w:rFonts w:ascii="Times New Roman" w:hAnsi="Times New Roman" w:cs="Times New Roman"/>
        </w:rPr>
        <w:t xml:space="preserve">. </w:t>
      </w:r>
      <w:r w:rsidR="001F7C22" w:rsidRPr="00F06C5E">
        <w:rPr>
          <w:rFonts w:ascii="Times New Roman" w:hAnsi="Times New Roman" w:cs="Times New Roman"/>
        </w:rPr>
        <w:t>I</w:t>
      </w:r>
      <w:r w:rsidRPr="00F06C5E">
        <w:rPr>
          <w:rFonts w:ascii="Times New Roman" w:hAnsi="Times New Roman" w:cs="Times New Roman"/>
        </w:rPr>
        <w:t xml:space="preserve">ts growth largely plateaus by May (+17.3%), consistent with Rings' high demand variability (Section </w:t>
      </w:r>
      <w:r>
        <w:rPr>
          <w:rFonts w:ascii="Times New Roman" w:hAnsi="Times New Roman" w:cs="Times New Roman"/>
        </w:rPr>
        <w:t>3</w:t>
      </w:r>
      <w:r w:rsidRPr="00F06C5E">
        <w:rPr>
          <w:rFonts w:ascii="Times New Roman" w:hAnsi="Times New Roman" w:cs="Times New Roman"/>
        </w:rPr>
        <w:t xml:space="preserve">.1.5) and its outlier-dependent SKU structure (Section </w:t>
      </w:r>
      <w:r>
        <w:rPr>
          <w:rFonts w:ascii="Times New Roman" w:hAnsi="Times New Roman" w:cs="Times New Roman"/>
        </w:rPr>
        <w:t>3</w:t>
      </w:r>
      <w:r w:rsidRPr="00F06C5E">
        <w:rPr>
          <w:rFonts w:ascii="Times New Roman" w:hAnsi="Times New Roman" w:cs="Times New Roman"/>
        </w:rPr>
        <w:t xml:space="preserve">.1.4). Neckpieces </w:t>
      </w:r>
      <w:r w:rsidR="00B16F17" w:rsidRPr="00F06C5E">
        <w:rPr>
          <w:rFonts w:ascii="Times New Roman" w:hAnsi="Times New Roman" w:cs="Times New Roman"/>
        </w:rPr>
        <w:t>show</w:t>
      </w:r>
      <w:r w:rsidRPr="00F06C5E">
        <w:rPr>
          <w:rFonts w:ascii="Times New Roman" w:hAnsi="Times New Roman" w:cs="Times New Roman"/>
        </w:rPr>
        <w:t xml:space="preserve"> a similar low-base pattern.</w:t>
      </w:r>
    </w:p>
    <w:p w14:paraId="54D77207" w14:textId="079238D2" w:rsidR="00CB4138" w:rsidRDefault="00F06C5E" w:rsidP="00105D08">
      <w:pPr>
        <w:spacing w:after="240"/>
        <w:rPr>
          <w:rFonts w:ascii="Times New Roman" w:hAnsi="Times New Roman" w:cs="Times New Roman"/>
        </w:rPr>
      </w:pPr>
      <w:r w:rsidRPr="00F06C5E">
        <w:rPr>
          <w:rFonts w:ascii="Times New Roman" w:hAnsi="Times New Roman" w:cs="Times New Roman"/>
        </w:rPr>
        <w:t>Bracelets and Earrings</w:t>
      </w:r>
      <w:r w:rsidR="001F7C22">
        <w:rPr>
          <w:rFonts w:ascii="Times New Roman" w:hAnsi="Times New Roman" w:cs="Times New Roman"/>
        </w:rPr>
        <w:t xml:space="preserve">, </w:t>
      </w:r>
      <w:r w:rsidRPr="00F06C5E">
        <w:rPr>
          <w:rFonts w:ascii="Times New Roman" w:hAnsi="Times New Roman" w:cs="Times New Roman"/>
        </w:rPr>
        <w:t>the two categories driving 78% of revenue</w:t>
      </w:r>
      <w:r w:rsidR="001F7C22">
        <w:rPr>
          <w:rFonts w:ascii="Times New Roman" w:hAnsi="Times New Roman" w:cs="Times New Roman"/>
        </w:rPr>
        <w:t xml:space="preserve">, </w:t>
      </w:r>
      <w:r w:rsidRPr="00F06C5E">
        <w:rPr>
          <w:rFonts w:ascii="Times New Roman" w:hAnsi="Times New Roman" w:cs="Times New Roman"/>
        </w:rPr>
        <w:t xml:space="preserve">show a more structurally reliable pattern: Earrings' growth </w:t>
      </w:r>
      <w:r w:rsidRPr="00F06C5E">
        <w:rPr>
          <w:rFonts w:ascii="Times New Roman" w:hAnsi="Times New Roman" w:cs="Times New Roman"/>
          <w:i/>
          <w:iCs/>
        </w:rPr>
        <w:t>accelerates</w:t>
      </w:r>
      <w:r w:rsidRPr="00F06C5E">
        <w:rPr>
          <w:rFonts w:ascii="Times New Roman" w:hAnsi="Times New Roman" w:cs="Times New Roman"/>
        </w:rPr>
        <w:t xml:space="preserve"> into May (+4.1% then +87.4%) while Bracelets grows steadily across both months (+31.7%, +53.6%). Since May coincides with the wedding season referenced in the Executive Summary, this steady-then-accelerating pattern in the two dominant categories is the strongest evidence in the dataset for a genuine seasonal effect</w:t>
      </w:r>
      <w:r w:rsidR="00100C78">
        <w:rPr>
          <w:rFonts w:ascii="Times New Roman" w:hAnsi="Times New Roman" w:cs="Times New Roman"/>
        </w:rPr>
        <w:t xml:space="preserve">, </w:t>
      </w:r>
      <w:r w:rsidRPr="00F06C5E">
        <w:rPr>
          <w:rFonts w:ascii="Times New Roman" w:hAnsi="Times New Roman" w:cs="Times New Roman"/>
        </w:rPr>
        <w:t>as distinct from the low-base artefacts in Rings and Neckpieces. This distinction, absent from the mid-term submission, is important for stock planning: restocking ahead of a comparable future season should prioritize Bracelets and Earrings specifically, not be applied uniformly across all four categories.</w:t>
      </w:r>
    </w:p>
    <w:p w14:paraId="37FC343F" w14:textId="1FAAA4B3" w:rsidR="00D52713" w:rsidRPr="00733B6E" w:rsidRDefault="00D52713" w:rsidP="00733B6E">
      <w:pPr>
        <w:pStyle w:val="Heading3"/>
        <w:rPr>
          <w:rFonts w:ascii="Times New Roman" w:hAnsi="Times New Roman" w:cs="Times New Roman"/>
        </w:rPr>
      </w:pPr>
      <w:bookmarkStart w:id="15" w:name="_Toc236340221"/>
      <w:r w:rsidRPr="00733B6E">
        <w:rPr>
          <w:rFonts w:ascii="Times New Roman" w:hAnsi="Times New Roman" w:cs="Times New Roman"/>
        </w:rPr>
        <w:t>3.1.</w:t>
      </w:r>
      <w:r w:rsidR="007606CF">
        <w:rPr>
          <w:rFonts w:ascii="Times New Roman" w:hAnsi="Times New Roman" w:cs="Times New Roman"/>
        </w:rPr>
        <w:t>7</w:t>
      </w:r>
      <w:r w:rsidRPr="00733B6E">
        <w:rPr>
          <w:rFonts w:ascii="Times New Roman" w:hAnsi="Times New Roman" w:cs="Times New Roman"/>
        </w:rPr>
        <w:t xml:space="preserve"> Price–Demand Relationship and Returns</w:t>
      </w:r>
      <w:bookmarkEnd w:id="15"/>
    </w:p>
    <w:p w14:paraId="54C4900B" w14:textId="66404B9B" w:rsidR="00283CF2" w:rsidRDefault="00283CF2" w:rsidP="007606CF">
      <w:pPr>
        <w:spacing w:before="240"/>
        <w:jc w:val="center"/>
        <w:rPr>
          <w:rFonts w:ascii="Times New Roman" w:hAnsi="Times New Roman" w:cs="Times New Roman"/>
        </w:rPr>
      </w:pPr>
      <w:r>
        <w:rPr>
          <w:noProof/>
        </w:rPr>
        <w:drawing>
          <wp:inline distT="0" distB="0" distL="0" distR="0" wp14:anchorId="6050410A" wp14:editId="78F7823F">
            <wp:extent cx="4078091" cy="2689804"/>
            <wp:effectExtent l="0" t="0" r="17780" b="15875"/>
            <wp:docPr id="1451351830" name="Chart 1">
              <a:extLst xmlns:a="http://schemas.openxmlformats.org/drawingml/2006/main">
                <a:ext uri="{FF2B5EF4-FFF2-40B4-BE49-F238E27FC236}">
                  <a16:creationId xmlns:a16="http://schemas.microsoft.com/office/drawing/2014/main" id="{08C6E2EC-DE69-0838-58DB-8151C4390D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4D8E3A" w14:textId="0A9116FD"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3.7: Price vs. Velocity</w:t>
      </w:r>
    </w:p>
    <w:p w14:paraId="2D1B8987" w14:textId="106461EB"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lastRenderedPageBreak/>
        <w:t>A scatter plot of Unit Price (₹) against total quantity sold, with a linear trendline fitted, shows a shallow negative slope (R² = 0.075)</w:t>
      </w:r>
      <w:r w:rsidR="00100C78">
        <w:rPr>
          <w:rFonts w:ascii="Times New Roman" w:hAnsi="Times New Roman" w:cs="Times New Roman"/>
        </w:rPr>
        <w:t xml:space="preserve">, </w:t>
      </w:r>
      <w:r w:rsidRPr="00B16F17">
        <w:rPr>
          <w:rFonts w:ascii="Times New Roman" w:hAnsi="Times New Roman" w:cs="Times New Roman"/>
        </w:rPr>
        <w:t xml:space="preserve">meaning price explains only about 7.5% of the variation in how many units a product sells. </w:t>
      </w:r>
      <w:r w:rsidR="00F848ED" w:rsidRPr="00F848ED">
        <w:rPr>
          <w:rFonts w:ascii="Times New Roman" w:hAnsi="Times New Roman" w:cs="Times New Roman"/>
        </w:rPr>
        <w:t>This translates to a weak negative correlation (r ≈ −0.27), which indicates that as price increases, quantity decreases somewhat, but not significantly</w:t>
      </w:r>
      <w:r w:rsidR="00F848ED">
        <w:rPr>
          <w:rFonts w:ascii="Times New Roman" w:hAnsi="Times New Roman" w:cs="Times New Roman"/>
        </w:rPr>
        <w:t>.</w:t>
      </w:r>
      <w:r w:rsidRPr="00B16F17">
        <w:rPr>
          <w:rFonts w:ascii="Times New Roman" w:hAnsi="Times New Roman" w:cs="Times New Roman"/>
        </w:rPr>
        <w:t xml:space="preserve"> </w:t>
      </w:r>
      <w:r w:rsidR="00FE257D" w:rsidRPr="00FE257D">
        <w:rPr>
          <w:rFonts w:ascii="Times New Roman" w:hAnsi="Times New Roman" w:cs="Times New Roman"/>
        </w:rPr>
        <w:t xml:space="preserve">From the scatter itself, one can see that while the highest selling item (quantity sold = 11) falls in the ₹150-200 band, there are other products within the same price range that sell between 1-3 units, and even other </w:t>
      </w:r>
      <w:proofErr w:type="gramStart"/>
      <w:r w:rsidR="00FE257D" w:rsidRPr="00FE257D">
        <w:rPr>
          <w:rFonts w:ascii="Times New Roman" w:hAnsi="Times New Roman" w:cs="Times New Roman"/>
        </w:rPr>
        <w:t>high priced</w:t>
      </w:r>
      <w:proofErr w:type="gramEnd"/>
      <w:r w:rsidR="00FE257D" w:rsidRPr="00FE257D">
        <w:rPr>
          <w:rFonts w:ascii="Times New Roman" w:hAnsi="Times New Roman" w:cs="Times New Roman"/>
        </w:rPr>
        <w:t xml:space="preserve"> products (₹400-550) sell 2-3 units, instead of selling no units at all.</w:t>
      </w:r>
      <w:r w:rsidRPr="00B16F17">
        <w:rPr>
          <w:rFonts w:ascii="Times New Roman" w:hAnsi="Times New Roman" w:cs="Times New Roman"/>
        </w:rPr>
        <w:t xml:space="preserve"> This confirms that price is not the dominant driver of demand in this business: category and product design (as reflected in Earrings' consistently strong velocity across a range of price points, Section </w:t>
      </w:r>
      <w:r w:rsidR="00EC7062">
        <w:rPr>
          <w:rFonts w:ascii="Times New Roman" w:hAnsi="Times New Roman" w:cs="Times New Roman"/>
        </w:rPr>
        <w:t>3</w:t>
      </w:r>
      <w:r w:rsidRPr="00B16F17">
        <w:rPr>
          <w:rFonts w:ascii="Times New Roman" w:hAnsi="Times New Roman" w:cs="Times New Roman"/>
        </w:rPr>
        <w:t>.1.4) appear to matter more than price positioning alone. Practically, this weak relationship argues against using discounting as a primary volume lever</w:t>
      </w:r>
      <w:r w:rsidR="00100C78">
        <w:rPr>
          <w:rFonts w:ascii="Times New Roman" w:hAnsi="Times New Roman" w:cs="Times New Roman"/>
        </w:rPr>
        <w:t xml:space="preserve">; </w:t>
      </w:r>
      <w:r w:rsidRPr="00B16F17">
        <w:rPr>
          <w:rFonts w:ascii="Times New Roman" w:hAnsi="Times New Roman" w:cs="Times New Roman"/>
        </w:rPr>
        <w:t xml:space="preserve">the modest slope suggests a price cut would only marginally shift unit sales, whereas expanding proven, fast-moving designs (Section </w:t>
      </w:r>
      <w:r w:rsidR="0015327E">
        <w:rPr>
          <w:rFonts w:ascii="Times New Roman" w:hAnsi="Times New Roman" w:cs="Times New Roman"/>
        </w:rPr>
        <w:t>4</w:t>
      </w:r>
      <w:r w:rsidRPr="00B16F17">
        <w:rPr>
          <w:rFonts w:ascii="Times New Roman" w:hAnsi="Times New Roman" w:cs="Times New Roman"/>
        </w:rPr>
        <w:t>.3) is likely to have more impact.</w:t>
      </w:r>
    </w:p>
    <w:p w14:paraId="1477C9DA"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Return rates were negligible and did not meaningfully vary by category:</w:t>
      </w:r>
    </w:p>
    <w:tbl>
      <w:tblPr>
        <w:tblStyle w:val="TableGrid"/>
        <w:tblW w:w="0" w:type="auto"/>
        <w:jc w:val="center"/>
        <w:tblLook w:val="04A0" w:firstRow="1" w:lastRow="0" w:firstColumn="1" w:lastColumn="0" w:noHBand="0" w:noVBand="1"/>
      </w:tblPr>
      <w:tblGrid>
        <w:gridCol w:w="1230"/>
        <w:gridCol w:w="1805"/>
      </w:tblGrid>
      <w:tr w:rsidR="00B16F17" w:rsidRPr="00B16F17" w14:paraId="08A8FE0F" w14:textId="77777777" w:rsidTr="00B16F17">
        <w:trPr>
          <w:jc w:val="center"/>
        </w:trPr>
        <w:tc>
          <w:tcPr>
            <w:tcW w:w="0" w:type="auto"/>
            <w:hideMark/>
          </w:tcPr>
          <w:p w14:paraId="52877774"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Category</w:t>
            </w:r>
          </w:p>
        </w:tc>
        <w:tc>
          <w:tcPr>
            <w:tcW w:w="0" w:type="auto"/>
            <w:hideMark/>
          </w:tcPr>
          <w:p w14:paraId="31FE6D04"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Return Rate (%)</w:t>
            </w:r>
          </w:p>
        </w:tc>
      </w:tr>
      <w:tr w:rsidR="00B16F17" w:rsidRPr="00B16F17" w14:paraId="46428A8A" w14:textId="77777777" w:rsidTr="00B16F17">
        <w:trPr>
          <w:jc w:val="center"/>
        </w:trPr>
        <w:tc>
          <w:tcPr>
            <w:tcW w:w="0" w:type="auto"/>
            <w:hideMark/>
          </w:tcPr>
          <w:p w14:paraId="5627437D"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Bracelets</w:t>
            </w:r>
          </w:p>
        </w:tc>
        <w:tc>
          <w:tcPr>
            <w:tcW w:w="0" w:type="auto"/>
            <w:hideMark/>
          </w:tcPr>
          <w:p w14:paraId="3B54FB89"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3.03%</w:t>
            </w:r>
          </w:p>
        </w:tc>
      </w:tr>
      <w:tr w:rsidR="00B16F17" w:rsidRPr="00B16F17" w14:paraId="2BE28E3A" w14:textId="77777777" w:rsidTr="00B16F17">
        <w:trPr>
          <w:jc w:val="center"/>
        </w:trPr>
        <w:tc>
          <w:tcPr>
            <w:tcW w:w="0" w:type="auto"/>
            <w:hideMark/>
          </w:tcPr>
          <w:p w14:paraId="01C9ACD3"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Earrings</w:t>
            </w:r>
          </w:p>
        </w:tc>
        <w:tc>
          <w:tcPr>
            <w:tcW w:w="0" w:type="auto"/>
            <w:hideMark/>
          </w:tcPr>
          <w:p w14:paraId="30F7C237"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0.00%</w:t>
            </w:r>
          </w:p>
        </w:tc>
      </w:tr>
      <w:tr w:rsidR="00B16F17" w:rsidRPr="00B16F17" w14:paraId="5BBE1767" w14:textId="77777777" w:rsidTr="00B16F17">
        <w:trPr>
          <w:jc w:val="center"/>
        </w:trPr>
        <w:tc>
          <w:tcPr>
            <w:tcW w:w="0" w:type="auto"/>
            <w:hideMark/>
          </w:tcPr>
          <w:p w14:paraId="2D77142C"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Neckpieces</w:t>
            </w:r>
          </w:p>
        </w:tc>
        <w:tc>
          <w:tcPr>
            <w:tcW w:w="0" w:type="auto"/>
            <w:hideMark/>
          </w:tcPr>
          <w:p w14:paraId="4C4DB24D"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0.00%</w:t>
            </w:r>
          </w:p>
        </w:tc>
      </w:tr>
      <w:tr w:rsidR="00B16F17" w:rsidRPr="00B16F17" w14:paraId="64461A9D" w14:textId="77777777" w:rsidTr="00B16F17">
        <w:trPr>
          <w:jc w:val="center"/>
        </w:trPr>
        <w:tc>
          <w:tcPr>
            <w:tcW w:w="0" w:type="auto"/>
            <w:hideMark/>
          </w:tcPr>
          <w:p w14:paraId="2694A5AF"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Rings</w:t>
            </w:r>
          </w:p>
        </w:tc>
        <w:tc>
          <w:tcPr>
            <w:tcW w:w="0" w:type="auto"/>
            <w:hideMark/>
          </w:tcPr>
          <w:p w14:paraId="2FA4E731"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0.00%</w:t>
            </w:r>
          </w:p>
        </w:tc>
      </w:tr>
    </w:tbl>
    <w:p w14:paraId="79957FDC" w14:textId="58B20AA8" w:rsidR="00835175" w:rsidRPr="00835175" w:rsidRDefault="00835175" w:rsidP="00835175">
      <w:pPr>
        <w:spacing w:after="240"/>
        <w:jc w:val="center"/>
        <w:rPr>
          <w:rFonts w:ascii="Times New Roman" w:hAnsi="Times New Roman" w:cs="Times New Roman"/>
          <w:i/>
          <w:iCs/>
          <w:sz w:val="16"/>
          <w:szCs w:val="16"/>
        </w:rPr>
      </w:pPr>
      <w:r>
        <w:rPr>
          <w:rFonts w:ascii="Times New Roman" w:hAnsi="Times New Roman" w:cs="Times New Roman"/>
          <w:i/>
          <w:iCs/>
          <w:sz w:val="16"/>
          <w:szCs w:val="16"/>
        </w:rPr>
        <w:t>Table 3.5: Return Rate by Category</w:t>
      </w:r>
    </w:p>
    <w:p w14:paraId="6DF6E64D" w14:textId="1F3BFE63" w:rsidR="00190E7E" w:rsidRDefault="00B16F17" w:rsidP="00B16F17">
      <w:pPr>
        <w:spacing w:before="240" w:after="240"/>
        <w:rPr>
          <w:rFonts w:ascii="Times New Roman" w:hAnsi="Times New Roman" w:cs="Times New Roman"/>
        </w:rPr>
      </w:pPr>
      <w:r w:rsidRPr="00B16F17">
        <w:rPr>
          <w:rFonts w:ascii="Times New Roman" w:hAnsi="Times New Roman" w:cs="Times New Roman"/>
        </w:rPr>
        <w:t xml:space="preserve">Only 2 of 100 orders were returned (both Bracelets), an overall rate of 2%. This confirms that the revenue and velocity patterns identified earlier are not being undercut by hidden quality or fit issues, and that category prioritization decisions (Section </w:t>
      </w:r>
      <w:r w:rsidR="0021750C">
        <w:rPr>
          <w:rFonts w:ascii="Times New Roman" w:hAnsi="Times New Roman" w:cs="Times New Roman"/>
        </w:rPr>
        <w:t>4</w:t>
      </w:r>
      <w:r w:rsidRPr="00B16F17">
        <w:rPr>
          <w:rFonts w:ascii="Times New Roman" w:hAnsi="Times New Roman" w:cs="Times New Roman"/>
        </w:rPr>
        <w:t>.1–</w:t>
      </w:r>
      <w:r w:rsidR="0021750C">
        <w:rPr>
          <w:rFonts w:ascii="Times New Roman" w:hAnsi="Times New Roman" w:cs="Times New Roman"/>
        </w:rPr>
        <w:t>4</w:t>
      </w:r>
      <w:r w:rsidRPr="00B16F17">
        <w:rPr>
          <w:rFonts w:ascii="Times New Roman" w:hAnsi="Times New Roman" w:cs="Times New Roman"/>
        </w:rPr>
        <w:t>.2) can be made on revenue/velocity/variability grounds without a returns-risk caveat.</w:t>
      </w:r>
    </w:p>
    <w:p w14:paraId="3431F8E6" w14:textId="77777777" w:rsidR="0015327E" w:rsidRPr="0015327E" w:rsidRDefault="0015327E" w:rsidP="0015327E">
      <w:pPr>
        <w:pStyle w:val="Heading3"/>
        <w:rPr>
          <w:rFonts w:ascii="Times New Roman" w:hAnsi="Times New Roman" w:cs="Times New Roman"/>
        </w:rPr>
      </w:pPr>
      <w:bookmarkStart w:id="16" w:name="_Toc236340222"/>
      <w:r w:rsidRPr="0015327E">
        <w:rPr>
          <w:rFonts w:ascii="Times New Roman" w:hAnsi="Times New Roman" w:cs="Times New Roman"/>
        </w:rPr>
        <w:t>3.1.8 Payment Mode and Basket Size</w:t>
      </w:r>
      <w:bookmarkEnd w:id="16"/>
    </w:p>
    <w:p w14:paraId="7C265B9B" w14:textId="2408AB11" w:rsidR="0015327E" w:rsidRDefault="0015327E" w:rsidP="0015327E">
      <w:pPr>
        <w:spacing w:after="240"/>
        <w:rPr>
          <w:rFonts w:ascii="Times New Roman" w:hAnsi="Times New Roman" w:cs="Times New Roman"/>
        </w:rPr>
      </w:pPr>
      <w:r w:rsidRPr="0015327E">
        <w:rPr>
          <w:rFonts w:ascii="Times New Roman" w:hAnsi="Times New Roman" w:cs="Times New Roman"/>
        </w:rPr>
        <w:t>Of the 100 orders, 89 were paid via UPI (₹48,088, 88.7% of revenue), 7 via Card (₹5,016, 9.3%), and 4 via Cash (₹1,096, 2.0%). This confirms the business's revenue is almost entirely digital-first despite operating as an informal WhatsApp/Facebook-order retailer with no formal POS system</w:t>
      </w:r>
      <w:r w:rsidR="00100C78">
        <w:rPr>
          <w:rFonts w:ascii="Times New Roman" w:hAnsi="Times New Roman" w:cs="Times New Roman"/>
        </w:rPr>
        <w:t>; a</w:t>
      </w:r>
      <w:r w:rsidRPr="0015327E">
        <w:rPr>
          <w:rFonts w:ascii="Times New Roman" w:hAnsi="Times New Roman" w:cs="Times New Roman"/>
        </w:rPr>
        <w:t xml:space="preserve"> relevant baseline fact for Section 4.6's recommendation to maintain the analysis via spreadsheet tracking, since the underlying payment data is already captured digitally at the point of sale rather than needing to be reconstructed from cash records. Card transactions show a notably higher average order value (₹716.6) than UPI (₹540.3) or Cash (₹274.0), suggesting Card is used disproportionately for the business's larger, higher-value orders rather than routine small purchases.</w:t>
      </w:r>
    </w:p>
    <w:p w14:paraId="6DC370C4" w14:textId="48C61828" w:rsidR="00835175" w:rsidRDefault="008B5748" w:rsidP="00835175">
      <w:pPr>
        <w:jc w:val="center"/>
        <w:rPr>
          <w:rFonts w:ascii="Times New Roman" w:hAnsi="Times New Roman" w:cs="Times New Roman"/>
        </w:rPr>
      </w:pPr>
      <w:r>
        <w:rPr>
          <w:noProof/>
        </w:rPr>
        <w:drawing>
          <wp:inline distT="0" distB="0" distL="0" distR="0" wp14:anchorId="3C46084D" wp14:editId="6BACA7F5">
            <wp:extent cx="3392905" cy="2045368"/>
            <wp:effectExtent l="0" t="0" r="17145" b="12065"/>
            <wp:docPr id="1329641716" name="Chart 1">
              <a:extLst xmlns:a="http://schemas.openxmlformats.org/drawingml/2006/main">
                <a:ext uri="{FF2B5EF4-FFF2-40B4-BE49-F238E27FC236}">
                  <a16:creationId xmlns:a16="http://schemas.microsoft.com/office/drawing/2014/main" id="{3BDA01B7-B3E7-6E8B-E8B3-77A5F2694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52BD8A" w14:textId="2697806B" w:rsidR="00835175" w:rsidRPr="00835175" w:rsidRDefault="00835175" w:rsidP="0083517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3.8: Payment Mode Distribution</w:t>
      </w:r>
    </w:p>
    <w:p w14:paraId="1CE2891D" w14:textId="3707CF4F" w:rsidR="0015327E" w:rsidRDefault="0015327E" w:rsidP="0015327E">
      <w:pPr>
        <w:spacing w:after="240"/>
        <w:rPr>
          <w:rFonts w:ascii="Times New Roman" w:hAnsi="Times New Roman" w:cs="Times New Roman"/>
        </w:rPr>
      </w:pPr>
      <w:r w:rsidRPr="0015327E">
        <w:rPr>
          <w:rFonts w:ascii="Times New Roman" w:hAnsi="Times New Roman" w:cs="Times New Roman"/>
        </w:rPr>
        <w:lastRenderedPageBreak/>
        <w:t>Basket size</w:t>
      </w:r>
      <w:r w:rsidR="00100C78">
        <w:rPr>
          <w:rFonts w:ascii="Times New Roman" w:hAnsi="Times New Roman" w:cs="Times New Roman"/>
        </w:rPr>
        <w:t>,</w:t>
      </w:r>
      <w:r w:rsidRPr="0015327E">
        <w:rPr>
          <w:rFonts w:ascii="Times New Roman" w:hAnsi="Times New Roman" w:cs="Times New Roman"/>
        </w:rPr>
        <w:t xml:space="preserve"> the number of distinct items in a single order</w:t>
      </w:r>
      <w:r w:rsidR="00100C78">
        <w:rPr>
          <w:rFonts w:ascii="Times New Roman" w:hAnsi="Times New Roman" w:cs="Times New Roman"/>
        </w:rPr>
        <w:t>,</w:t>
      </w:r>
      <w:r w:rsidRPr="0015327E">
        <w:rPr>
          <w:rFonts w:ascii="Times New Roman" w:hAnsi="Times New Roman" w:cs="Times New Roman"/>
        </w:rPr>
        <w:t xml:space="preserve"> also shows a clear pattern: average order value rises from ₹290.5 for single-item orders (31 orders) to ₹560.9 for two-item orders (34 orders) to ₹746.3 for three-item orders (35 orders). Multi-item orders (two or three items) make up 69% of all orders but 83.4% of total revenue (₹45,193 of ₹54,200). This indicates that encouraging a second or third item per order</w:t>
      </w:r>
      <w:r w:rsidR="00100C78">
        <w:rPr>
          <w:rFonts w:ascii="Times New Roman" w:hAnsi="Times New Roman" w:cs="Times New Roman"/>
        </w:rPr>
        <w:t>,</w:t>
      </w:r>
      <w:r w:rsidRPr="0015327E">
        <w:rPr>
          <w:rFonts w:ascii="Times New Roman" w:hAnsi="Times New Roman" w:cs="Times New Roman"/>
        </w:rPr>
        <w:t xml:space="preserve"> for example, a small bundled discount on a second Earrings pair when a Bracelet is purchased, consistent with the Priority 1/3 stocking tier in Section 4.1</w:t>
      </w:r>
      <w:r w:rsidR="00100C78">
        <w:rPr>
          <w:rFonts w:ascii="Times New Roman" w:hAnsi="Times New Roman" w:cs="Times New Roman"/>
        </w:rPr>
        <w:t xml:space="preserve">, </w:t>
      </w:r>
      <w:r w:rsidRPr="0015327E">
        <w:rPr>
          <w:rFonts w:ascii="Times New Roman" w:hAnsi="Times New Roman" w:cs="Times New Roman"/>
        </w:rPr>
        <w:t>has more revenue upside per transaction than acquiring an entirely new single-item customer, since basket-building is already the dominant revenue pattern in this business rather than an untested idea.</w:t>
      </w:r>
    </w:p>
    <w:p w14:paraId="60121207" w14:textId="722CDA0E" w:rsidR="000C61B9" w:rsidRDefault="000C61B9" w:rsidP="00835175">
      <w:pPr>
        <w:jc w:val="center"/>
        <w:rPr>
          <w:rFonts w:ascii="Times New Roman" w:hAnsi="Times New Roman" w:cs="Times New Roman"/>
        </w:rPr>
      </w:pPr>
      <w:r>
        <w:rPr>
          <w:noProof/>
        </w:rPr>
        <w:drawing>
          <wp:inline distT="0" distB="0" distL="0" distR="0" wp14:anchorId="3DB63389" wp14:editId="2B972617">
            <wp:extent cx="3624228" cy="2329384"/>
            <wp:effectExtent l="0" t="0" r="14605" b="13970"/>
            <wp:docPr id="1431081397" name="Chart 1">
              <a:extLst xmlns:a="http://schemas.openxmlformats.org/drawingml/2006/main">
                <a:ext uri="{FF2B5EF4-FFF2-40B4-BE49-F238E27FC236}">
                  <a16:creationId xmlns:a16="http://schemas.microsoft.com/office/drawing/2014/main" id="{13C5FDE6-60DF-0D8D-127F-B37C0ADFD2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01713F5" w14:textId="09B3FE6F" w:rsidR="00835175" w:rsidRPr="00835175" w:rsidRDefault="00835175" w:rsidP="0083517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3.9: Average Order Value</w:t>
      </w:r>
    </w:p>
    <w:p w14:paraId="590DF676" w14:textId="044FB4C5" w:rsidR="00D52713" w:rsidRPr="00733B6E" w:rsidRDefault="00D52713" w:rsidP="00733B6E">
      <w:pPr>
        <w:pStyle w:val="Heading2"/>
        <w:rPr>
          <w:rFonts w:ascii="Times New Roman" w:hAnsi="Times New Roman" w:cs="Times New Roman"/>
        </w:rPr>
      </w:pPr>
      <w:bookmarkStart w:id="17" w:name="_Toc236340223"/>
      <w:r w:rsidRPr="00733B6E">
        <w:rPr>
          <w:rFonts w:ascii="Times New Roman" w:hAnsi="Times New Roman" w:cs="Times New Roman"/>
        </w:rPr>
        <w:t>3.2 Unconfirmed Order Hold Management (Objective 2)</w:t>
      </w:r>
      <w:bookmarkEnd w:id="17"/>
    </w:p>
    <w:p w14:paraId="07B4F133" w14:textId="6F621BB7" w:rsidR="00D52713" w:rsidRPr="00733B6E" w:rsidRDefault="00D52713" w:rsidP="00733B6E">
      <w:pPr>
        <w:pStyle w:val="Heading3"/>
        <w:rPr>
          <w:rFonts w:ascii="Times New Roman" w:hAnsi="Times New Roman" w:cs="Times New Roman"/>
        </w:rPr>
      </w:pPr>
      <w:bookmarkStart w:id="18" w:name="_Toc236340224"/>
      <w:r w:rsidRPr="00733B6E">
        <w:rPr>
          <w:rFonts w:ascii="Times New Roman" w:hAnsi="Times New Roman" w:cs="Times New Roman"/>
        </w:rPr>
        <w:t>3.2.1 Hold Outcomes Overview</w:t>
      </w:r>
      <w:bookmarkEnd w:id="18"/>
    </w:p>
    <w:p w14:paraId="36DDB4AA" w14:textId="421E516F" w:rsidR="000F3D85" w:rsidRDefault="0020666C" w:rsidP="007606CF">
      <w:pPr>
        <w:spacing w:before="240"/>
        <w:jc w:val="center"/>
        <w:rPr>
          <w:rFonts w:ascii="Times New Roman" w:hAnsi="Times New Roman" w:cs="Times New Roman"/>
        </w:rPr>
      </w:pPr>
      <w:r>
        <w:rPr>
          <w:noProof/>
        </w:rPr>
        <w:drawing>
          <wp:inline distT="0" distB="0" distL="0" distR="0" wp14:anchorId="2026F95A" wp14:editId="62B2173A">
            <wp:extent cx="3484065" cy="2522943"/>
            <wp:effectExtent l="0" t="0" r="2540" b="10795"/>
            <wp:docPr id="1445314937" name="Chart 1">
              <a:extLst xmlns:a="http://schemas.openxmlformats.org/drawingml/2006/main">
                <a:ext uri="{FF2B5EF4-FFF2-40B4-BE49-F238E27FC236}">
                  <a16:creationId xmlns:a16="http://schemas.microsoft.com/office/drawing/2014/main" id="{142FEB84-8495-071F-E7A2-9008F500D5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81B04F0" w14:textId="0CD78CA2"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w:t>
      </w:r>
      <w:r w:rsidR="0021750C">
        <w:rPr>
          <w:rFonts w:ascii="Times New Roman" w:hAnsi="Times New Roman" w:cs="Times New Roman"/>
          <w:i/>
          <w:iCs/>
          <w:sz w:val="16"/>
          <w:szCs w:val="16"/>
        </w:rPr>
        <w:t>10</w:t>
      </w:r>
      <w:r>
        <w:rPr>
          <w:rFonts w:ascii="Times New Roman" w:hAnsi="Times New Roman" w:cs="Times New Roman"/>
          <w:i/>
          <w:iCs/>
          <w:sz w:val="16"/>
          <w:szCs w:val="16"/>
        </w:rPr>
        <w:t>: Hold Outcome Distribution</w:t>
      </w:r>
    </w:p>
    <w:p w14:paraId="1EA92587" w14:textId="59B44B5A" w:rsidR="00100C78" w:rsidRDefault="00B16F17" w:rsidP="00733B6E">
      <w:pPr>
        <w:spacing w:after="240"/>
        <w:rPr>
          <w:rFonts w:ascii="Times New Roman" w:hAnsi="Times New Roman" w:cs="Times New Roman"/>
        </w:rPr>
      </w:pPr>
      <w:r w:rsidRPr="00B16F17">
        <w:rPr>
          <w:rFonts w:ascii="Times New Roman" w:hAnsi="Times New Roman" w:cs="Times New Roman"/>
        </w:rPr>
        <w:t>Of 36 valid hold incidents recorded between March–May 2026, 29 (80.6%) converted to paid orders and 7 (19.4%) ended in the customer disappearing without payment ("ghosted"), directly losing ₹2,320 in held stock value. This 19.4% ghost rate is the starting figure that the remaining subsections break down by category, by month, and by duration to identify exactly where and how this loss occurs.</w:t>
      </w:r>
    </w:p>
    <w:p w14:paraId="5DA36093" w14:textId="77777777" w:rsidR="00100C78" w:rsidRDefault="00100C78" w:rsidP="00733B6E">
      <w:pPr>
        <w:spacing w:after="240"/>
        <w:rPr>
          <w:rFonts w:ascii="Times New Roman" w:hAnsi="Times New Roman" w:cs="Times New Roman"/>
        </w:rPr>
      </w:pPr>
    </w:p>
    <w:p w14:paraId="6A399791" w14:textId="77777777" w:rsidR="00100C78" w:rsidRDefault="00100C78" w:rsidP="00733B6E">
      <w:pPr>
        <w:spacing w:after="240"/>
        <w:rPr>
          <w:rFonts w:ascii="Times New Roman" w:hAnsi="Times New Roman" w:cs="Times New Roman"/>
        </w:rPr>
      </w:pPr>
    </w:p>
    <w:p w14:paraId="69BE3AAD" w14:textId="798CB78C" w:rsidR="00D52713" w:rsidRPr="00733B6E" w:rsidRDefault="00D52713" w:rsidP="00B16F17">
      <w:pPr>
        <w:pStyle w:val="Heading3"/>
        <w:spacing w:after="240"/>
        <w:rPr>
          <w:rFonts w:ascii="Times New Roman" w:hAnsi="Times New Roman" w:cs="Times New Roman"/>
        </w:rPr>
      </w:pPr>
      <w:bookmarkStart w:id="19" w:name="_Toc236340225"/>
      <w:r w:rsidRPr="00733B6E">
        <w:rPr>
          <w:rFonts w:ascii="Times New Roman" w:hAnsi="Times New Roman" w:cs="Times New Roman"/>
        </w:rPr>
        <w:lastRenderedPageBreak/>
        <w:t>3.2.2 Ghost Rate by Category and Month</w:t>
      </w:r>
      <w:bookmarkEnd w:id="19"/>
    </w:p>
    <w:tbl>
      <w:tblPr>
        <w:tblStyle w:val="TableGrid"/>
        <w:tblW w:w="0" w:type="auto"/>
        <w:jc w:val="center"/>
        <w:tblLook w:val="04A0" w:firstRow="1" w:lastRow="0" w:firstColumn="1" w:lastColumn="0" w:noHBand="0" w:noVBand="1"/>
      </w:tblPr>
      <w:tblGrid>
        <w:gridCol w:w="1230"/>
        <w:gridCol w:w="1323"/>
        <w:gridCol w:w="999"/>
        <w:gridCol w:w="1549"/>
      </w:tblGrid>
      <w:tr w:rsidR="00B16F17" w:rsidRPr="00B16F17" w14:paraId="263DECE7" w14:textId="77777777" w:rsidTr="00B16F17">
        <w:trPr>
          <w:jc w:val="center"/>
        </w:trPr>
        <w:tc>
          <w:tcPr>
            <w:tcW w:w="0" w:type="auto"/>
            <w:hideMark/>
          </w:tcPr>
          <w:p w14:paraId="2F14BFDA"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Category</w:t>
            </w:r>
          </w:p>
        </w:tc>
        <w:tc>
          <w:tcPr>
            <w:tcW w:w="0" w:type="auto"/>
            <w:hideMark/>
          </w:tcPr>
          <w:p w14:paraId="4A10CAE3"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Total Holds</w:t>
            </w:r>
          </w:p>
        </w:tc>
        <w:tc>
          <w:tcPr>
            <w:tcW w:w="0" w:type="auto"/>
            <w:hideMark/>
          </w:tcPr>
          <w:p w14:paraId="01444541"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Ghosted</w:t>
            </w:r>
          </w:p>
        </w:tc>
        <w:tc>
          <w:tcPr>
            <w:tcW w:w="0" w:type="auto"/>
            <w:hideMark/>
          </w:tcPr>
          <w:p w14:paraId="33217979" w14:textId="77777777" w:rsidR="00B16F17" w:rsidRPr="00B16F17" w:rsidRDefault="00B16F17" w:rsidP="00B16F17">
            <w:pPr>
              <w:spacing w:after="240"/>
              <w:rPr>
                <w:rFonts w:ascii="Times New Roman" w:hAnsi="Times New Roman" w:cs="Times New Roman"/>
                <w:b/>
                <w:bCs/>
              </w:rPr>
            </w:pPr>
            <w:r w:rsidRPr="00B16F17">
              <w:rPr>
                <w:rFonts w:ascii="Times New Roman" w:hAnsi="Times New Roman" w:cs="Times New Roman"/>
                <w:b/>
                <w:bCs/>
              </w:rPr>
              <w:t>Ghost Rate %</w:t>
            </w:r>
          </w:p>
        </w:tc>
      </w:tr>
      <w:tr w:rsidR="00B16F17" w:rsidRPr="00B16F17" w14:paraId="7CDBCE15" w14:textId="77777777" w:rsidTr="00B16F17">
        <w:trPr>
          <w:jc w:val="center"/>
        </w:trPr>
        <w:tc>
          <w:tcPr>
            <w:tcW w:w="0" w:type="auto"/>
            <w:hideMark/>
          </w:tcPr>
          <w:p w14:paraId="30B62602"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Rings</w:t>
            </w:r>
          </w:p>
        </w:tc>
        <w:tc>
          <w:tcPr>
            <w:tcW w:w="0" w:type="auto"/>
            <w:hideMark/>
          </w:tcPr>
          <w:p w14:paraId="56DCF2E1"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4</w:t>
            </w:r>
          </w:p>
        </w:tc>
        <w:tc>
          <w:tcPr>
            <w:tcW w:w="0" w:type="auto"/>
            <w:hideMark/>
          </w:tcPr>
          <w:p w14:paraId="755E8341"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1</w:t>
            </w:r>
          </w:p>
        </w:tc>
        <w:tc>
          <w:tcPr>
            <w:tcW w:w="0" w:type="auto"/>
            <w:hideMark/>
          </w:tcPr>
          <w:p w14:paraId="45DE5125"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25.0%</w:t>
            </w:r>
          </w:p>
        </w:tc>
      </w:tr>
      <w:tr w:rsidR="00B16F17" w:rsidRPr="00B16F17" w14:paraId="48747F61" w14:textId="77777777" w:rsidTr="00B16F17">
        <w:trPr>
          <w:jc w:val="center"/>
        </w:trPr>
        <w:tc>
          <w:tcPr>
            <w:tcW w:w="0" w:type="auto"/>
            <w:hideMark/>
          </w:tcPr>
          <w:p w14:paraId="177DED13"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Earrings</w:t>
            </w:r>
          </w:p>
        </w:tc>
        <w:tc>
          <w:tcPr>
            <w:tcW w:w="0" w:type="auto"/>
            <w:hideMark/>
          </w:tcPr>
          <w:p w14:paraId="54FCA5AD"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14</w:t>
            </w:r>
          </w:p>
        </w:tc>
        <w:tc>
          <w:tcPr>
            <w:tcW w:w="0" w:type="auto"/>
            <w:hideMark/>
          </w:tcPr>
          <w:p w14:paraId="7B6CCB64"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3</w:t>
            </w:r>
          </w:p>
        </w:tc>
        <w:tc>
          <w:tcPr>
            <w:tcW w:w="0" w:type="auto"/>
            <w:hideMark/>
          </w:tcPr>
          <w:p w14:paraId="17C3AA99"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21.4%</w:t>
            </w:r>
          </w:p>
        </w:tc>
      </w:tr>
      <w:tr w:rsidR="00B16F17" w:rsidRPr="00B16F17" w14:paraId="740B7886" w14:textId="77777777" w:rsidTr="00B16F17">
        <w:trPr>
          <w:jc w:val="center"/>
        </w:trPr>
        <w:tc>
          <w:tcPr>
            <w:tcW w:w="0" w:type="auto"/>
            <w:hideMark/>
          </w:tcPr>
          <w:p w14:paraId="3847973D"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Bracelets</w:t>
            </w:r>
          </w:p>
        </w:tc>
        <w:tc>
          <w:tcPr>
            <w:tcW w:w="0" w:type="auto"/>
            <w:hideMark/>
          </w:tcPr>
          <w:p w14:paraId="2D81C153"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15</w:t>
            </w:r>
          </w:p>
        </w:tc>
        <w:tc>
          <w:tcPr>
            <w:tcW w:w="0" w:type="auto"/>
            <w:hideMark/>
          </w:tcPr>
          <w:p w14:paraId="65E24F89"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3</w:t>
            </w:r>
          </w:p>
        </w:tc>
        <w:tc>
          <w:tcPr>
            <w:tcW w:w="0" w:type="auto"/>
            <w:hideMark/>
          </w:tcPr>
          <w:p w14:paraId="3612386D" w14:textId="6CA7EDB5"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20.0%</w:t>
            </w:r>
          </w:p>
        </w:tc>
      </w:tr>
      <w:tr w:rsidR="00B16F17" w:rsidRPr="00B16F17" w14:paraId="6BB62F59" w14:textId="77777777" w:rsidTr="00B16F17">
        <w:trPr>
          <w:jc w:val="center"/>
        </w:trPr>
        <w:tc>
          <w:tcPr>
            <w:tcW w:w="0" w:type="auto"/>
            <w:hideMark/>
          </w:tcPr>
          <w:p w14:paraId="771B9F18"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Neckpieces</w:t>
            </w:r>
          </w:p>
        </w:tc>
        <w:tc>
          <w:tcPr>
            <w:tcW w:w="0" w:type="auto"/>
            <w:hideMark/>
          </w:tcPr>
          <w:p w14:paraId="79B343A4"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3</w:t>
            </w:r>
          </w:p>
        </w:tc>
        <w:tc>
          <w:tcPr>
            <w:tcW w:w="0" w:type="auto"/>
            <w:hideMark/>
          </w:tcPr>
          <w:p w14:paraId="6D36E861" w14:textId="77777777"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0</w:t>
            </w:r>
          </w:p>
        </w:tc>
        <w:tc>
          <w:tcPr>
            <w:tcW w:w="0" w:type="auto"/>
            <w:hideMark/>
          </w:tcPr>
          <w:p w14:paraId="6E7DD08A" w14:textId="23373693" w:rsidR="00B16F17" w:rsidRPr="00B16F17" w:rsidRDefault="00B16F17" w:rsidP="00B16F17">
            <w:pPr>
              <w:spacing w:after="240"/>
              <w:rPr>
                <w:rFonts w:ascii="Times New Roman" w:hAnsi="Times New Roman" w:cs="Times New Roman"/>
              </w:rPr>
            </w:pPr>
            <w:r w:rsidRPr="00B16F17">
              <w:rPr>
                <w:rFonts w:ascii="Times New Roman" w:hAnsi="Times New Roman" w:cs="Times New Roman"/>
              </w:rPr>
              <w:t>0.0%</w:t>
            </w:r>
          </w:p>
        </w:tc>
      </w:tr>
    </w:tbl>
    <w:p w14:paraId="474354DB" w14:textId="7AC873C1" w:rsidR="00B16F17" w:rsidRPr="00835175" w:rsidRDefault="00835175" w:rsidP="00835175">
      <w:pPr>
        <w:spacing w:after="240"/>
        <w:jc w:val="center"/>
        <w:rPr>
          <w:rFonts w:ascii="Times New Roman" w:hAnsi="Times New Roman" w:cs="Times New Roman"/>
          <w:i/>
          <w:iCs/>
          <w:sz w:val="16"/>
          <w:szCs w:val="16"/>
        </w:rPr>
      </w:pPr>
      <w:r>
        <w:rPr>
          <w:rFonts w:ascii="Times New Roman" w:hAnsi="Times New Roman" w:cs="Times New Roman"/>
          <w:i/>
          <w:iCs/>
          <w:sz w:val="16"/>
          <w:szCs w:val="16"/>
        </w:rPr>
        <w:t xml:space="preserve">Table 3.6: </w:t>
      </w:r>
      <w:r w:rsidRPr="00835175">
        <w:rPr>
          <w:rFonts w:ascii="Times New Roman" w:hAnsi="Times New Roman" w:cs="Times New Roman"/>
          <w:i/>
          <w:iCs/>
          <w:sz w:val="16"/>
          <w:szCs w:val="16"/>
        </w:rPr>
        <w:t>Ghost Rate by Product Category</w:t>
      </w:r>
    </w:p>
    <w:p w14:paraId="2BC2DA02" w14:textId="77777777" w:rsidR="00835175" w:rsidRPr="00B16F17" w:rsidRDefault="00835175" w:rsidP="00B16F17">
      <w:pPr>
        <w:spacing w:after="240"/>
        <w:rPr>
          <w:rFonts w:ascii="Times New Roman" w:hAnsi="Times New Roman" w:cs="Times New Roman"/>
          <w:vanish/>
        </w:rPr>
      </w:pPr>
    </w:p>
    <w:p w14:paraId="60A1913D" w14:textId="77777777" w:rsidR="000F3D85" w:rsidRDefault="00B16F17" w:rsidP="000C61B9">
      <w:pPr>
        <w:spacing w:before="240"/>
        <w:jc w:val="center"/>
        <w:rPr>
          <w:rFonts w:ascii="Times New Roman" w:hAnsi="Times New Roman" w:cs="Times New Roman"/>
        </w:rPr>
      </w:pPr>
      <w:r>
        <w:rPr>
          <w:noProof/>
        </w:rPr>
        <w:drawing>
          <wp:inline distT="0" distB="0" distL="0" distR="0" wp14:anchorId="2D30E9F0" wp14:editId="4B15D686">
            <wp:extent cx="3724345" cy="2375424"/>
            <wp:effectExtent l="0" t="0" r="9525" b="6350"/>
            <wp:docPr id="750689504" name="Chart 1">
              <a:extLst xmlns:a="http://schemas.openxmlformats.org/drawingml/2006/main">
                <a:ext uri="{FF2B5EF4-FFF2-40B4-BE49-F238E27FC236}">
                  <a16:creationId xmlns:a16="http://schemas.microsoft.com/office/drawing/2014/main" id="{7A31D272-3CAE-EAF4-5857-9362D893E2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B50D921" w14:textId="26208513"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w:t>
      </w:r>
      <w:r w:rsidR="0021750C">
        <w:rPr>
          <w:rFonts w:ascii="Times New Roman" w:hAnsi="Times New Roman" w:cs="Times New Roman"/>
          <w:i/>
          <w:iCs/>
          <w:sz w:val="16"/>
          <w:szCs w:val="16"/>
        </w:rPr>
        <w:t>11</w:t>
      </w:r>
      <w:r>
        <w:rPr>
          <w:rFonts w:ascii="Times New Roman" w:hAnsi="Times New Roman" w:cs="Times New Roman"/>
          <w:i/>
          <w:iCs/>
          <w:sz w:val="16"/>
          <w:szCs w:val="16"/>
        </w:rPr>
        <w:t>: Ghost Rate by Product Category</w:t>
      </w:r>
    </w:p>
    <w:p w14:paraId="24FD382C" w14:textId="1F8D2835" w:rsidR="00B16F17" w:rsidRDefault="00B16F17" w:rsidP="00B16F17">
      <w:pPr>
        <w:spacing w:before="240" w:after="240"/>
        <w:rPr>
          <w:rFonts w:ascii="Times New Roman" w:hAnsi="Times New Roman" w:cs="Times New Roman"/>
        </w:rPr>
      </w:pPr>
      <w:r w:rsidRPr="00B16F17">
        <w:rPr>
          <w:rFonts w:ascii="Times New Roman" w:hAnsi="Times New Roman" w:cs="Times New Roman"/>
        </w:rPr>
        <w:t>Ghost rate is highest for Rings (25.0%) and Earrings (21.4%)</w:t>
      </w:r>
      <w:r w:rsidR="00100C78">
        <w:rPr>
          <w:rFonts w:ascii="Times New Roman" w:hAnsi="Times New Roman" w:cs="Times New Roman"/>
        </w:rPr>
        <w:t>.</w:t>
      </w:r>
      <w:r w:rsidRPr="00B16F17">
        <w:rPr>
          <w:rFonts w:ascii="Times New Roman" w:hAnsi="Times New Roman" w:cs="Times New Roman"/>
        </w:rPr>
        <w:t xml:space="preserve"> </w:t>
      </w:r>
      <w:r w:rsidR="00100C78" w:rsidRPr="00B16F17">
        <w:rPr>
          <w:rFonts w:ascii="Times New Roman" w:hAnsi="Times New Roman" w:cs="Times New Roman"/>
        </w:rPr>
        <w:t>N</w:t>
      </w:r>
      <w:r w:rsidRPr="00B16F17">
        <w:rPr>
          <w:rFonts w:ascii="Times New Roman" w:hAnsi="Times New Roman" w:cs="Times New Roman"/>
        </w:rPr>
        <w:t xml:space="preserve">otably, the same two categories flagged in Section </w:t>
      </w:r>
      <w:r w:rsidR="00EC7062">
        <w:rPr>
          <w:rFonts w:ascii="Times New Roman" w:hAnsi="Times New Roman" w:cs="Times New Roman"/>
        </w:rPr>
        <w:t>3</w:t>
      </w:r>
      <w:r w:rsidRPr="00B16F17">
        <w:rPr>
          <w:rFonts w:ascii="Times New Roman" w:hAnsi="Times New Roman" w:cs="Times New Roman"/>
        </w:rPr>
        <w:t>.1.5 as, respectively, the most demand-variable and the highest-velocity</w:t>
      </w:r>
      <w:r w:rsidR="00100C78">
        <w:rPr>
          <w:rFonts w:ascii="Times New Roman" w:hAnsi="Times New Roman" w:cs="Times New Roman"/>
        </w:rPr>
        <w:t xml:space="preserve">, </w:t>
      </w:r>
      <w:r w:rsidRPr="00B16F17">
        <w:rPr>
          <w:rFonts w:ascii="Times New Roman" w:hAnsi="Times New Roman" w:cs="Times New Roman"/>
        </w:rPr>
        <w:t xml:space="preserve">suggesting ghosting risk is not random but concentrated where either genuine demand is hardest to predict (Rings) or stock turns over fastest and gets reserved most often (Earrings). Neckpieces </w:t>
      </w:r>
      <w:r w:rsidR="007606CF" w:rsidRPr="00B16F17">
        <w:rPr>
          <w:rFonts w:ascii="Times New Roman" w:hAnsi="Times New Roman" w:cs="Times New Roman"/>
        </w:rPr>
        <w:t>show</w:t>
      </w:r>
      <w:r w:rsidRPr="00B16F17">
        <w:rPr>
          <w:rFonts w:ascii="Times New Roman" w:hAnsi="Times New Roman" w:cs="Times New Roman"/>
        </w:rPr>
        <w:t xml:space="preserve"> a 0% ghost rate, though this rests on only 3 holds and should not be treated as a stable estimate.</w:t>
      </w:r>
    </w:p>
    <w:tbl>
      <w:tblPr>
        <w:tblStyle w:val="TableGrid"/>
        <w:tblW w:w="0" w:type="auto"/>
        <w:jc w:val="center"/>
        <w:tblLook w:val="04A0" w:firstRow="1" w:lastRow="0" w:firstColumn="1" w:lastColumn="0" w:noHBand="0" w:noVBand="1"/>
      </w:tblPr>
      <w:tblGrid>
        <w:gridCol w:w="852"/>
        <w:gridCol w:w="1323"/>
        <w:gridCol w:w="999"/>
        <w:gridCol w:w="1549"/>
      </w:tblGrid>
      <w:tr w:rsidR="00B16F17" w:rsidRPr="00B16F17" w14:paraId="68D71C7E" w14:textId="77777777" w:rsidTr="006E4915">
        <w:trPr>
          <w:jc w:val="center"/>
        </w:trPr>
        <w:tc>
          <w:tcPr>
            <w:tcW w:w="0" w:type="auto"/>
            <w:hideMark/>
          </w:tcPr>
          <w:p w14:paraId="0139AA7D" w14:textId="77777777" w:rsidR="00B16F17" w:rsidRPr="00B16F17" w:rsidRDefault="00B16F17" w:rsidP="006E4915">
            <w:pPr>
              <w:spacing w:after="240"/>
              <w:rPr>
                <w:rFonts w:ascii="Times New Roman" w:hAnsi="Times New Roman" w:cs="Times New Roman"/>
                <w:b/>
                <w:bCs/>
              </w:rPr>
            </w:pPr>
            <w:r w:rsidRPr="00B16F17">
              <w:rPr>
                <w:rFonts w:ascii="Times New Roman" w:hAnsi="Times New Roman" w:cs="Times New Roman"/>
                <w:b/>
                <w:bCs/>
              </w:rPr>
              <w:t>Month</w:t>
            </w:r>
          </w:p>
        </w:tc>
        <w:tc>
          <w:tcPr>
            <w:tcW w:w="0" w:type="auto"/>
            <w:hideMark/>
          </w:tcPr>
          <w:p w14:paraId="1C4E281F" w14:textId="77777777" w:rsidR="00B16F17" w:rsidRPr="00B16F17" w:rsidRDefault="00B16F17" w:rsidP="006E4915">
            <w:pPr>
              <w:spacing w:after="240"/>
              <w:rPr>
                <w:rFonts w:ascii="Times New Roman" w:hAnsi="Times New Roman" w:cs="Times New Roman"/>
                <w:b/>
                <w:bCs/>
              </w:rPr>
            </w:pPr>
            <w:r w:rsidRPr="00B16F17">
              <w:rPr>
                <w:rFonts w:ascii="Times New Roman" w:hAnsi="Times New Roman" w:cs="Times New Roman"/>
                <w:b/>
                <w:bCs/>
              </w:rPr>
              <w:t>Total Holds</w:t>
            </w:r>
          </w:p>
        </w:tc>
        <w:tc>
          <w:tcPr>
            <w:tcW w:w="0" w:type="auto"/>
            <w:hideMark/>
          </w:tcPr>
          <w:p w14:paraId="7D65F544" w14:textId="77777777" w:rsidR="00B16F17" w:rsidRPr="00B16F17" w:rsidRDefault="00B16F17" w:rsidP="006E4915">
            <w:pPr>
              <w:spacing w:after="240"/>
              <w:rPr>
                <w:rFonts w:ascii="Times New Roman" w:hAnsi="Times New Roman" w:cs="Times New Roman"/>
                <w:b/>
                <w:bCs/>
              </w:rPr>
            </w:pPr>
            <w:r w:rsidRPr="00B16F17">
              <w:rPr>
                <w:rFonts w:ascii="Times New Roman" w:hAnsi="Times New Roman" w:cs="Times New Roman"/>
                <w:b/>
                <w:bCs/>
              </w:rPr>
              <w:t>Ghosted</w:t>
            </w:r>
          </w:p>
        </w:tc>
        <w:tc>
          <w:tcPr>
            <w:tcW w:w="0" w:type="auto"/>
            <w:hideMark/>
          </w:tcPr>
          <w:p w14:paraId="4B7F2C66" w14:textId="77777777" w:rsidR="00B16F17" w:rsidRPr="00B16F17" w:rsidRDefault="00B16F17" w:rsidP="006E4915">
            <w:pPr>
              <w:spacing w:after="240"/>
              <w:rPr>
                <w:rFonts w:ascii="Times New Roman" w:hAnsi="Times New Roman" w:cs="Times New Roman"/>
                <w:b/>
                <w:bCs/>
              </w:rPr>
            </w:pPr>
            <w:r w:rsidRPr="00B16F17">
              <w:rPr>
                <w:rFonts w:ascii="Times New Roman" w:hAnsi="Times New Roman" w:cs="Times New Roman"/>
                <w:b/>
                <w:bCs/>
              </w:rPr>
              <w:t>Ghost Rate %</w:t>
            </w:r>
          </w:p>
        </w:tc>
      </w:tr>
      <w:tr w:rsidR="00B16F17" w:rsidRPr="00B16F17" w14:paraId="7F115E00" w14:textId="77777777" w:rsidTr="006E4915">
        <w:trPr>
          <w:jc w:val="center"/>
        </w:trPr>
        <w:tc>
          <w:tcPr>
            <w:tcW w:w="0" w:type="auto"/>
            <w:hideMark/>
          </w:tcPr>
          <w:p w14:paraId="1F6D0D01"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March</w:t>
            </w:r>
          </w:p>
        </w:tc>
        <w:tc>
          <w:tcPr>
            <w:tcW w:w="0" w:type="auto"/>
            <w:hideMark/>
          </w:tcPr>
          <w:p w14:paraId="3598A32D"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8</w:t>
            </w:r>
          </w:p>
        </w:tc>
        <w:tc>
          <w:tcPr>
            <w:tcW w:w="0" w:type="auto"/>
            <w:hideMark/>
          </w:tcPr>
          <w:p w14:paraId="3BB8B796"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2</w:t>
            </w:r>
          </w:p>
        </w:tc>
        <w:tc>
          <w:tcPr>
            <w:tcW w:w="0" w:type="auto"/>
            <w:hideMark/>
          </w:tcPr>
          <w:p w14:paraId="3867BED9"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25.0%</w:t>
            </w:r>
          </w:p>
        </w:tc>
      </w:tr>
      <w:tr w:rsidR="00B16F17" w:rsidRPr="00B16F17" w14:paraId="370B85C5" w14:textId="77777777" w:rsidTr="006E4915">
        <w:trPr>
          <w:jc w:val="center"/>
        </w:trPr>
        <w:tc>
          <w:tcPr>
            <w:tcW w:w="0" w:type="auto"/>
            <w:hideMark/>
          </w:tcPr>
          <w:p w14:paraId="585017AA"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April</w:t>
            </w:r>
          </w:p>
        </w:tc>
        <w:tc>
          <w:tcPr>
            <w:tcW w:w="0" w:type="auto"/>
            <w:hideMark/>
          </w:tcPr>
          <w:p w14:paraId="13A8C3BB"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10</w:t>
            </w:r>
          </w:p>
        </w:tc>
        <w:tc>
          <w:tcPr>
            <w:tcW w:w="0" w:type="auto"/>
            <w:hideMark/>
          </w:tcPr>
          <w:p w14:paraId="4C6990C9"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2</w:t>
            </w:r>
          </w:p>
        </w:tc>
        <w:tc>
          <w:tcPr>
            <w:tcW w:w="0" w:type="auto"/>
            <w:hideMark/>
          </w:tcPr>
          <w:p w14:paraId="08E43D2C"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20.0%</w:t>
            </w:r>
          </w:p>
        </w:tc>
      </w:tr>
      <w:tr w:rsidR="00B16F17" w:rsidRPr="00B16F17" w14:paraId="2EF7CDA3" w14:textId="77777777" w:rsidTr="006E4915">
        <w:trPr>
          <w:jc w:val="center"/>
        </w:trPr>
        <w:tc>
          <w:tcPr>
            <w:tcW w:w="0" w:type="auto"/>
            <w:hideMark/>
          </w:tcPr>
          <w:p w14:paraId="5017A6AA"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May</w:t>
            </w:r>
          </w:p>
        </w:tc>
        <w:tc>
          <w:tcPr>
            <w:tcW w:w="0" w:type="auto"/>
            <w:hideMark/>
          </w:tcPr>
          <w:p w14:paraId="3661A844"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18</w:t>
            </w:r>
          </w:p>
        </w:tc>
        <w:tc>
          <w:tcPr>
            <w:tcW w:w="0" w:type="auto"/>
            <w:hideMark/>
          </w:tcPr>
          <w:p w14:paraId="5B8110BE"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3</w:t>
            </w:r>
          </w:p>
        </w:tc>
        <w:tc>
          <w:tcPr>
            <w:tcW w:w="0" w:type="auto"/>
            <w:hideMark/>
          </w:tcPr>
          <w:p w14:paraId="016C3347" w14:textId="77777777" w:rsidR="00B16F17" w:rsidRPr="00B16F17" w:rsidRDefault="00B16F17" w:rsidP="006E4915">
            <w:pPr>
              <w:spacing w:after="240"/>
              <w:rPr>
                <w:rFonts w:ascii="Times New Roman" w:hAnsi="Times New Roman" w:cs="Times New Roman"/>
              </w:rPr>
            </w:pPr>
            <w:r w:rsidRPr="00B16F17">
              <w:rPr>
                <w:rFonts w:ascii="Times New Roman" w:hAnsi="Times New Roman" w:cs="Times New Roman"/>
              </w:rPr>
              <w:t>16.7%</w:t>
            </w:r>
          </w:p>
        </w:tc>
      </w:tr>
    </w:tbl>
    <w:p w14:paraId="5865CA03" w14:textId="0955CE43" w:rsidR="00835175" w:rsidRPr="00100C78" w:rsidRDefault="00835175" w:rsidP="00100C78">
      <w:pPr>
        <w:jc w:val="center"/>
        <w:rPr>
          <w:rFonts w:ascii="Times New Roman" w:hAnsi="Times New Roman" w:cs="Times New Roman"/>
          <w:i/>
          <w:iCs/>
          <w:sz w:val="16"/>
          <w:szCs w:val="16"/>
        </w:rPr>
      </w:pPr>
      <w:r>
        <w:rPr>
          <w:rFonts w:ascii="Times New Roman" w:hAnsi="Times New Roman" w:cs="Times New Roman"/>
          <w:i/>
          <w:iCs/>
          <w:sz w:val="16"/>
          <w:szCs w:val="16"/>
        </w:rPr>
        <w:t xml:space="preserve">Table 3.7: </w:t>
      </w:r>
      <w:r w:rsidRPr="00835175">
        <w:rPr>
          <w:rFonts w:ascii="Times New Roman" w:hAnsi="Times New Roman" w:cs="Times New Roman"/>
          <w:i/>
          <w:iCs/>
          <w:sz w:val="16"/>
          <w:szCs w:val="16"/>
        </w:rPr>
        <w:t>Monthly Ghost Rate Trend</w:t>
      </w:r>
    </w:p>
    <w:p w14:paraId="762771F0" w14:textId="5934C491" w:rsidR="000F3D85" w:rsidRDefault="00B16F17" w:rsidP="007606CF">
      <w:pPr>
        <w:spacing w:before="240"/>
        <w:jc w:val="center"/>
        <w:rPr>
          <w:rFonts w:ascii="Times New Roman" w:hAnsi="Times New Roman" w:cs="Times New Roman"/>
        </w:rPr>
      </w:pPr>
      <w:r>
        <w:rPr>
          <w:noProof/>
        </w:rPr>
        <w:lastRenderedPageBreak/>
        <w:drawing>
          <wp:inline distT="0" distB="0" distL="0" distR="0" wp14:anchorId="1DEC6CEF" wp14:editId="6DE1AE56">
            <wp:extent cx="3544134" cy="2142499"/>
            <wp:effectExtent l="0" t="0" r="18415" b="10160"/>
            <wp:docPr id="853124208" name="Chart 1">
              <a:extLst xmlns:a="http://schemas.openxmlformats.org/drawingml/2006/main">
                <a:ext uri="{FF2B5EF4-FFF2-40B4-BE49-F238E27FC236}">
                  <a16:creationId xmlns:a16="http://schemas.microsoft.com/office/drawing/2014/main" id="{4BC7CDDA-C05C-4D5C-9C12-E58F83D438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C2F6477" w14:textId="6EBADBF2"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3.1</w:t>
      </w:r>
      <w:r w:rsidR="0021750C">
        <w:rPr>
          <w:rFonts w:ascii="Times New Roman" w:hAnsi="Times New Roman" w:cs="Times New Roman"/>
          <w:i/>
          <w:iCs/>
          <w:sz w:val="16"/>
          <w:szCs w:val="16"/>
        </w:rPr>
        <w:t>2</w:t>
      </w:r>
      <w:r>
        <w:rPr>
          <w:rFonts w:ascii="Times New Roman" w:hAnsi="Times New Roman" w:cs="Times New Roman"/>
          <w:i/>
          <w:iCs/>
          <w:sz w:val="16"/>
          <w:szCs w:val="16"/>
        </w:rPr>
        <w:t>: Monthly Ghost Rate Trend</w:t>
      </w:r>
    </w:p>
    <w:p w14:paraId="5D88B76E" w14:textId="78E4E887" w:rsidR="000F3D85" w:rsidRPr="001166AD" w:rsidRDefault="00B16F17" w:rsidP="00B16F17">
      <w:pPr>
        <w:spacing w:before="240" w:after="240"/>
        <w:rPr>
          <w:rFonts w:ascii="Times New Roman" w:hAnsi="Times New Roman" w:cs="Times New Roman"/>
        </w:rPr>
      </w:pPr>
      <w:r w:rsidRPr="00B16F17">
        <w:rPr>
          <w:rFonts w:ascii="Times New Roman" w:hAnsi="Times New Roman" w:cs="Times New Roman"/>
        </w:rPr>
        <w:t>By month, ghost rate improved from 25.0% in March to 16.7% in May even as hold volume more than doubled (8 to 18)</w:t>
      </w:r>
      <w:r w:rsidR="00100C78">
        <w:rPr>
          <w:rFonts w:ascii="Times New Roman" w:hAnsi="Times New Roman" w:cs="Times New Roman"/>
        </w:rPr>
        <w:t>.</w:t>
      </w:r>
      <w:r w:rsidRPr="00B16F17">
        <w:rPr>
          <w:rFonts w:ascii="Times New Roman" w:hAnsi="Times New Roman" w:cs="Times New Roman"/>
        </w:rPr>
        <w:t xml:space="preserve"> </w:t>
      </w:r>
      <w:r w:rsidR="00100C78" w:rsidRPr="00B16F17">
        <w:rPr>
          <w:rFonts w:ascii="Times New Roman" w:hAnsi="Times New Roman" w:cs="Times New Roman"/>
        </w:rPr>
        <w:t>A</w:t>
      </w:r>
      <w:r w:rsidRPr="00B16F17">
        <w:rPr>
          <w:rFonts w:ascii="Times New Roman" w:hAnsi="Times New Roman" w:cs="Times New Roman"/>
        </w:rPr>
        <w:t xml:space="preserve"> mildly encouraging signal that the business is not simply generating proportionally more ghosted holds as informal reservations become more common, though three months is not enough to confirm this as a durable trend.</w:t>
      </w:r>
    </w:p>
    <w:p w14:paraId="69708602" w14:textId="7F1EBC8F" w:rsidR="000F3D85" w:rsidRDefault="00D52713" w:rsidP="00835175">
      <w:pPr>
        <w:pStyle w:val="Heading3"/>
        <w:rPr>
          <w:rFonts w:ascii="Times New Roman" w:hAnsi="Times New Roman" w:cs="Times New Roman"/>
        </w:rPr>
      </w:pPr>
      <w:bookmarkStart w:id="20" w:name="_Toc236340226"/>
      <w:r w:rsidRPr="00733B6E">
        <w:rPr>
          <w:rFonts w:ascii="Times New Roman" w:hAnsi="Times New Roman" w:cs="Times New Roman"/>
        </w:rPr>
        <w:t>3.2.3 Hold Duration and Opportunity Cost</w:t>
      </w:r>
      <w:bookmarkEnd w:id="20"/>
    </w:p>
    <w:p w14:paraId="5FEDDACB" w14:textId="4733F933"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Converted and ghosted holds show a sharply different duration signature: converted holds have a median duration of just 4.6 hours (mean 10.6 hrs), while ghosted holds have a median duration of 85.9 hours (mean 71.0 hrs)</w:t>
      </w:r>
      <w:r w:rsidR="00100C78">
        <w:rPr>
          <w:rFonts w:ascii="Times New Roman" w:hAnsi="Times New Roman" w:cs="Times New Roman"/>
        </w:rPr>
        <w:t xml:space="preserve">, </w:t>
      </w:r>
      <w:r w:rsidRPr="00EC7062">
        <w:rPr>
          <w:rFonts w:ascii="Times New Roman" w:hAnsi="Times New Roman" w:cs="Times New Roman"/>
        </w:rPr>
        <w:t>nearly 20 times longer. This duration gap is the basis for the stock-hours metric and the policy simulation that follow.</w:t>
      </w:r>
    </w:p>
    <w:tbl>
      <w:tblPr>
        <w:tblStyle w:val="TableGrid"/>
        <w:tblW w:w="0" w:type="auto"/>
        <w:jc w:val="center"/>
        <w:tblLook w:val="04A0" w:firstRow="1" w:lastRow="0" w:firstColumn="1" w:lastColumn="0" w:noHBand="0" w:noVBand="1"/>
      </w:tblPr>
      <w:tblGrid>
        <w:gridCol w:w="1726"/>
        <w:gridCol w:w="3624"/>
      </w:tblGrid>
      <w:tr w:rsidR="00EC7062" w:rsidRPr="00EC7062" w14:paraId="4802448F" w14:textId="77777777" w:rsidTr="00EC7062">
        <w:trPr>
          <w:jc w:val="center"/>
        </w:trPr>
        <w:tc>
          <w:tcPr>
            <w:tcW w:w="0" w:type="auto"/>
            <w:hideMark/>
          </w:tcPr>
          <w:p w14:paraId="42EF81ED" w14:textId="77777777" w:rsidR="00EC7062" w:rsidRPr="00EC7062" w:rsidRDefault="00EC7062" w:rsidP="00EC7062">
            <w:pPr>
              <w:spacing w:after="240"/>
              <w:rPr>
                <w:rFonts w:ascii="Times New Roman" w:hAnsi="Times New Roman" w:cs="Times New Roman"/>
                <w:b/>
                <w:bCs/>
              </w:rPr>
            </w:pPr>
            <w:r w:rsidRPr="00EC7062">
              <w:rPr>
                <w:rFonts w:ascii="Times New Roman" w:hAnsi="Times New Roman" w:cs="Times New Roman"/>
                <w:b/>
                <w:bCs/>
              </w:rPr>
              <w:t>Outcome</w:t>
            </w:r>
          </w:p>
        </w:tc>
        <w:tc>
          <w:tcPr>
            <w:tcW w:w="0" w:type="auto"/>
            <w:hideMark/>
          </w:tcPr>
          <w:p w14:paraId="79583550" w14:textId="77777777" w:rsidR="00EC7062" w:rsidRPr="00EC7062" w:rsidRDefault="00EC7062" w:rsidP="00EC7062">
            <w:pPr>
              <w:spacing w:after="240"/>
              <w:rPr>
                <w:rFonts w:ascii="Times New Roman" w:hAnsi="Times New Roman" w:cs="Times New Roman"/>
                <w:b/>
                <w:bCs/>
              </w:rPr>
            </w:pPr>
            <w:r w:rsidRPr="00EC7062">
              <w:rPr>
                <w:rFonts w:ascii="Times New Roman" w:hAnsi="Times New Roman" w:cs="Times New Roman"/>
                <w:b/>
                <w:bCs/>
              </w:rPr>
              <w:t>Total Stock-Hours Blocked (₹ × hrs)</w:t>
            </w:r>
          </w:p>
        </w:tc>
      </w:tr>
      <w:tr w:rsidR="00EC7062" w:rsidRPr="00EC7062" w14:paraId="043A4DDB" w14:textId="77777777" w:rsidTr="00EC7062">
        <w:trPr>
          <w:jc w:val="center"/>
        </w:trPr>
        <w:tc>
          <w:tcPr>
            <w:tcW w:w="0" w:type="auto"/>
            <w:hideMark/>
          </w:tcPr>
          <w:p w14:paraId="1A0CFD97"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Converted (Paid)</w:t>
            </w:r>
          </w:p>
        </w:tc>
        <w:tc>
          <w:tcPr>
            <w:tcW w:w="0" w:type="auto"/>
            <w:hideMark/>
          </w:tcPr>
          <w:p w14:paraId="7F6942F3"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138,871.4</w:t>
            </w:r>
          </w:p>
        </w:tc>
      </w:tr>
      <w:tr w:rsidR="00EC7062" w:rsidRPr="00EC7062" w14:paraId="297216A9" w14:textId="77777777" w:rsidTr="00EC7062">
        <w:trPr>
          <w:jc w:val="center"/>
        </w:trPr>
        <w:tc>
          <w:tcPr>
            <w:tcW w:w="0" w:type="auto"/>
            <w:hideMark/>
          </w:tcPr>
          <w:p w14:paraId="4BC97B7D"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Lost / Ghosted</w:t>
            </w:r>
          </w:p>
        </w:tc>
        <w:tc>
          <w:tcPr>
            <w:tcW w:w="0" w:type="auto"/>
            <w:hideMark/>
          </w:tcPr>
          <w:p w14:paraId="0B933558"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173,957.0</w:t>
            </w:r>
          </w:p>
        </w:tc>
      </w:tr>
    </w:tbl>
    <w:p w14:paraId="7D90EBEF" w14:textId="62D3C371" w:rsidR="00835175" w:rsidRPr="00835175" w:rsidRDefault="00835175" w:rsidP="00835175">
      <w:pPr>
        <w:jc w:val="center"/>
        <w:rPr>
          <w:rFonts w:ascii="Times New Roman" w:hAnsi="Times New Roman" w:cs="Times New Roman"/>
          <w:i/>
          <w:iCs/>
          <w:sz w:val="16"/>
          <w:szCs w:val="16"/>
        </w:rPr>
      </w:pPr>
      <w:r w:rsidRPr="00835175">
        <w:rPr>
          <w:rFonts w:ascii="Times New Roman" w:hAnsi="Times New Roman" w:cs="Times New Roman"/>
          <w:i/>
          <w:iCs/>
          <w:sz w:val="16"/>
          <w:szCs w:val="16"/>
        </w:rPr>
        <w:t>Table 3.8: Hold Duration Distribution</w:t>
      </w:r>
    </w:p>
    <w:p w14:paraId="28D99F79" w14:textId="181F2310" w:rsidR="00835175" w:rsidRDefault="00835175" w:rsidP="00835175">
      <w:pPr>
        <w:spacing w:before="240"/>
        <w:jc w:val="center"/>
        <w:rPr>
          <w:rFonts w:ascii="Times New Roman" w:hAnsi="Times New Roman" w:cs="Times New Roman"/>
        </w:rPr>
      </w:pPr>
      <w:r>
        <w:rPr>
          <w:noProof/>
        </w:rPr>
        <w:drawing>
          <wp:inline distT="0" distB="0" distL="0" distR="0" wp14:anchorId="62C06B4D" wp14:editId="0AE147E9">
            <wp:extent cx="3831136" cy="2462873"/>
            <wp:effectExtent l="0" t="0" r="17145" b="13970"/>
            <wp:docPr id="370374409" name="Chart 1">
              <a:extLst xmlns:a="http://schemas.openxmlformats.org/drawingml/2006/main">
                <a:ext uri="{FF2B5EF4-FFF2-40B4-BE49-F238E27FC236}">
                  <a16:creationId xmlns:a16="http://schemas.microsoft.com/office/drawing/2014/main" id="{5D5775B2-DF0C-EAE2-DDA3-BB3D32902D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0D39E9B" w14:textId="1446254D" w:rsidR="00835175" w:rsidRPr="00100C78" w:rsidRDefault="00835175" w:rsidP="00100C78">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3.1</w:t>
      </w:r>
      <w:r w:rsidR="0021750C">
        <w:rPr>
          <w:rFonts w:ascii="Times New Roman" w:hAnsi="Times New Roman" w:cs="Times New Roman"/>
          <w:i/>
          <w:iCs/>
          <w:sz w:val="16"/>
          <w:szCs w:val="16"/>
        </w:rPr>
        <w:t>3</w:t>
      </w:r>
      <w:r>
        <w:rPr>
          <w:rFonts w:ascii="Times New Roman" w:hAnsi="Times New Roman" w:cs="Times New Roman"/>
          <w:i/>
          <w:iCs/>
          <w:sz w:val="16"/>
          <w:szCs w:val="16"/>
        </w:rPr>
        <w:t>: Hold Duration Distribution</w:t>
      </w:r>
    </w:p>
    <w:p w14:paraId="65DE04DE" w14:textId="6E2A11E0" w:rsidR="003A3DEB" w:rsidRPr="00D52713" w:rsidRDefault="00EC7062" w:rsidP="00EC7062">
      <w:pPr>
        <w:spacing w:before="240" w:after="240"/>
        <w:rPr>
          <w:rFonts w:ascii="Times New Roman" w:hAnsi="Times New Roman" w:cs="Times New Roman"/>
        </w:rPr>
      </w:pPr>
      <w:r w:rsidRPr="00EC7062">
        <w:rPr>
          <w:rFonts w:ascii="Times New Roman" w:hAnsi="Times New Roman" w:cs="Times New Roman"/>
        </w:rPr>
        <w:t xml:space="preserve">Despite being far fewer in number (7 vs. 29), ghosted holds account for </w:t>
      </w:r>
      <w:r w:rsidRPr="00EC7062">
        <w:rPr>
          <w:rFonts w:ascii="Times New Roman" w:hAnsi="Times New Roman" w:cs="Times New Roman"/>
          <w:i/>
          <w:iCs/>
        </w:rPr>
        <w:t>more</w:t>
      </w:r>
      <w:r w:rsidRPr="00EC7062">
        <w:rPr>
          <w:rFonts w:ascii="Times New Roman" w:hAnsi="Times New Roman" w:cs="Times New Roman"/>
        </w:rPr>
        <w:t xml:space="preserve"> total stock-hours blocked than converted holds because ghosted stock sits unreleased far longer before the business gives up on it. This confirms the core cost of having no formal hold policy: a small share of incidents (19.4%) generates a disproportionately large share of the opportunity cost.</w:t>
      </w:r>
    </w:p>
    <w:p w14:paraId="38C013BC" w14:textId="5A485584" w:rsidR="00D52713" w:rsidRPr="003A3DEB" w:rsidRDefault="00D52713" w:rsidP="003A3DEB">
      <w:pPr>
        <w:pStyle w:val="Heading3"/>
        <w:rPr>
          <w:rFonts w:ascii="Times New Roman" w:hAnsi="Times New Roman" w:cs="Times New Roman"/>
        </w:rPr>
      </w:pPr>
      <w:bookmarkStart w:id="21" w:name="_Toc236340227"/>
      <w:r w:rsidRPr="003A3DEB">
        <w:rPr>
          <w:rFonts w:ascii="Times New Roman" w:hAnsi="Times New Roman" w:cs="Times New Roman"/>
        </w:rPr>
        <w:lastRenderedPageBreak/>
        <w:t xml:space="preserve">3.2.4 Bargaining </w:t>
      </w:r>
      <w:proofErr w:type="spellStart"/>
      <w:r w:rsidRPr="003A3DEB">
        <w:rPr>
          <w:rFonts w:ascii="Times New Roman" w:hAnsi="Times New Roman" w:cs="Times New Roman"/>
        </w:rPr>
        <w:t>Behavior</w:t>
      </w:r>
      <w:bookmarkEnd w:id="21"/>
      <w:proofErr w:type="spellEnd"/>
    </w:p>
    <w:p w14:paraId="5B587DC5" w14:textId="77777777" w:rsidR="000F3D85" w:rsidRDefault="00EC7062" w:rsidP="007606CF">
      <w:pPr>
        <w:spacing w:before="240"/>
        <w:jc w:val="center"/>
        <w:rPr>
          <w:rFonts w:ascii="Times New Roman" w:hAnsi="Times New Roman" w:cs="Times New Roman"/>
        </w:rPr>
      </w:pPr>
      <w:r>
        <w:rPr>
          <w:noProof/>
        </w:rPr>
        <w:drawing>
          <wp:inline distT="0" distB="0" distL="0" distR="0" wp14:anchorId="4E7A2A46" wp14:editId="0C9BFD35">
            <wp:extent cx="3717670" cy="2669781"/>
            <wp:effectExtent l="0" t="0" r="16510" b="16510"/>
            <wp:docPr id="1568430983" name="Chart 1">
              <a:extLst xmlns:a="http://schemas.openxmlformats.org/drawingml/2006/main">
                <a:ext uri="{FF2B5EF4-FFF2-40B4-BE49-F238E27FC236}">
                  <a16:creationId xmlns:a16="http://schemas.microsoft.com/office/drawing/2014/main" id="{F71E0F7E-1BC0-ED95-E0D4-6AF78C2429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6813953" w14:textId="5EFEB9AD" w:rsidR="007606CF" w:rsidRPr="007606CF" w:rsidRDefault="007606CF" w:rsidP="007606CF">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3.1</w:t>
      </w:r>
      <w:r w:rsidR="0021750C">
        <w:rPr>
          <w:rFonts w:ascii="Times New Roman" w:hAnsi="Times New Roman" w:cs="Times New Roman"/>
          <w:i/>
          <w:iCs/>
          <w:sz w:val="16"/>
          <w:szCs w:val="16"/>
        </w:rPr>
        <w:t>4</w:t>
      </w:r>
      <w:r>
        <w:rPr>
          <w:rFonts w:ascii="Times New Roman" w:hAnsi="Times New Roman" w:cs="Times New Roman"/>
          <w:i/>
          <w:iCs/>
          <w:sz w:val="16"/>
          <w:szCs w:val="16"/>
        </w:rPr>
        <w:t>: Financial Impact of Bargaining</w:t>
      </w:r>
    </w:p>
    <w:p w14:paraId="1C94AF9D" w14:textId="563B320A" w:rsidR="00105D08" w:rsidRPr="00562EAA" w:rsidRDefault="00EC7062" w:rsidP="00105D08">
      <w:pPr>
        <w:spacing w:after="240"/>
        <w:rPr>
          <w:noProof/>
        </w:rPr>
      </w:pPr>
      <w:r w:rsidRPr="00EC7062">
        <w:rPr>
          <w:rFonts w:ascii="Times New Roman" w:hAnsi="Times New Roman" w:cs="Times New Roman"/>
        </w:rPr>
        <w:t>Among converted orders where customers negotiated a discount, ₹1,198.44 was given away in bargained price reductions</w:t>
      </w:r>
      <w:r w:rsidR="00100C78">
        <w:rPr>
          <w:rFonts w:ascii="Times New Roman" w:hAnsi="Times New Roman" w:cs="Times New Roman"/>
        </w:rPr>
        <w:t xml:space="preserve">. </w:t>
      </w:r>
      <w:r w:rsidR="00100C78" w:rsidRPr="00EC7062">
        <w:rPr>
          <w:rFonts w:ascii="Times New Roman" w:hAnsi="Times New Roman" w:cs="Times New Roman"/>
        </w:rPr>
        <w:t>A</w:t>
      </w:r>
      <w:r w:rsidRPr="00EC7062">
        <w:rPr>
          <w:rFonts w:ascii="Times New Roman" w:hAnsi="Times New Roman" w:cs="Times New Roman"/>
        </w:rPr>
        <w:t xml:space="preserve"> direct, quantifiable margin cost from informal negotiation practices that had never been tracked prior to this project. This is a separate leakage channel from ghosting: it occurs on orders that </w:t>
      </w:r>
      <w:r w:rsidRPr="00EC7062">
        <w:rPr>
          <w:rFonts w:ascii="Times New Roman" w:hAnsi="Times New Roman" w:cs="Times New Roman"/>
          <w:i/>
          <w:iCs/>
        </w:rPr>
        <w:t>do</w:t>
      </w:r>
      <w:r w:rsidRPr="00EC7062">
        <w:rPr>
          <w:rFonts w:ascii="Times New Roman" w:hAnsi="Times New Roman" w:cs="Times New Roman"/>
        </w:rPr>
        <w:t xml:space="preserve"> convert, meaning the business is losing margin even on its successful transactions.</w:t>
      </w:r>
      <w:r w:rsidR="003A3DEB" w:rsidRPr="003A3DEB">
        <w:rPr>
          <w:noProof/>
        </w:rPr>
        <w:t xml:space="preserve"> </w:t>
      </w:r>
    </w:p>
    <w:p w14:paraId="409ADB44" w14:textId="25205860" w:rsidR="00EC7062" w:rsidRPr="00D52713" w:rsidRDefault="00D52713" w:rsidP="00EC7062">
      <w:pPr>
        <w:pStyle w:val="Heading3"/>
        <w:spacing w:after="240"/>
        <w:rPr>
          <w:rFonts w:ascii="Times New Roman" w:hAnsi="Times New Roman" w:cs="Times New Roman"/>
        </w:rPr>
      </w:pPr>
      <w:bookmarkStart w:id="22" w:name="_Toc236340228"/>
      <w:r w:rsidRPr="003A3DEB">
        <w:rPr>
          <w:rFonts w:ascii="Times New Roman" w:hAnsi="Times New Roman" w:cs="Times New Roman"/>
        </w:rPr>
        <w:t>3.2.5 Policy Simulation</w:t>
      </w:r>
      <w:bookmarkEnd w:id="22"/>
    </w:p>
    <w:tbl>
      <w:tblPr>
        <w:tblStyle w:val="TableGrid"/>
        <w:tblW w:w="0" w:type="auto"/>
        <w:jc w:val="center"/>
        <w:tblLook w:val="04A0" w:firstRow="1" w:lastRow="0" w:firstColumn="1" w:lastColumn="0" w:noHBand="0" w:noVBand="1"/>
      </w:tblPr>
      <w:tblGrid>
        <w:gridCol w:w="1812"/>
        <w:gridCol w:w="2306"/>
        <w:gridCol w:w="2263"/>
      </w:tblGrid>
      <w:tr w:rsidR="00EC7062" w:rsidRPr="00EC7062" w14:paraId="0D94BC9C" w14:textId="77777777" w:rsidTr="00EC7062">
        <w:trPr>
          <w:jc w:val="center"/>
        </w:trPr>
        <w:tc>
          <w:tcPr>
            <w:tcW w:w="0" w:type="auto"/>
            <w:hideMark/>
          </w:tcPr>
          <w:p w14:paraId="0FDA9127" w14:textId="6040E8D4" w:rsidR="00EC7062" w:rsidRPr="00EC7062" w:rsidRDefault="00EC7062" w:rsidP="00EC7062">
            <w:pPr>
              <w:spacing w:after="240"/>
              <w:rPr>
                <w:rFonts w:ascii="Times New Roman" w:hAnsi="Times New Roman" w:cs="Times New Roman"/>
                <w:b/>
                <w:bCs/>
              </w:rPr>
            </w:pPr>
            <w:r w:rsidRPr="00EC7062">
              <w:rPr>
                <w:rFonts w:ascii="Times New Roman" w:hAnsi="Times New Roman" w:cs="Times New Roman"/>
                <w:b/>
                <w:bCs/>
              </w:rPr>
              <w:t>Policy Threshold</w:t>
            </w:r>
          </w:p>
        </w:tc>
        <w:tc>
          <w:tcPr>
            <w:tcW w:w="0" w:type="auto"/>
            <w:hideMark/>
          </w:tcPr>
          <w:p w14:paraId="4EFF49A7" w14:textId="0733F24D" w:rsidR="00EC7062" w:rsidRPr="00EC7062" w:rsidRDefault="00EC7062" w:rsidP="00EC7062">
            <w:pPr>
              <w:spacing w:after="240"/>
              <w:rPr>
                <w:rFonts w:ascii="Times New Roman" w:hAnsi="Times New Roman" w:cs="Times New Roman"/>
                <w:b/>
                <w:bCs/>
              </w:rPr>
            </w:pPr>
            <w:r w:rsidRPr="00EC7062">
              <w:rPr>
                <w:rFonts w:ascii="Times New Roman" w:hAnsi="Times New Roman" w:cs="Times New Roman"/>
                <w:b/>
                <w:bCs/>
              </w:rPr>
              <w:t>Ghost Orders Flagged</w:t>
            </w:r>
          </w:p>
        </w:tc>
        <w:tc>
          <w:tcPr>
            <w:tcW w:w="0" w:type="auto"/>
            <w:hideMark/>
          </w:tcPr>
          <w:p w14:paraId="32B96642" w14:textId="74279963" w:rsidR="00EC7062" w:rsidRPr="00EC7062" w:rsidRDefault="00EC7062" w:rsidP="00EC7062">
            <w:pPr>
              <w:spacing w:after="240"/>
              <w:rPr>
                <w:rFonts w:ascii="Times New Roman" w:hAnsi="Times New Roman" w:cs="Times New Roman"/>
                <w:b/>
                <w:bCs/>
              </w:rPr>
            </w:pPr>
            <w:r w:rsidRPr="00EC7062">
              <w:rPr>
                <w:rFonts w:ascii="Times New Roman" w:hAnsi="Times New Roman" w:cs="Times New Roman"/>
                <w:b/>
                <w:bCs/>
              </w:rPr>
              <w:t>Stock Value Freed (₹)</w:t>
            </w:r>
          </w:p>
        </w:tc>
      </w:tr>
      <w:tr w:rsidR="00EC7062" w:rsidRPr="00EC7062" w14:paraId="4DE5036C" w14:textId="77777777" w:rsidTr="00EC7062">
        <w:trPr>
          <w:jc w:val="center"/>
        </w:trPr>
        <w:tc>
          <w:tcPr>
            <w:tcW w:w="0" w:type="auto"/>
            <w:hideMark/>
          </w:tcPr>
          <w:p w14:paraId="1E145CDA" w14:textId="20C2DD5A"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24-Hour Rule</w:t>
            </w:r>
          </w:p>
        </w:tc>
        <w:tc>
          <w:tcPr>
            <w:tcW w:w="0" w:type="auto"/>
            <w:hideMark/>
          </w:tcPr>
          <w:p w14:paraId="0E3AE92C"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7 of 7</w:t>
            </w:r>
          </w:p>
        </w:tc>
        <w:tc>
          <w:tcPr>
            <w:tcW w:w="0" w:type="auto"/>
            <w:hideMark/>
          </w:tcPr>
          <w:p w14:paraId="050FE586" w14:textId="4E4AE99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2,320</w:t>
            </w:r>
          </w:p>
        </w:tc>
      </w:tr>
      <w:tr w:rsidR="00EC7062" w:rsidRPr="00EC7062" w14:paraId="5D9611E8" w14:textId="77777777" w:rsidTr="00EC7062">
        <w:trPr>
          <w:jc w:val="center"/>
        </w:trPr>
        <w:tc>
          <w:tcPr>
            <w:tcW w:w="0" w:type="auto"/>
            <w:hideMark/>
          </w:tcPr>
          <w:p w14:paraId="65C1137C" w14:textId="3AF10B52"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48-Hour Rule</w:t>
            </w:r>
          </w:p>
        </w:tc>
        <w:tc>
          <w:tcPr>
            <w:tcW w:w="0" w:type="auto"/>
            <w:hideMark/>
          </w:tcPr>
          <w:p w14:paraId="3B15604D" w14:textId="77777777"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5 of 7</w:t>
            </w:r>
          </w:p>
        </w:tc>
        <w:tc>
          <w:tcPr>
            <w:tcW w:w="0" w:type="auto"/>
            <w:hideMark/>
          </w:tcPr>
          <w:p w14:paraId="3E1C4529" w14:textId="588D4B03" w:rsidR="00EC7062" w:rsidRPr="00EC7062" w:rsidRDefault="00EC7062" w:rsidP="00EC7062">
            <w:pPr>
              <w:spacing w:after="240"/>
              <w:rPr>
                <w:rFonts w:ascii="Times New Roman" w:hAnsi="Times New Roman" w:cs="Times New Roman"/>
              </w:rPr>
            </w:pPr>
            <w:r w:rsidRPr="00EC7062">
              <w:rPr>
                <w:rFonts w:ascii="Times New Roman" w:hAnsi="Times New Roman" w:cs="Times New Roman"/>
              </w:rPr>
              <w:t>1,813</w:t>
            </w:r>
          </w:p>
        </w:tc>
      </w:tr>
    </w:tbl>
    <w:p w14:paraId="3D2161C3" w14:textId="04CA32CF" w:rsidR="007606CF" w:rsidRDefault="00E74679" w:rsidP="00E74679">
      <w:pPr>
        <w:spacing w:after="240"/>
        <w:jc w:val="center"/>
        <w:rPr>
          <w:rFonts w:ascii="Times New Roman" w:hAnsi="Times New Roman" w:cs="Times New Roman"/>
          <w:i/>
          <w:iCs/>
          <w:sz w:val="16"/>
          <w:szCs w:val="16"/>
        </w:rPr>
      </w:pPr>
      <w:r>
        <w:rPr>
          <w:rFonts w:ascii="Times New Roman" w:hAnsi="Times New Roman" w:cs="Times New Roman"/>
          <w:i/>
          <w:iCs/>
          <w:sz w:val="16"/>
          <w:szCs w:val="16"/>
        </w:rPr>
        <w:t>Table 3.9: Policy Simulation</w:t>
      </w:r>
      <w:r>
        <w:rPr>
          <w:noProof/>
        </w:rPr>
        <w:drawing>
          <wp:anchor distT="0" distB="0" distL="114300" distR="114300" simplePos="0" relativeHeight="251695104" behindDoc="0" locked="0" layoutInCell="1" allowOverlap="1" wp14:anchorId="0B865E0E" wp14:editId="2DD96796">
            <wp:simplePos x="0" y="0"/>
            <wp:positionH relativeFrom="margin">
              <wp:align>left</wp:align>
            </wp:positionH>
            <wp:positionV relativeFrom="paragraph">
              <wp:posOffset>153003</wp:posOffset>
            </wp:positionV>
            <wp:extent cx="2736850" cy="1898650"/>
            <wp:effectExtent l="0" t="0" r="6350" b="6350"/>
            <wp:wrapSquare wrapText="bothSides"/>
            <wp:docPr id="14312879" name="Chart 1">
              <a:extLst xmlns:a="http://schemas.openxmlformats.org/drawingml/2006/main">
                <a:ext uri="{FF2B5EF4-FFF2-40B4-BE49-F238E27FC236}">
                  <a16:creationId xmlns:a16="http://schemas.microsoft.com/office/drawing/2014/main" id="{EF1DAF9C-67F4-621B-17B9-A2263ED7A7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603A9542" wp14:editId="033B53E3">
            <wp:simplePos x="0" y="0"/>
            <wp:positionH relativeFrom="margin">
              <wp:posOffset>2968936</wp:posOffset>
            </wp:positionH>
            <wp:positionV relativeFrom="paragraph">
              <wp:posOffset>147955</wp:posOffset>
            </wp:positionV>
            <wp:extent cx="2741295" cy="1898650"/>
            <wp:effectExtent l="0" t="0" r="1905" b="6350"/>
            <wp:wrapThrough wrapText="bothSides">
              <wp:wrapPolygon edited="0">
                <wp:start x="0" y="0"/>
                <wp:lineTo x="0" y="21456"/>
                <wp:lineTo x="21465" y="21456"/>
                <wp:lineTo x="21465" y="0"/>
                <wp:lineTo x="0" y="0"/>
              </wp:wrapPolygon>
            </wp:wrapThrough>
            <wp:docPr id="9444315" name="Chart 1">
              <a:extLst xmlns:a="http://schemas.openxmlformats.org/drawingml/2006/main">
                <a:ext uri="{FF2B5EF4-FFF2-40B4-BE49-F238E27FC236}">
                  <a16:creationId xmlns:a16="http://schemas.microsoft.com/office/drawing/2014/main" id="{3AC7467D-DBA8-A101-BE23-A872D8A1E7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280103C2" w14:textId="420A341F" w:rsidR="007606CF" w:rsidRPr="007606CF" w:rsidRDefault="007606CF" w:rsidP="00EC7062">
      <w:pPr>
        <w:spacing w:after="240"/>
        <w:rPr>
          <w:rFonts w:ascii="Times New Roman" w:hAnsi="Times New Roman" w:cs="Times New Roman"/>
          <w:i/>
          <w:iCs/>
          <w:sz w:val="16"/>
          <w:szCs w:val="16"/>
        </w:rPr>
      </w:pPr>
      <w:r>
        <w:rPr>
          <w:rFonts w:ascii="Times New Roman" w:hAnsi="Times New Roman" w:cs="Times New Roman"/>
          <w:i/>
          <w:iCs/>
          <w:sz w:val="16"/>
          <w:szCs w:val="16"/>
        </w:rPr>
        <w:t>Figure 3.1</w:t>
      </w:r>
      <w:r w:rsidR="0021750C">
        <w:rPr>
          <w:rFonts w:ascii="Times New Roman" w:hAnsi="Times New Roman" w:cs="Times New Roman"/>
          <w:i/>
          <w:iCs/>
          <w:sz w:val="16"/>
          <w:szCs w:val="16"/>
        </w:rPr>
        <w:t>5</w:t>
      </w:r>
      <w:r>
        <w:rPr>
          <w:rFonts w:ascii="Times New Roman" w:hAnsi="Times New Roman" w:cs="Times New Roman"/>
          <w:i/>
          <w:iCs/>
          <w:sz w:val="16"/>
          <w:szCs w:val="16"/>
        </w:rPr>
        <w:t>: Inventory Value Released under Hold Policies</w:t>
      </w:r>
      <w:r>
        <w:rPr>
          <w:rFonts w:ascii="Times New Roman" w:hAnsi="Times New Roman" w:cs="Times New Roman"/>
          <w:i/>
          <w:iCs/>
          <w:sz w:val="16"/>
          <w:szCs w:val="16"/>
        </w:rPr>
        <w:tab/>
      </w:r>
      <w:r>
        <w:rPr>
          <w:rFonts w:ascii="Times New Roman" w:hAnsi="Times New Roman" w:cs="Times New Roman"/>
          <w:i/>
          <w:iCs/>
          <w:sz w:val="16"/>
          <w:szCs w:val="16"/>
        </w:rPr>
        <w:tab/>
        <w:t>Figure 3.1</w:t>
      </w:r>
      <w:r w:rsidR="0021750C">
        <w:rPr>
          <w:rFonts w:ascii="Times New Roman" w:hAnsi="Times New Roman" w:cs="Times New Roman"/>
          <w:i/>
          <w:iCs/>
          <w:sz w:val="16"/>
          <w:szCs w:val="16"/>
        </w:rPr>
        <w:t>6</w:t>
      </w:r>
      <w:r>
        <w:rPr>
          <w:rFonts w:ascii="Times New Roman" w:hAnsi="Times New Roman" w:cs="Times New Roman"/>
          <w:i/>
          <w:iCs/>
          <w:sz w:val="16"/>
          <w:szCs w:val="16"/>
        </w:rPr>
        <w:t>: Ghosted Orders Flagged under Hold Policies</w:t>
      </w:r>
    </w:p>
    <w:p w14:paraId="1B7B8945" w14:textId="7CA3AB35" w:rsidR="00EC7062" w:rsidRDefault="00EC7062" w:rsidP="00F81F5F">
      <w:pPr>
        <w:spacing w:after="240"/>
        <w:rPr>
          <w:rFonts w:ascii="Times New Roman" w:hAnsi="Times New Roman" w:cs="Times New Roman"/>
        </w:rPr>
      </w:pPr>
      <w:r w:rsidRPr="00EC7062">
        <w:rPr>
          <w:rFonts w:ascii="Times New Roman" w:hAnsi="Times New Roman" w:cs="Times New Roman"/>
        </w:rPr>
        <w:t>A 24-hour auto-release rule would have flagged</w:t>
      </w:r>
      <w:r>
        <w:rPr>
          <w:rFonts w:ascii="Times New Roman" w:hAnsi="Times New Roman" w:cs="Times New Roman"/>
        </w:rPr>
        <w:t xml:space="preserve"> </w:t>
      </w:r>
      <w:r w:rsidRPr="00EC7062">
        <w:rPr>
          <w:rFonts w:ascii="Times New Roman" w:hAnsi="Times New Roman" w:cs="Times New Roman"/>
        </w:rPr>
        <w:t>all 7 ghosted orders, freeing the full ₹2,320 in blocked stock value; a 48-hour rule would have caught only 5 of 7</w:t>
      </w:r>
      <w:r w:rsidR="00100C78">
        <w:rPr>
          <w:rFonts w:ascii="Times New Roman" w:hAnsi="Times New Roman" w:cs="Times New Roman"/>
        </w:rPr>
        <w:t>,</w:t>
      </w:r>
      <w:r w:rsidRPr="00EC7062">
        <w:rPr>
          <w:rFonts w:ascii="Times New Roman" w:hAnsi="Times New Roman" w:cs="Times New Roman"/>
        </w:rPr>
        <w:t xml:space="preserve"> missing two ghosted holds whose durations (28.6 hrs and roughly 52 hrs) fall between the two thresholds</w:t>
      </w:r>
      <w:r w:rsidR="00100C78">
        <w:rPr>
          <w:rFonts w:ascii="Times New Roman" w:hAnsi="Times New Roman" w:cs="Times New Roman"/>
        </w:rPr>
        <w:t>,</w:t>
      </w:r>
      <w:r w:rsidRPr="00EC7062">
        <w:rPr>
          <w:rFonts w:ascii="Times New Roman" w:hAnsi="Times New Roman" w:cs="Times New Roman"/>
        </w:rPr>
        <w:t xml:space="preserve"> freeing ₹507 less. Since converted holds have a 75th-percentile duration of only 17.1 hours (Section </w:t>
      </w:r>
      <w:r>
        <w:rPr>
          <w:rFonts w:ascii="Times New Roman" w:hAnsi="Times New Roman" w:cs="Times New Roman"/>
        </w:rPr>
        <w:t>3</w:t>
      </w:r>
      <w:r w:rsidRPr="00EC7062">
        <w:rPr>
          <w:rFonts w:ascii="Times New Roman" w:hAnsi="Times New Roman" w:cs="Times New Roman"/>
        </w:rPr>
        <w:t xml:space="preserve">.2.3), a 24-hour </w:t>
      </w:r>
      <w:r w:rsidRPr="00EC7062">
        <w:rPr>
          <w:rFonts w:ascii="Times New Roman" w:hAnsi="Times New Roman" w:cs="Times New Roman"/>
        </w:rPr>
        <w:lastRenderedPageBreak/>
        <w:t>threshold gives genuine buyers a comfortable decision window while still capturing every ghosted case in this dataset, making it the more effective of the two policies tested.</w:t>
      </w:r>
    </w:p>
    <w:p w14:paraId="499FB66F" w14:textId="77777777" w:rsidR="0015327E" w:rsidRPr="0015327E" w:rsidRDefault="0015327E" w:rsidP="0015327E">
      <w:pPr>
        <w:pStyle w:val="Heading3"/>
        <w:rPr>
          <w:rFonts w:ascii="Times New Roman" w:hAnsi="Times New Roman" w:cs="Times New Roman"/>
        </w:rPr>
      </w:pPr>
      <w:bookmarkStart w:id="23" w:name="_Toc236340229"/>
      <w:r w:rsidRPr="0015327E">
        <w:rPr>
          <w:rFonts w:ascii="Times New Roman" w:hAnsi="Times New Roman" w:cs="Times New Roman"/>
        </w:rPr>
        <w:t>3.2.6 Bargaining as a Predictive Signal for Ghosting</w:t>
      </w:r>
      <w:bookmarkEnd w:id="23"/>
    </w:p>
    <w:p w14:paraId="0F268CE7" w14:textId="4B308963" w:rsidR="0015327E" w:rsidRDefault="0015327E" w:rsidP="0015327E">
      <w:pPr>
        <w:spacing w:after="240"/>
        <w:rPr>
          <w:rFonts w:ascii="Times New Roman" w:hAnsi="Times New Roman" w:cs="Times New Roman"/>
        </w:rPr>
      </w:pPr>
      <w:r w:rsidRPr="0015327E">
        <w:rPr>
          <w:rFonts w:ascii="Times New Roman" w:hAnsi="Times New Roman" w:cs="Times New Roman"/>
        </w:rPr>
        <w:t xml:space="preserve">Beyond hold duration (Section 3.2.3), bargaining </w:t>
      </w:r>
      <w:r w:rsidR="00100C78" w:rsidRPr="0015327E">
        <w:rPr>
          <w:rFonts w:ascii="Times New Roman" w:hAnsi="Times New Roman" w:cs="Times New Roman"/>
        </w:rPr>
        <w:t>behaviour</w:t>
      </w:r>
      <w:r w:rsidRPr="0015327E">
        <w:rPr>
          <w:rFonts w:ascii="Times New Roman" w:hAnsi="Times New Roman" w:cs="Times New Roman"/>
        </w:rPr>
        <w:t xml:space="preserve"> itself shows a clear split between outcomes: 85.7% of ghosted holds involved a bargaining attempt, compared to 69.0% of converted holds. Bargaining rate by category also varies (Earrings 78.6%, Rings 75.0%, Bracelets and Neckpieces 66.7%), broadly tracking the same categories already flagged as higher ghost-risk in Section 3.2.2. Additionally, the average value held is lower for ghosted holds (₹331.4) than converted holds (₹495.9) meaning ghosting is not concentrated in the business's highest-value reservations, but skews toward smaller, lower-commitment holds where a customer has less at stake in following through.</w:t>
      </w:r>
    </w:p>
    <w:p w14:paraId="716BA654" w14:textId="51442AAE" w:rsidR="000C61B9" w:rsidRDefault="000C61B9" w:rsidP="00835175">
      <w:pPr>
        <w:jc w:val="center"/>
        <w:rPr>
          <w:rFonts w:ascii="Times New Roman" w:hAnsi="Times New Roman" w:cs="Times New Roman"/>
        </w:rPr>
      </w:pPr>
      <w:r>
        <w:rPr>
          <w:noProof/>
        </w:rPr>
        <w:drawing>
          <wp:inline distT="0" distB="0" distL="0" distR="0" wp14:anchorId="3F262D07" wp14:editId="6B1255F7">
            <wp:extent cx="3550808" cy="2342732"/>
            <wp:effectExtent l="0" t="0" r="12065" b="635"/>
            <wp:docPr id="7276384" name="Chart 1">
              <a:extLst xmlns:a="http://schemas.openxmlformats.org/drawingml/2006/main">
                <a:ext uri="{FF2B5EF4-FFF2-40B4-BE49-F238E27FC236}">
                  <a16:creationId xmlns:a16="http://schemas.microsoft.com/office/drawing/2014/main" id="{B7F10F51-AF9B-9366-0BCD-06E186833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268A791" w14:textId="36D237F2" w:rsidR="00835175" w:rsidRPr="00835175" w:rsidRDefault="00835175" w:rsidP="00835175">
      <w:pPr>
        <w:spacing w:after="240"/>
        <w:jc w:val="center"/>
        <w:rPr>
          <w:rFonts w:ascii="Times New Roman" w:hAnsi="Times New Roman" w:cs="Times New Roman"/>
          <w:i/>
          <w:iCs/>
          <w:sz w:val="16"/>
          <w:szCs w:val="16"/>
        </w:rPr>
      </w:pPr>
      <w:r>
        <w:rPr>
          <w:rFonts w:ascii="Times New Roman" w:hAnsi="Times New Roman" w:cs="Times New Roman"/>
          <w:i/>
          <w:iCs/>
          <w:sz w:val="16"/>
          <w:szCs w:val="16"/>
        </w:rPr>
        <w:t>Figure 3.1</w:t>
      </w:r>
      <w:r w:rsidR="0021750C">
        <w:rPr>
          <w:rFonts w:ascii="Times New Roman" w:hAnsi="Times New Roman" w:cs="Times New Roman"/>
          <w:i/>
          <w:iCs/>
          <w:sz w:val="16"/>
          <w:szCs w:val="16"/>
        </w:rPr>
        <w:t>7</w:t>
      </w:r>
      <w:r>
        <w:rPr>
          <w:rFonts w:ascii="Times New Roman" w:hAnsi="Times New Roman" w:cs="Times New Roman"/>
          <w:i/>
          <w:iCs/>
          <w:sz w:val="16"/>
          <w:szCs w:val="16"/>
        </w:rPr>
        <w:t>: Bargaining Rate</w:t>
      </w:r>
    </w:p>
    <w:p w14:paraId="3C749151" w14:textId="0280E321" w:rsidR="000C61B9" w:rsidRPr="00A01A15" w:rsidRDefault="0015327E" w:rsidP="00F81F5F">
      <w:pPr>
        <w:spacing w:after="240"/>
        <w:rPr>
          <w:rFonts w:ascii="Times New Roman" w:hAnsi="Times New Roman" w:cs="Times New Roman"/>
        </w:rPr>
      </w:pPr>
      <w:r w:rsidRPr="0015327E">
        <w:rPr>
          <w:rFonts w:ascii="Times New Roman" w:hAnsi="Times New Roman" w:cs="Times New Roman"/>
        </w:rPr>
        <w:t>Taken together with the duration finding in Section 3.2.3, this suggests two independent early-warning signals rather than one: a hold that is both low-value and involves a bargaining request carries meaningfully higher ghosting risk than duration alone would indicate. This refines the staff follow-up recommendation in Section 4.4</w:t>
      </w:r>
      <w:r w:rsidR="00100C78">
        <w:rPr>
          <w:rFonts w:ascii="Times New Roman" w:hAnsi="Times New Roman" w:cs="Times New Roman"/>
        </w:rPr>
        <w:t>,</w:t>
      </w:r>
      <w:r w:rsidRPr="0015327E">
        <w:rPr>
          <w:rFonts w:ascii="Times New Roman" w:hAnsi="Times New Roman" w:cs="Times New Roman"/>
        </w:rPr>
        <w:t xml:space="preserve"> the 12-hour reminder for Rings and Earrings holds should be applied with particular priority to holds that also involved a discount request, since this combination, not category alone, is the strongest signal identified in the data.</w:t>
      </w:r>
    </w:p>
    <w:p w14:paraId="2F4501C3" w14:textId="545F6ACA" w:rsidR="004261EE" w:rsidRPr="004261EE" w:rsidRDefault="004261EE" w:rsidP="004261EE">
      <w:pPr>
        <w:pStyle w:val="Heading1"/>
        <w:rPr>
          <w:rFonts w:ascii="Times New Roman" w:hAnsi="Times New Roman" w:cs="Times New Roman"/>
        </w:rPr>
      </w:pPr>
      <w:bookmarkStart w:id="24" w:name="_Toc236340230"/>
      <w:r w:rsidRPr="004261EE">
        <w:rPr>
          <w:rFonts w:ascii="Times New Roman" w:hAnsi="Times New Roman" w:cs="Times New Roman"/>
        </w:rPr>
        <w:t>4</w:t>
      </w:r>
      <w:r>
        <w:rPr>
          <w:rFonts w:ascii="Times New Roman" w:hAnsi="Times New Roman" w:cs="Times New Roman"/>
        </w:rPr>
        <w:t xml:space="preserve">   </w:t>
      </w:r>
      <w:r w:rsidRPr="004261EE">
        <w:rPr>
          <w:rFonts w:ascii="Times New Roman" w:hAnsi="Times New Roman" w:cs="Times New Roman"/>
        </w:rPr>
        <w:t>Interpretation of Results and Recommendations</w:t>
      </w:r>
      <w:bookmarkEnd w:id="24"/>
    </w:p>
    <w:p w14:paraId="69505E5A" w14:textId="77777777" w:rsidR="00F81F5F" w:rsidRPr="00F81F5F" w:rsidRDefault="00F81F5F" w:rsidP="00F81F5F">
      <w:pPr>
        <w:pStyle w:val="Heading2"/>
        <w:rPr>
          <w:rFonts w:ascii="Times New Roman" w:hAnsi="Times New Roman" w:cs="Times New Roman"/>
        </w:rPr>
      </w:pPr>
      <w:bookmarkStart w:id="25" w:name="_Toc236340231"/>
      <w:r w:rsidRPr="00F81F5F">
        <w:rPr>
          <w:rFonts w:ascii="Times New Roman" w:hAnsi="Times New Roman" w:cs="Times New Roman"/>
        </w:rPr>
        <w:t>4.1 Integrating ABC, Velocity, and Demand Variability into a Unified Stocking Policy</w:t>
      </w:r>
      <w:bookmarkEnd w:id="25"/>
    </w:p>
    <w:p w14:paraId="4B4082D4" w14:textId="4084218A"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Sections 3.1.3–3.1.5 each classify the same 75 SKUs along a different axis</w:t>
      </w:r>
      <w:r w:rsidR="00100C78">
        <w:rPr>
          <w:rFonts w:ascii="Times New Roman" w:hAnsi="Times New Roman" w:cs="Times New Roman"/>
        </w:rPr>
        <w:t xml:space="preserve">, </w:t>
      </w:r>
      <w:r w:rsidRPr="00F81F5F">
        <w:rPr>
          <w:rFonts w:ascii="Times New Roman" w:hAnsi="Times New Roman" w:cs="Times New Roman"/>
        </w:rPr>
        <w:t>revenue contribution (ABC), turnover speed (velocity), and demand predictability (CV%)</w:t>
      </w:r>
      <w:r w:rsidR="00100C78">
        <w:rPr>
          <w:rFonts w:ascii="Times New Roman" w:hAnsi="Times New Roman" w:cs="Times New Roman"/>
        </w:rPr>
        <w:t xml:space="preserve">; </w:t>
      </w:r>
      <w:r w:rsidRPr="00F81F5F">
        <w:rPr>
          <w:rFonts w:ascii="Times New Roman" w:hAnsi="Times New Roman" w:cs="Times New Roman"/>
        </w:rPr>
        <w:t>and no single one of these axes is sufficient on its own to guide stocking decisions. A product can be Class A by revenue but slow-moving (several Ring SKUs), or high-velocity but revenue-modest (Glow fly Anti-Tarnish Stud at ₹99).</w:t>
      </w:r>
    </w:p>
    <w:p w14:paraId="04E7DA95" w14:textId="17156A91"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w:t>
      </w:r>
      <w:r w:rsidR="00B62A62">
        <w:rPr>
          <w:rFonts w:ascii="Times New Roman" w:hAnsi="Times New Roman" w:cs="Times New Roman"/>
        </w:rPr>
        <w:t>C</w:t>
      </w:r>
      <w:r w:rsidRPr="00F81F5F">
        <w:rPr>
          <w:rFonts w:ascii="Times New Roman" w:hAnsi="Times New Roman" w:cs="Times New Roman"/>
        </w:rPr>
        <w:t>ombine all three into one stocking-priority matrix rather than acting on any single metric in isolation:</w:t>
      </w:r>
    </w:p>
    <w:tbl>
      <w:tblPr>
        <w:tblStyle w:val="TableGrid"/>
        <w:tblW w:w="0" w:type="auto"/>
        <w:jc w:val="center"/>
        <w:tblLook w:val="04A0" w:firstRow="1" w:lastRow="0" w:firstColumn="1" w:lastColumn="0" w:noHBand="0" w:noVBand="1"/>
      </w:tblPr>
      <w:tblGrid>
        <w:gridCol w:w="1185"/>
        <w:gridCol w:w="3539"/>
        <w:gridCol w:w="4292"/>
      </w:tblGrid>
      <w:tr w:rsidR="00F81F5F" w:rsidRPr="00F81F5F" w14:paraId="132FCFFB" w14:textId="77777777" w:rsidTr="00F81F5F">
        <w:trPr>
          <w:jc w:val="center"/>
        </w:trPr>
        <w:tc>
          <w:tcPr>
            <w:tcW w:w="0" w:type="auto"/>
            <w:hideMark/>
          </w:tcPr>
          <w:p w14:paraId="4DB93841"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Tier</w:t>
            </w:r>
          </w:p>
        </w:tc>
        <w:tc>
          <w:tcPr>
            <w:tcW w:w="0" w:type="auto"/>
            <w:hideMark/>
          </w:tcPr>
          <w:p w14:paraId="55B0034F"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Criteria</w:t>
            </w:r>
          </w:p>
        </w:tc>
        <w:tc>
          <w:tcPr>
            <w:tcW w:w="0" w:type="auto"/>
            <w:hideMark/>
          </w:tcPr>
          <w:p w14:paraId="5C7BC48A"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Action</w:t>
            </w:r>
          </w:p>
        </w:tc>
      </w:tr>
      <w:tr w:rsidR="00F81F5F" w:rsidRPr="00F81F5F" w14:paraId="3C4E9381" w14:textId="77777777" w:rsidTr="00F81F5F">
        <w:trPr>
          <w:jc w:val="center"/>
        </w:trPr>
        <w:tc>
          <w:tcPr>
            <w:tcW w:w="0" w:type="auto"/>
            <w:hideMark/>
          </w:tcPr>
          <w:p w14:paraId="2C4A8E9A"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Priority 1</w:t>
            </w:r>
          </w:p>
        </w:tc>
        <w:tc>
          <w:tcPr>
            <w:tcW w:w="0" w:type="auto"/>
            <w:hideMark/>
          </w:tcPr>
          <w:p w14:paraId="434D692F"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 xml:space="preserve">Class A revenue </w:t>
            </w:r>
            <w:r w:rsidRPr="00F81F5F">
              <w:rPr>
                <w:rFonts w:ascii="Times New Roman" w:hAnsi="Times New Roman" w:cs="Times New Roman"/>
                <w:i/>
                <w:iCs/>
              </w:rPr>
              <w:t>and</w:t>
            </w:r>
            <w:r w:rsidRPr="00F81F5F">
              <w:rPr>
                <w:rFonts w:ascii="Times New Roman" w:hAnsi="Times New Roman" w:cs="Times New Roman"/>
              </w:rPr>
              <w:t xml:space="preserve"> velocity above category median</w:t>
            </w:r>
          </w:p>
        </w:tc>
        <w:tc>
          <w:tcPr>
            <w:tcW w:w="0" w:type="auto"/>
            <w:hideMark/>
          </w:tcPr>
          <w:p w14:paraId="0BC9159B"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Maintain continuous stock; never allow a stockout</w:t>
            </w:r>
          </w:p>
        </w:tc>
      </w:tr>
      <w:tr w:rsidR="00F81F5F" w:rsidRPr="00F81F5F" w14:paraId="2F1EC00B" w14:textId="77777777" w:rsidTr="00F81F5F">
        <w:trPr>
          <w:jc w:val="center"/>
        </w:trPr>
        <w:tc>
          <w:tcPr>
            <w:tcW w:w="0" w:type="auto"/>
            <w:hideMark/>
          </w:tcPr>
          <w:p w14:paraId="2D7D9E8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Priority 2</w:t>
            </w:r>
          </w:p>
        </w:tc>
        <w:tc>
          <w:tcPr>
            <w:tcW w:w="0" w:type="auto"/>
            <w:hideMark/>
          </w:tcPr>
          <w:p w14:paraId="47381CCD"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Class A revenue but below-median velocity (e.g. select Ring SKUs)</w:t>
            </w:r>
          </w:p>
        </w:tc>
        <w:tc>
          <w:tcPr>
            <w:tcW w:w="0" w:type="auto"/>
            <w:hideMark/>
          </w:tcPr>
          <w:p w14:paraId="4EB5CA4D"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Stock deliberately, smaller batches, monitor weekly</w:t>
            </w:r>
          </w:p>
        </w:tc>
      </w:tr>
      <w:tr w:rsidR="00F81F5F" w:rsidRPr="00F81F5F" w14:paraId="1DA9B61A" w14:textId="77777777" w:rsidTr="00F81F5F">
        <w:trPr>
          <w:jc w:val="center"/>
        </w:trPr>
        <w:tc>
          <w:tcPr>
            <w:tcW w:w="0" w:type="auto"/>
            <w:hideMark/>
          </w:tcPr>
          <w:p w14:paraId="49BA3831"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lastRenderedPageBreak/>
              <w:t>Priority 3</w:t>
            </w:r>
          </w:p>
        </w:tc>
        <w:tc>
          <w:tcPr>
            <w:tcW w:w="0" w:type="auto"/>
            <w:hideMark/>
          </w:tcPr>
          <w:p w14:paraId="080A939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High velocity, Class B/C revenue (e.g. Glow fly Stud)</w:t>
            </w:r>
          </w:p>
        </w:tc>
        <w:tc>
          <w:tcPr>
            <w:tcW w:w="0" w:type="auto"/>
            <w:hideMark/>
          </w:tcPr>
          <w:p w14:paraId="18CD790D"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Restock frequently in small volumes — cheap, fast-turning, low capital risk</w:t>
            </w:r>
          </w:p>
        </w:tc>
      </w:tr>
      <w:tr w:rsidR="00F81F5F" w:rsidRPr="00F81F5F" w14:paraId="28AB8DCE" w14:textId="77777777" w:rsidTr="00F81F5F">
        <w:trPr>
          <w:jc w:val="center"/>
        </w:trPr>
        <w:tc>
          <w:tcPr>
            <w:tcW w:w="0" w:type="auto"/>
            <w:hideMark/>
          </w:tcPr>
          <w:p w14:paraId="12BBB6C6"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De-prioritize</w:t>
            </w:r>
          </w:p>
        </w:tc>
        <w:tc>
          <w:tcPr>
            <w:tcW w:w="0" w:type="auto"/>
            <w:hideMark/>
          </w:tcPr>
          <w:p w14:paraId="465F8DAA"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Bottom-quartile velocity, flagged Ageing Risk (Section 3.1.4)</w:t>
            </w:r>
          </w:p>
        </w:tc>
        <w:tc>
          <w:tcPr>
            <w:tcW w:w="0" w:type="auto"/>
            <w:hideMark/>
          </w:tcPr>
          <w:p w14:paraId="5ACA9463"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Stop standard reordering; clear via bundling/discount before replacing</w:t>
            </w:r>
          </w:p>
        </w:tc>
      </w:tr>
    </w:tbl>
    <w:p w14:paraId="4E20C2BC" w14:textId="3D5F7BBD" w:rsidR="00E74679" w:rsidRPr="00E74679" w:rsidRDefault="00E74679" w:rsidP="00E74679">
      <w:pPr>
        <w:spacing w:after="240"/>
        <w:jc w:val="center"/>
        <w:rPr>
          <w:rFonts w:ascii="Times New Roman" w:hAnsi="Times New Roman" w:cs="Times New Roman"/>
          <w:i/>
          <w:iCs/>
          <w:sz w:val="16"/>
          <w:szCs w:val="16"/>
        </w:rPr>
      </w:pPr>
      <w:r w:rsidRPr="00E74679">
        <w:rPr>
          <w:rFonts w:ascii="Times New Roman" w:hAnsi="Times New Roman" w:cs="Times New Roman"/>
          <w:i/>
          <w:iCs/>
          <w:sz w:val="16"/>
          <w:szCs w:val="16"/>
        </w:rPr>
        <w:t>Table 4.1: Unified Stocking-Priority Matrix</w:t>
      </w:r>
    </w:p>
    <w:p w14:paraId="586BEAA1" w14:textId="39838B81" w:rsidR="00F81F5F" w:rsidRPr="00F81F5F" w:rsidRDefault="00F81F5F" w:rsidP="00F81F5F">
      <w:pPr>
        <w:spacing w:before="240" w:after="240"/>
        <w:rPr>
          <w:rFonts w:ascii="Times New Roman" w:hAnsi="Times New Roman" w:cs="Times New Roman"/>
        </w:rPr>
      </w:pPr>
      <w:r w:rsidRPr="00F81F5F">
        <w:rPr>
          <w:rFonts w:ascii="Times New Roman" w:hAnsi="Times New Roman" w:cs="Times New Roman"/>
        </w:rPr>
        <w:t>This directly operationalizes the flat ABC distribution found in Section 3.1.3 (37 of 75 SKUs needed to reach 70% revenue)</w:t>
      </w:r>
      <w:r w:rsidR="00100C78">
        <w:rPr>
          <w:rFonts w:ascii="Times New Roman" w:hAnsi="Times New Roman" w:cs="Times New Roman"/>
        </w:rPr>
        <w:t xml:space="preserve">. </w:t>
      </w:r>
      <w:r w:rsidR="00100C78" w:rsidRPr="00F81F5F">
        <w:rPr>
          <w:rFonts w:ascii="Times New Roman" w:hAnsi="Times New Roman" w:cs="Times New Roman"/>
        </w:rPr>
        <w:t>S</w:t>
      </w:r>
      <w:r w:rsidRPr="00F81F5F">
        <w:rPr>
          <w:rFonts w:ascii="Times New Roman" w:hAnsi="Times New Roman" w:cs="Times New Roman"/>
        </w:rPr>
        <w:t>ince no small "hero list" exists, the business needs a rule that works across a wide, mixed set of products rather than a short list of bestsellers to watch.</w:t>
      </w:r>
    </w:p>
    <w:p w14:paraId="3F1517AD" w14:textId="77777777" w:rsidR="00F81F5F" w:rsidRPr="00F81F5F" w:rsidRDefault="00F81F5F" w:rsidP="00F81F5F">
      <w:pPr>
        <w:pStyle w:val="Heading2"/>
        <w:rPr>
          <w:rFonts w:ascii="Times New Roman" w:hAnsi="Times New Roman" w:cs="Times New Roman"/>
        </w:rPr>
      </w:pPr>
      <w:bookmarkStart w:id="26" w:name="_Toc236340232"/>
      <w:r w:rsidRPr="00F81F5F">
        <w:rPr>
          <w:rFonts w:ascii="Times New Roman" w:hAnsi="Times New Roman" w:cs="Times New Roman"/>
        </w:rPr>
        <w:t>4.2 Category-Specific Reorder and Buffer Rules</w:t>
      </w:r>
      <w:bookmarkEnd w:id="26"/>
    </w:p>
    <w:p w14:paraId="273A24FC" w14:textId="77777777"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Section 3.1.5 showed Rings carrying by far the highest demand variability (CV 74.2%) against Earrings' relative stability (CV 33.4%), and Section 3.1.6 showed Rings' apparent April growth (+654.5%) was a low-base artefact rather than sustained demand. Together these findings argue against treating all four categories on the same reorder schedule.</w:t>
      </w:r>
    </w:p>
    <w:p w14:paraId="7CA9A8EA" w14:textId="677F780D"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Earrings and Bracelets</w:t>
      </w:r>
      <w:r w:rsidR="00490431">
        <w:rPr>
          <w:rFonts w:ascii="Times New Roman" w:hAnsi="Times New Roman" w:cs="Times New Roman"/>
        </w:rPr>
        <w:t>,</w:t>
      </w:r>
      <w:r w:rsidRPr="00F81F5F">
        <w:rPr>
          <w:rFonts w:ascii="Times New Roman" w:hAnsi="Times New Roman" w:cs="Times New Roman"/>
        </w:rPr>
        <w:t xml:space="preserve"> high-velocity, low-variability, and driving 78% of revenue</w:t>
      </w:r>
      <w:r w:rsidR="00490431">
        <w:rPr>
          <w:rFonts w:ascii="Times New Roman" w:hAnsi="Times New Roman" w:cs="Times New Roman"/>
        </w:rPr>
        <w:t>,</w:t>
      </w:r>
      <w:r w:rsidRPr="00F81F5F">
        <w:rPr>
          <w:rFonts w:ascii="Times New Roman" w:hAnsi="Times New Roman" w:cs="Times New Roman"/>
        </w:rPr>
        <w:t xml:space="preserve"> should follow a standard monthly reorder cycle sized to their trailing 4-week average velocity (7.85 and 5.23 units/week respectively). Rings should instead be reviewed weekly rather than monthly, with a smaller buffer, given its risk of both stockout (during genuine spikes) and overstock (during the frequent lulls implied by its high CV). Neckpieces, with its low overall volume (1.54 units/week) but zero ghost rate and zero returns (Sections 3.2.2, 3.1.7), is best treated as a low-risk experimentation category</w:t>
      </w:r>
      <w:r w:rsidR="00490431">
        <w:rPr>
          <w:rFonts w:ascii="Times New Roman" w:hAnsi="Times New Roman" w:cs="Times New Roman"/>
        </w:rPr>
        <w:t>.</w:t>
      </w:r>
      <w:r w:rsidRPr="00F81F5F">
        <w:rPr>
          <w:rFonts w:ascii="Times New Roman" w:hAnsi="Times New Roman" w:cs="Times New Roman"/>
        </w:rPr>
        <w:t xml:space="preserve"> </w:t>
      </w:r>
      <w:r w:rsidR="00490431" w:rsidRPr="00F81F5F">
        <w:rPr>
          <w:rFonts w:ascii="Times New Roman" w:hAnsi="Times New Roman" w:cs="Times New Roman"/>
        </w:rPr>
        <w:t>A</w:t>
      </w:r>
      <w:r w:rsidRPr="00F81F5F">
        <w:rPr>
          <w:rFonts w:ascii="Times New Roman" w:hAnsi="Times New Roman" w:cs="Times New Roman"/>
        </w:rPr>
        <w:t xml:space="preserve"> good candidate for testing new designs without materially affecting stocking risk.</w:t>
      </w:r>
    </w:p>
    <w:p w14:paraId="13C22341" w14:textId="0C320F0D" w:rsidR="00F81F5F" w:rsidRPr="00F81F5F" w:rsidRDefault="00F81F5F" w:rsidP="00F81F5F">
      <w:pPr>
        <w:pStyle w:val="Heading2"/>
        <w:rPr>
          <w:rFonts w:ascii="Times New Roman" w:hAnsi="Times New Roman" w:cs="Times New Roman"/>
        </w:rPr>
      </w:pPr>
      <w:bookmarkStart w:id="27" w:name="_Toc236340233"/>
      <w:r w:rsidRPr="00F81F5F">
        <w:rPr>
          <w:rFonts w:ascii="Times New Roman" w:hAnsi="Times New Roman" w:cs="Times New Roman"/>
        </w:rPr>
        <w:t>4.3 Leveraging the Price</w:t>
      </w:r>
      <w:r w:rsidR="00490431">
        <w:rPr>
          <w:rFonts w:ascii="Times New Roman" w:hAnsi="Times New Roman" w:cs="Times New Roman"/>
        </w:rPr>
        <w:t>-</w:t>
      </w:r>
      <w:r w:rsidRPr="00F81F5F">
        <w:rPr>
          <w:rFonts w:ascii="Times New Roman" w:hAnsi="Times New Roman" w:cs="Times New Roman"/>
        </w:rPr>
        <w:t>Demand Relationship for New Product Decisions</w:t>
      </w:r>
      <w:bookmarkEnd w:id="27"/>
    </w:p>
    <w:p w14:paraId="19CF2D09" w14:textId="5748B5BB"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 xml:space="preserve">Section 3.1.7's price-vs-velocity analysis (R² = 0.075, </w:t>
      </w:r>
      <w:proofErr w:type="spellStart"/>
      <w:r w:rsidRPr="00F81F5F">
        <w:rPr>
          <w:rFonts w:ascii="Times New Roman" w:hAnsi="Times New Roman" w:cs="Times New Roman"/>
        </w:rPr>
        <w:t>r</w:t>
      </w:r>
      <w:proofErr w:type="spellEnd"/>
      <w:r w:rsidRPr="00F81F5F">
        <w:rPr>
          <w:rFonts w:ascii="Times New Roman" w:hAnsi="Times New Roman" w:cs="Times New Roman"/>
        </w:rPr>
        <w:t xml:space="preserve"> ≈ −0.27) found only a weak relationship between price and quantity sold meaning price alone explains roughly 7.5% of why some products sell more than others. This is a genuinely useful negative finding: it argues against margin-eroding discount campaigns as a volume driver, since price is not the main lever.</w:t>
      </w:r>
    </w:p>
    <w:p w14:paraId="3BFF837E" w14:textId="1717C40F"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w:t>
      </w:r>
      <w:r w:rsidR="00B62A62">
        <w:rPr>
          <w:rFonts w:ascii="Times New Roman" w:hAnsi="Times New Roman" w:cs="Times New Roman"/>
        </w:rPr>
        <w:t>R</w:t>
      </w:r>
      <w:r w:rsidRPr="00F81F5F">
        <w:rPr>
          <w:rFonts w:ascii="Times New Roman" w:hAnsi="Times New Roman" w:cs="Times New Roman"/>
        </w:rPr>
        <w:t>ather than discounting existing slow movers to clear stock (Section 4.1's de-prioritized tier), the business should test expanding proven, fast-moving designs at similar price points</w:t>
      </w:r>
      <w:r w:rsidR="00490431">
        <w:rPr>
          <w:rFonts w:ascii="Times New Roman" w:hAnsi="Times New Roman" w:cs="Times New Roman"/>
        </w:rPr>
        <w:t>,</w:t>
      </w:r>
      <w:r w:rsidRPr="00F81F5F">
        <w:rPr>
          <w:rFonts w:ascii="Times New Roman" w:hAnsi="Times New Roman" w:cs="Times New Roman"/>
        </w:rPr>
        <w:t xml:space="preserve"> for example, additional colourways or finishes of Zenith Spark Anti-Tarnish Earrings (0.85 units/week)</w:t>
      </w:r>
      <w:r w:rsidR="00490431">
        <w:rPr>
          <w:rFonts w:ascii="Times New Roman" w:hAnsi="Times New Roman" w:cs="Times New Roman"/>
        </w:rPr>
        <w:t>,</w:t>
      </w:r>
      <w:r w:rsidRPr="00F81F5F">
        <w:rPr>
          <w:rFonts w:ascii="Times New Roman" w:hAnsi="Times New Roman" w:cs="Times New Roman"/>
        </w:rPr>
        <w:t xml:space="preserve"> since design/category appears to matter more to demand than price positioning.</w:t>
      </w:r>
    </w:p>
    <w:p w14:paraId="54644EB7" w14:textId="77777777" w:rsidR="00F81F5F" w:rsidRPr="00F81F5F" w:rsidRDefault="00F81F5F" w:rsidP="00F81F5F">
      <w:pPr>
        <w:pStyle w:val="Heading2"/>
        <w:rPr>
          <w:rFonts w:ascii="Times New Roman" w:hAnsi="Times New Roman" w:cs="Times New Roman"/>
        </w:rPr>
      </w:pPr>
      <w:bookmarkStart w:id="28" w:name="_Toc236340234"/>
      <w:r w:rsidRPr="00F81F5F">
        <w:rPr>
          <w:rFonts w:ascii="Times New Roman" w:hAnsi="Times New Roman" w:cs="Times New Roman"/>
        </w:rPr>
        <w:t>4.4 Formalizing the Unconfirmed Order Hold Policy</w:t>
      </w:r>
      <w:bookmarkEnd w:id="28"/>
    </w:p>
    <w:p w14:paraId="272CA96F" w14:textId="0052CD06"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Section 3.2.1–3.2.3 established that ghosted holds, while only 19.4% of incidents, account for more total stock-hours blocked (173,957 ₹·hrs) than converted holds (138,871 ₹·hrs), and that ghosted holds run roughly 20x longer (median 85.9 hrs) than converted ones (median 4.6 hrs). Section 3.2.2 further showed ghosting concentrates in Rings (25%) and Earrings (21.4%)</w:t>
      </w:r>
      <w:r w:rsidR="00490431">
        <w:rPr>
          <w:rFonts w:ascii="Times New Roman" w:hAnsi="Times New Roman" w:cs="Times New Roman"/>
        </w:rPr>
        <w:t>;</w:t>
      </w:r>
      <w:r w:rsidRPr="00F81F5F">
        <w:rPr>
          <w:rFonts w:ascii="Times New Roman" w:hAnsi="Times New Roman" w:cs="Times New Roman"/>
        </w:rPr>
        <w:t xml:space="preserve"> precisely the two categories already identified as highest-risk (variability) and highest-velocity (opportunity cost of a blocked sale) respectively. The policy simulation (Section 3.2.5) showed a 24-hour auto-release rule captures all 7 ghosted incidents and recovers the full ₹2,320 in blocked value, versus only 5 of 7 (₹1,813) under 48 hours</w:t>
      </w:r>
      <w:r w:rsidR="00490431">
        <w:rPr>
          <w:rFonts w:ascii="Times New Roman" w:hAnsi="Times New Roman" w:cs="Times New Roman"/>
        </w:rPr>
        <w:t>,</w:t>
      </w:r>
      <w:r w:rsidRPr="00F81F5F">
        <w:rPr>
          <w:rFonts w:ascii="Times New Roman" w:hAnsi="Times New Roman" w:cs="Times New Roman"/>
        </w:rPr>
        <w:t xml:space="preserve"> and converted holds' 75th-percentile duration of just 17.1 hours means a 24-hour window does not meaningfully inconvenience genuine buyers.</w:t>
      </w:r>
    </w:p>
    <w:p w14:paraId="776CD0D3" w14:textId="13A1A459"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w:t>
      </w:r>
      <w:r w:rsidR="00B62A62">
        <w:rPr>
          <w:rFonts w:ascii="Times New Roman" w:hAnsi="Times New Roman" w:cs="Times New Roman"/>
        </w:rPr>
        <w:t>I</w:t>
      </w:r>
      <w:r w:rsidRPr="00F81F5F">
        <w:rPr>
          <w:rFonts w:ascii="Times New Roman" w:hAnsi="Times New Roman" w:cs="Times New Roman"/>
        </w:rPr>
        <w:t>mplement a 24-hour hold window as standard policy for WhatsApp/Facebook reservations, communicated to the customer at the moment the hold is placed, with automatic release and re-listing if payment is not confirmed. Given that ghosting is concentrated in Rings and Earrings, staff should apply extra follow-up (a reminder message at the 12-hour mark) specifically for holds in these two categories rather than uniformly across all holds</w:t>
      </w:r>
      <w:r w:rsidR="00B62A62">
        <w:rPr>
          <w:rFonts w:ascii="Times New Roman" w:hAnsi="Times New Roman" w:cs="Times New Roman"/>
        </w:rPr>
        <w:t>.</w:t>
      </w:r>
      <w:r w:rsidRPr="00F81F5F">
        <w:rPr>
          <w:rFonts w:ascii="Times New Roman" w:hAnsi="Times New Roman" w:cs="Times New Roman"/>
        </w:rPr>
        <w:t xml:space="preserve"> </w:t>
      </w:r>
      <w:r w:rsidR="00B62A62" w:rsidRPr="00F81F5F">
        <w:rPr>
          <w:rFonts w:ascii="Times New Roman" w:hAnsi="Times New Roman" w:cs="Times New Roman"/>
        </w:rPr>
        <w:t>A</w:t>
      </w:r>
      <w:r w:rsidRPr="00F81F5F">
        <w:rPr>
          <w:rFonts w:ascii="Times New Roman" w:hAnsi="Times New Roman" w:cs="Times New Roman"/>
        </w:rPr>
        <w:t xml:space="preserve"> targeted rather than blanket intervention, directly justified by the category breakdown in Section 3.2.2. A longer 48-hour grace </w:t>
      </w:r>
      <w:r w:rsidRPr="00F81F5F">
        <w:rPr>
          <w:rFonts w:ascii="Times New Roman" w:hAnsi="Times New Roman" w:cs="Times New Roman"/>
        </w:rPr>
        <w:lastRenderedPageBreak/>
        <w:t>window can be reserved only for high-value holds (e.g. above ₹1,000), where losing a genuine but slower-deciding customer is costlier than the extra blocked stock-time.</w:t>
      </w:r>
    </w:p>
    <w:p w14:paraId="24943620" w14:textId="77777777" w:rsidR="00F81F5F" w:rsidRPr="00F81F5F" w:rsidRDefault="00F81F5F" w:rsidP="00F81F5F">
      <w:pPr>
        <w:pStyle w:val="Heading2"/>
        <w:rPr>
          <w:rFonts w:ascii="Times New Roman" w:hAnsi="Times New Roman" w:cs="Times New Roman"/>
        </w:rPr>
      </w:pPr>
      <w:bookmarkStart w:id="29" w:name="_Toc236340235"/>
      <w:r w:rsidRPr="00F81F5F">
        <w:rPr>
          <w:rFonts w:ascii="Times New Roman" w:hAnsi="Times New Roman" w:cs="Times New Roman"/>
        </w:rPr>
        <w:t>4.5 Closing the Bargaining Margin Leak</w:t>
      </w:r>
      <w:bookmarkEnd w:id="29"/>
    </w:p>
    <w:p w14:paraId="64ED2CAF" w14:textId="7293F21B"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Section 3.2.4 quantified ₹1,198.44 lost to informal bargaining on converted holds</w:t>
      </w:r>
      <w:r w:rsidR="00B62A62">
        <w:rPr>
          <w:rFonts w:ascii="Times New Roman" w:hAnsi="Times New Roman" w:cs="Times New Roman"/>
        </w:rPr>
        <w:t>;</w:t>
      </w:r>
      <w:r w:rsidRPr="00F81F5F">
        <w:rPr>
          <w:rFonts w:ascii="Times New Roman" w:hAnsi="Times New Roman" w:cs="Times New Roman"/>
        </w:rPr>
        <w:t xml:space="preserve"> a leak entirely </w:t>
      </w:r>
      <w:r w:rsidR="00E74679" w:rsidRPr="00F81F5F">
        <w:rPr>
          <w:rFonts w:ascii="Times New Roman" w:hAnsi="Times New Roman" w:cs="Times New Roman"/>
        </w:rPr>
        <w:t>separates</w:t>
      </w:r>
      <w:r w:rsidRPr="00F81F5F">
        <w:rPr>
          <w:rFonts w:ascii="Times New Roman" w:hAnsi="Times New Roman" w:cs="Times New Roman"/>
        </w:rPr>
        <w:t xml:space="preserve"> from ghosting, since it occurs on transactions that succeed. Because this ₹1,198.44 arose from just 29 converted holds (roughly ₹41 per converted hold, a discount rate that meaningfully erodes margin on lower-priced items), the impact is proportionally larger on cheaper, high-velocity products</w:t>
      </w:r>
      <w:r w:rsidR="00B62A62">
        <w:rPr>
          <w:rFonts w:ascii="Times New Roman" w:hAnsi="Times New Roman" w:cs="Times New Roman"/>
        </w:rPr>
        <w:t>,</w:t>
      </w:r>
      <w:r w:rsidRPr="00F81F5F">
        <w:rPr>
          <w:rFonts w:ascii="Times New Roman" w:hAnsi="Times New Roman" w:cs="Times New Roman"/>
        </w:rPr>
        <w:t xml:space="preserve"> the same Priority 1/3 tier identified in Section 4.1 as the business's core revenue drivers.</w:t>
      </w:r>
    </w:p>
    <w:p w14:paraId="79D82537" w14:textId="15F18AAB"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w:t>
      </w:r>
      <w:r w:rsidR="00B62A62">
        <w:rPr>
          <w:rFonts w:ascii="Times New Roman" w:hAnsi="Times New Roman" w:cs="Times New Roman"/>
        </w:rPr>
        <w:t>I</w:t>
      </w:r>
      <w:r w:rsidRPr="00F81F5F">
        <w:rPr>
          <w:rFonts w:ascii="Times New Roman" w:hAnsi="Times New Roman" w:cs="Times New Roman"/>
        </w:rPr>
        <w:t>ntroduce a fixed discount ceiling (5–10% maximum) applied uniformly at the point of negotiation, communicated as store policy rather than left to case-by-case discretion. This gives staff a defensible, consistent position and protects margin specifically on the fast-moving products where volume already compensates for lower per-unit price</w:t>
      </w:r>
      <w:r w:rsidR="00B62A62">
        <w:rPr>
          <w:rFonts w:ascii="Times New Roman" w:hAnsi="Times New Roman" w:cs="Times New Roman"/>
        </w:rPr>
        <w:t>;</w:t>
      </w:r>
      <w:r w:rsidRPr="00F81F5F">
        <w:rPr>
          <w:rFonts w:ascii="Times New Roman" w:hAnsi="Times New Roman" w:cs="Times New Roman"/>
        </w:rPr>
        <w:t xml:space="preserve"> undiscounted volume is what makes those SKUs profitable in the first place.</w:t>
      </w:r>
    </w:p>
    <w:p w14:paraId="7418A18B" w14:textId="77777777" w:rsidR="00F81F5F" w:rsidRPr="00F81F5F" w:rsidRDefault="00F81F5F" w:rsidP="00F81F5F">
      <w:pPr>
        <w:pStyle w:val="Heading2"/>
        <w:rPr>
          <w:rFonts w:ascii="Times New Roman" w:hAnsi="Times New Roman" w:cs="Times New Roman"/>
        </w:rPr>
      </w:pPr>
      <w:bookmarkStart w:id="30" w:name="_Toc236340236"/>
      <w:r w:rsidRPr="00F81F5F">
        <w:rPr>
          <w:rFonts w:ascii="Times New Roman" w:hAnsi="Times New Roman" w:cs="Times New Roman"/>
        </w:rPr>
        <w:t>4.6 Turning This Analysis into an Ongoing Monitoring Practice</w:t>
      </w:r>
      <w:bookmarkEnd w:id="30"/>
    </w:p>
    <w:p w14:paraId="6FFA475B" w14:textId="77777777"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Every finding in Section 3 was calculated from a one-time manual export and cleaning process (Section 2.2) rather than a live system. Given the business now has a working structure (four linked sheets, defined cleaning rules, and tested formulas for ABC, velocity, CV, ghost rate, and stock-hours), the marginal cost of repeating this analysis monthly is low.</w:t>
      </w:r>
    </w:p>
    <w:p w14:paraId="0B360B22" w14:textId="2B03B8F6" w:rsidR="00F81F5F" w:rsidRPr="00F81F5F" w:rsidRDefault="00F81F5F" w:rsidP="00F81F5F">
      <w:pPr>
        <w:spacing w:after="240"/>
        <w:rPr>
          <w:rFonts w:ascii="Times New Roman" w:hAnsi="Times New Roman" w:cs="Times New Roman"/>
        </w:rPr>
      </w:pPr>
      <w:r w:rsidRPr="00F81F5F">
        <w:rPr>
          <w:rFonts w:ascii="Times New Roman" w:hAnsi="Times New Roman" w:cs="Times New Roman"/>
          <w:b/>
          <w:bCs/>
        </w:rPr>
        <w:t>Recommendation:</w:t>
      </w:r>
      <w:r w:rsidRPr="00F81F5F">
        <w:rPr>
          <w:rFonts w:ascii="Times New Roman" w:hAnsi="Times New Roman" w:cs="Times New Roman"/>
        </w:rPr>
        <w:t xml:space="preserve"> </w:t>
      </w:r>
      <w:r w:rsidR="00B62A62">
        <w:rPr>
          <w:rFonts w:ascii="Times New Roman" w:hAnsi="Times New Roman" w:cs="Times New Roman"/>
        </w:rPr>
        <w:t>R</w:t>
      </w:r>
      <w:r w:rsidRPr="00F81F5F">
        <w:rPr>
          <w:rFonts w:ascii="Times New Roman" w:hAnsi="Times New Roman" w:cs="Times New Roman"/>
        </w:rPr>
        <w:t>e-run this same analysis pipeline monthly rather than treating it as a one-time capstone exercise</w:t>
      </w:r>
      <w:r w:rsidR="00B62A62">
        <w:rPr>
          <w:rFonts w:ascii="Times New Roman" w:hAnsi="Times New Roman" w:cs="Times New Roman"/>
        </w:rPr>
        <w:t xml:space="preserve">, </w:t>
      </w:r>
      <w:r w:rsidRPr="00F81F5F">
        <w:rPr>
          <w:rFonts w:ascii="Times New Roman" w:hAnsi="Times New Roman" w:cs="Times New Roman"/>
        </w:rPr>
        <w:t xml:space="preserve">specifically re-checking (a) </w:t>
      </w:r>
      <w:r w:rsidR="00FE257D" w:rsidRPr="00FE257D">
        <w:rPr>
          <w:rFonts w:ascii="Times New Roman" w:hAnsi="Times New Roman" w:cs="Times New Roman"/>
        </w:rPr>
        <w:t>whether Bracelets/Earrings May growth (Section 3.1.6) is consistent or a seasonal factor related to weddings</w:t>
      </w:r>
      <w:r w:rsidRPr="00F81F5F">
        <w:rPr>
          <w:rFonts w:ascii="Times New Roman" w:hAnsi="Times New Roman" w:cs="Times New Roman"/>
        </w:rPr>
        <w:t>, (b) whether the improving monthly ghost-rate trend (25%</w:t>
      </w:r>
      <w:r w:rsidR="00B62A62">
        <w:rPr>
          <w:rFonts w:ascii="Times New Roman" w:hAnsi="Times New Roman" w:cs="Times New Roman"/>
        </w:rPr>
        <w:t xml:space="preserve"> to </w:t>
      </w:r>
      <w:r w:rsidRPr="00F81F5F">
        <w:rPr>
          <w:rFonts w:ascii="Times New Roman" w:hAnsi="Times New Roman" w:cs="Times New Roman"/>
        </w:rPr>
        <w:t>16.7%, Section 3.2.2) continues once hold volume grows further, and (c) whether the 24-hour policy, once implemented, actually reduces the ghost rate observed in future months. This converts the report from a static snapshot into a baseline the owner can track against going forward.</w:t>
      </w:r>
    </w:p>
    <w:p w14:paraId="114AA474" w14:textId="77777777" w:rsidR="00F81F5F" w:rsidRPr="00F81F5F" w:rsidRDefault="00F81F5F" w:rsidP="00F81F5F">
      <w:pPr>
        <w:pStyle w:val="Heading2"/>
        <w:rPr>
          <w:rFonts w:ascii="Times New Roman" w:hAnsi="Times New Roman" w:cs="Times New Roman"/>
        </w:rPr>
      </w:pPr>
      <w:bookmarkStart w:id="31" w:name="_Toc236340237"/>
      <w:r w:rsidRPr="00F81F5F">
        <w:rPr>
          <w:rFonts w:ascii="Times New Roman" w:hAnsi="Times New Roman" w:cs="Times New Roman"/>
        </w:rPr>
        <w:t>4.7 Implementation Roadmap and Ownership</w:t>
      </w:r>
      <w:bookmarkEnd w:id="31"/>
    </w:p>
    <w:p w14:paraId="7793B9F3" w14:textId="05D0F4E4"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 xml:space="preserve">The recommendations above vary considerably in effort and dependency, and treating them as a </w:t>
      </w:r>
      <w:r w:rsidR="00E74679" w:rsidRPr="00F81F5F">
        <w:rPr>
          <w:rFonts w:ascii="Times New Roman" w:hAnsi="Times New Roman" w:cs="Times New Roman"/>
        </w:rPr>
        <w:t>single simultaneous rollout risk</w:t>
      </w:r>
      <w:r w:rsidRPr="00F81F5F">
        <w:rPr>
          <w:rFonts w:ascii="Times New Roman" w:hAnsi="Times New Roman" w:cs="Times New Roman"/>
        </w:rPr>
        <w:t xml:space="preserve"> none of them being executed well. They are sequenced here by ease of implementation and by how much each subsequent step depends on the one before it.</w:t>
      </w:r>
    </w:p>
    <w:tbl>
      <w:tblPr>
        <w:tblStyle w:val="TableGrid"/>
        <w:tblW w:w="0" w:type="auto"/>
        <w:jc w:val="center"/>
        <w:tblLook w:val="04A0" w:firstRow="1" w:lastRow="0" w:firstColumn="1" w:lastColumn="0" w:noHBand="0" w:noVBand="1"/>
      </w:tblPr>
      <w:tblGrid>
        <w:gridCol w:w="766"/>
        <w:gridCol w:w="2130"/>
        <w:gridCol w:w="2246"/>
        <w:gridCol w:w="1742"/>
        <w:gridCol w:w="2132"/>
      </w:tblGrid>
      <w:tr w:rsidR="00F81F5F" w:rsidRPr="00F81F5F" w14:paraId="2D1CEA8D" w14:textId="77777777" w:rsidTr="00F81F5F">
        <w:trPr>
          <w:jc w:val="center"/>
        </w:trPr>
        <w:tc>
          <w:tcPr>
            <w:tcW w:w="0" w:type="auto"/>
            <w:hideMark/>
          </w:tcPr>
          <w:p w14:paraId="795187E0"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Phase</w:t>
            </w:r>
          </w:p>
        </w:tc>
        <w:tc>
          <w:tcPr>
            <w:tcW w:w="0" w:type="auto"/>
            <w:hideMark/>
          </w:tcPr>
          <w:p w14:paraId="47D68C18"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Recommendation</w:t>
            </w:r>
          </w:p>
        </w:tc>
        <w:tc>
          <w:tcPr>
            <w:tcW w:w="0" w:type="auto"/>
            <w:hideMark/>
          </w:tcPr>
          <w:p w14:paraId="0CC947F8"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Owner</w:t>
            </w:r>
          </w:p>
        </w:tc>
        <w:tc>
          <w:tcPr>
            <w:tcW w:w="0" w:type="auto"/>
            <w:hideMark/>
          </w:tcPr>
          <w:p w14:paraId="20DAA101"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Timeframe</w:t>
            </w:r>
          </w:p>
        </w:tc>
        <w:tc>
          <w:tcPr>
            <w:tcW w:w="0" w:type="auto"/>
            <w:hideMark/>
          </w:tcPr>
          <w:p w14:paraId="7E5F67C5"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Dependency</w:t>
            </w:r>
          </w:p>
        </w:tc>
      </w:tr>
      <w:tr w:rsidR="00F81F5F" w:rsidRPr="00F81F5F" w14:paraId="41E54EAA" w14:textId="77777777" w:rsidTr="00F81F5F">
        <w:trPr>
          <w:jc w:val="center"/>
        </w:trPr>
        <w:tc>
          <w:tcPr>
            <w:tcW w:w="0" w:type="auto"/>
            <w:hideMark/>
          </w:tcPr>
          <w:p w14:paraId="495EF1F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1</w:t>
            </w:r>
          </w:p>
        </w:tc>
        <w:tc>
          <w:tcPr>
            <w:tcW w:w="0" w:type="auto"/>
            <w:hideMark/>
          </w:tcPr>
          <w:p w14:paraId="5A75B3A0"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Bargaining discount ceiling (Section 4.5)</w:t>
            </w:r>
          </w:p>
        </w:tc>
        <w:tc>
          <w:tcPr>
            <w:tcW w:w="0" w:type="auto"/>
            <w:hideMark/>
          </w:tcPr>
          <w:p w14:paraId="7078D69E"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Shop owner / staff</w:t>
            </w:r>
          </w:p>
        </w:tc>
        <w:tc>
          <w:tcPr>
            <w:tcW w:w="0" w:type="auto"/>
            <w:hideMark/>
          </w:tcPr>
          <w:p w14:paraId="66CE4EE7" w14:textId="3E1F09EF" w:rsidR="00F81F5F" w:rsidRPr="00F81F5F" w:rsidRDefault="00F81F5F" w:rsidP="00F81F5F">
            <w:pPr>
              <w:rPr>
                <w:rFonts w:ascii="Times New Roman" w:hAnsi="Times New Roman" w:cs="Times New Roman"/>
              </w:rPr>
            </w:pPr>
            <w:r w:rsidRPr="00F81F5F">
              <w:rPr>
                <w:rFonts w:ascii="Times New Roman" w:hAnsi="Times New Roman" w:cs="Times New Roman"/>
              </w:rPr>
              <w:t>Immediate</w:t>
            </w:r>
            <w:r w:rsidR="00B62A62">
              <w:rPr>
                <w:rFonts w:ascii="Times New Roman" w:hAnsi="Times New Roman" w:cs="Times New Roman"/>
              </w:rPr>
              <w:t xml:space="preserve">, </w:t>
            </w:r>
            <w:r w:rsidRPr="00F81F5F">
              <w:rPr>
                <w:rFonts w:ascii="Times New Roman" w:hAnsi="Times New Roman" w:cs="Times New Roman"/>
              </w:rPr>
              <w:t>communicable verbally within a day</w:t>
            </w:r>
          </w:p>
        </w:tc>
        <w:tc>
          <w:tcPr>
            <w:tcW w:w="0" w:type="auto"/>
            <w:hideMark/>
          </w:tcPr>
          <w:p w14:paraId="13B5D627" w14:textId="5CD13E93" w:rsidR="00F81F5F" w:rsidRPr="00F81F5F" w:rsidRDefault="00F81F5F" w:rsidP="00F81F5F">
            <w:pPr>
              <w:rPr>
                <w:rFonts w:ascii="Times New Roman" w:hAnsi="Times New Roman" w:cs="Times New Roman"/>
              </w:rPr>
            </w:pPr>
            <w:r w:rsidRPr="00F81F5F">
              <w:rPr>
                <w:rFonts w:ascii="Times New Roman" w:hAnsi="Times New Roman" w:cs="Times New Roman"/>
              </w:rPr>
              <w:t>None</w:t>
            </w:r>
            <w:r w:rsidR="00B62A62">
              <w:rPr>
                <w:rFonts w:ascii="Times New Roman" w:hAnsi="Times New Roman" w:cs="Times New Roman"/>
              </w:rPr>
              <w:t xml:space="preserve">, </w:t>
            </w:r>
            <w:r w:rsidRPr="00F81F5F">
              <w:rPr>
                <w:rFonts w:ascii="Times New Roman" w:hAnsi="Times New Roman" w:cs="Times New Roman"/>
              </w:rPr>
              <w:t>can start today</w:t>
            </w:r>
          </w:p>
        </w:tc>
      </w:tr>
      <w:tr w:rsidR="00F81F5F" w:rsidRPr="00F81F5F" w14:paraId="5C3493B5" w14:textId="77777777" w:rsidTr="00F81F5F">
        <w:trPr>
          <w:jc w:val="center"/>
        </w:trPr>
        <w:tc>
          <w:tcPr>
            <w:tcW w:w="0" w:type="auto"/>
            <w:hideMark/>
          </w:tcPr>
          <w:p w14:paraId="1507A7F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2</w:t>
            </w:r>
          </w:p>
        </w:tc>
        <w:tc>
          <w:tcPr>
            <w:tcW w:w="0" w:type="auto"/>
            <w:hideMark/>
          </w:tcPr>
          <w:p w14:paraId="61C2E71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24-hour hold policy + category-specific follow-up (Section 4.4)</w:t>
            </w:r>
          </w:p>
        </w:tc>
        <w:tc>
          <w:tcPr>
            <w:tcW w:w="0" w:type="auto"/>
            <w:hideMark/>
          </w:tcPr>
          <w:p w14:paraId="0D28916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Shop owner, communicated via WhatsApp/Facebook</w:t>
            </w:r>
          </w:p>
        </w:tc>
        <w:tc>
          <w:tcPr>
            <w:tcW w:w="0" w:type="auto"/>
            <w:hideMark/>
          </w:tcPr>
          <w:p w14:paraId="685F2F20"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Within 1 week</w:t>
            </w:r>
          </w:p>
        </w:tc>
        <w:tc>
          <w:tcPr>
            <w:tcW w:w="0" w:type="auto"/>
            <w:hideMark/>
          </w:tcPr>
          <w:p w14:paraId="269FD17E"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Requires a simple message template; no system change needed</w:t>
            </w:r>
          </w:p>
        </w:tc>
      </w:tr>
      <w:tr w:rsidR="00F81F5F" w:rsidRPr="00F81F5F" w14:paraId="07EAA490" w14:textId="77777777" w:rsidTr="00F81F5F">
        <w:trPr>
          <w:jc w:val="center"/>
        </w:trPr>
        <w:tc>
          <w:tcPr>
            <w:tcW w:w="0" w:type="auto"/>
            <w:hideMark/>
          </w:tcPr>
          <w:p w14:paraId="681364C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w:t>
            </w:r>
          </w:p>
        </w:tc>
        <w:tc>
          <w:tcPr>
            <w:tcW w:w="0" w:type="auto"/>
            <w:hideMark/>
          </w:tcPr>
          <w:p w14:paraId="4B0E71A6"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Stocking-priority matrix and category-specific reorder cycles (Sections 4.1–4.2)</w:t>
            </w:r>
          </w:p>
        </w:tc>
        <w:tc>
          <w:tcPr>
            <w:tcW w:w="0" w:type="auto"/>
            <w:hideMark/>
          </w:tcPr>
          <w:p w14:paraId="042AC61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Owner, applied at next restock cycle</w:t>
            </w:r>
          </w:p>
        </w:tc>
        <w:tc>
          <w:tcPr>
            <w:tcW w:w="0" w:type="auto"/>
            <w:hideMark/>
          </w:tcPr>
          <w:p w14:paraId="77FE69E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Within 2–4 weeks (aligned to next Mandi/supplier order)</w:t>
            </w:r>
          </w:p>
        </w:tc>
        <w:tc>
          <w:tcPr>
            <w:tcW w:w="0" w:type="auto"/>
            <w:hideMark/>
          </w:tcPr>
          <w:p w14:paraId="76326F7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Requires the Product Summary sheet's ABC/velocity/CV columns to be kept updated</w:t>
            </w:r>
          </w:p>
        </w:tc>
      </w:tr>
      <w:tr w:rsidR="00F81F5F" w:rsidRPr="00F81F5F" w14:paraId="120C5E27" w14:textId="77777777" w:rsidTr="00F81F5F">
        <w:trPr>
          <w:jc w:val="center"/>
        </w:trPr>
        <w:tc>
          <w:tcPr>
            <w:tcW w:w="0" w:type="auto"/>
            <w:hideMark/>
          </w:tcPr>
          <w:p w14:paraId="4FB7DFAF"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4</w:t>
            </w:r>
          </w:p>
        </w:tc>
        <w:tc>
          <w:tcPr>
            <w:tcW w:w="0" w:type="auto"/>
            <w:hideMark/>
          </w:tcPr>
          <w:p w14:paraId="5C0D1F5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Monthly re-run of the analysis pipeline (Section 4.6)</w:t>
            </w:r>
          </w:p>
        </w:tc>
        <w:tc>
          <w:tcPr>
            <w:tcW w:w="0" w:type="auto"/>
            <w:hideMark/>
          </w:tcPr>
          <w:p w14:paraId="7E77C2C9"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Owner or a family member comfortable with the spreadsheet</w:t>
            </w:r>
          </w:p>
        </w:tc>
        <w:tc>
          <w:tcPr>
            <w:tcW w:w="0" w:type="auto"/>
            <w:hideMark/>
          </w:tcPr>
          <w:p w14:paraId="5378A117"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Ongoing, starting the following month</w:t>
            </w:r>
          </w:p>
        </w:tc>
        <w:tc>
          <w:tcPr>
            <w:tcW w:w="0" w:type="auto"/>
            <w:hideMark/>
          </w:tcPr>
          <w:p w14:paraId="55C8C3C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Requires Phases 1–3 to be in place first, so the monthly check has a policy to measure against</w:t>
            </w:r>
          </w:p>
        </w:tc>
      </w:tr>
    </w:tbl>
    <w:p w14:paraId="39E2B5D5" w14:textId="6D70C101" w:rsidR="00E74679" w:rsidRPr="00E74679" w:rsidRDefault="00E74679" w:rsidP="00E74679">
      <w:pPr>
        <w:spacing w:after="240"/>
        <w:jc w:val="center"/>
        <w:rPr>
          <w:rFonts w:ascii="Times New Roman" w:hAnsi="Times New Roman" w:cs="Times New Roman"/>
          <w:i/>
          <w:iCs/>
          <w:sz w:val="16"/>
          <w:szCs w:val="16"/>
        </w:rPr>
      </w:pPr>
      <w:r w:rsidRPr="00E74679">
        <w:rPr>
          <w:rFonts w:ascii="Times New Roman" w:hAnsi="Times New Roman" w:cs="Times New Roman"/>
          <w:i/>
          <w:iCs/>
          <w:sz w:val="16"/>
          <w:szCs w:val="16"/>
        </w:rPr>
        <w:t>Table 4.2: Implementation Roadmap by Phase</w:t>
      </w:r>
    </w:p>
    <w:p w14:paraId="7F84A700" w14:textId="5D09743D" w:rsidR="00F81F5F" w:rsidRPr="00F81F5F" w:rsidRDefault="00F81F5F" w:rsidP="00F81F5F">
      <w:pPr>
        <w:spacing w:before="240" w:after="240"/>
        <w:rPr>
          <w:rFonts w:ascii="Times New Roman" w:hAnsi="Times New Roman" w:cs="Times New Roman"/>
        </w:rPr>
      </w:pPr>
      <w:r w:rsidRPr="00F81F5F">
        <w:rPr>
          <w:rFonts w:ascii="Times New Roman" w:hAnsi="Times New Roman" w:cs="Times New Roman"/>
        </w:rPr>
        <w:lastRenderedPageBreak/>
        <w:t>Phases 1 and 2 require no new tooling or investment</w:t>
      </w:r>
      <w:r w:rsidR="00B62A62">
        <w:rPr>
          <w:rFonts w:ascii="Times New Roman" w:hAnsi="Times New Roman" w:cs="Times New Roman"/>
        </w:rPr>
        <w:t xml:space="preserve">, </w:t>
      </w:r>
      <w:r w:rsidRPr="00F81F5F">
        <w:rPr>
          <w:rFonts w:ascii="Times New Roman" w:hAnsi="Times New Roman" w:cs="Times New Roman"/>
        </w:rPr>
        <w:t>only policy and communication changes</w:t>
      </w:r>
      <w:r w:rsidR="00B62A62">
        <w:rPr>
          <w:rFonts w:ascii="Times New Roman" w:hAnsi="Times New Roman" w:cs="Times New Roman"/>
        </w:rPr>
        <w:t xml:space="preserve">, </w:t>
      </w:r>
      <w:r w:rsidRPr="00F81F5F">
        <w:rPr>
          <w:rFonts w:ascii="Times New Roman" w:hAnsi="Times New Roman" w:cs="Times New Roman"/>
        </w:rPr>
        <w:t xml:space="preserve">while Phase 3 requires the owner to act differently at the point of restocking, and Phase 4 only becomes meaningful once a stable policy exists to track. Attempting Phase 4 before Phases 1–3 </w:t>
      </w:r>
      <w:r w:rsidR="0021750C" w:rsidRPr="00F81F5F">
        <w:rPr>
          <w:rFonts w:ascii="Times New Roman" w:hAnsi="Times New Roman" w:cs="Times New Roman"/>
        </w:rPr>
        <w:t>is</w:t>
      </w:r>
      <w:r w:rsidRPr="00F81F5F">
        <w:rPr>
          <w:rFonts w:ascii="Times New Roman" w:hAnsi="Times New Roman" w:cs="Times New Roman"/>
        </w:rPr>
        <w:t xml:space="preserve"> running would produce a monitoring exercise with nothing new to monitor.</w:t>
      </w:r>
    </w:p>
    <w:p w14:paraId="1F07AAFB" w14:textId="77777777" w:rsidR="00F81F5F" w:rsidRPr="00F81F5F" w:rsidRDefault="00F81F5F" w:rsidP="00F81F5F">
      <w:pPr>
        <w:pStyle w:val="Heading2"/>
        <w:rPr>
          <w:rFonts w:ascii="Times New Roman" w:hAnsi="Times New Roman" w:cs="Times New Roman"/>
        </w:rPr>
      </w:pPr>
      <w:bookmarkStart w:id="32" w:name="_Toc236340238"/>
      <w:r w:rsidRPr="00F81F5F">
        <w:rPr>
          <w:rFonts w:ascii="Times New Roman" w:hAnsi="Times New Roman" w:cs="Times New Roman"/>
        </w:rPr>
        <w:t>4.8 Risk of Inaction</w:t>
      </w:r>
      <w:bookmarkEnd w:id="32"/>
    </w:p>
    <w:p w14:paraId="04371BF4" w14:textId="29DDC298"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 xml:space="preserve">It is worth stating plainly what continues to happen if none of Sections 4.1–4.6 are adopted, since this frames the recommendations as addressing an active, ongoing cost rather than a hypothetical one. At the current ghost rate (19.4%) and bargaining leakage rate (~₹41 per converted hold), the business will continue losing an amount comparable to the ₹3,518.44 identified in Section 4.9 in every future three-month window of similar hold volume and as the business grows (hold volume already rose from 8 incidents in March to 18 in May, Section 3.2.2), the absolute ₹ exposure grows proportionally even if the </w:t>
      </w:r>
      <w:r w:rsidRPr="00F81F5F">
        <w:rPr>
          <w:rFonts w:ascii="Times New Roman" w:hAnsi="Times New Roman" w:cs="Times New Roman"/>
          <w:i/>
          <w:iCs/>
        </w:rPr>
        <w:t>rate</w:t>
      </w:r>
      <w:r w:rsidRPr="00F81F5F">
        <w:rPr>
          <w:rFonts w:ascii="Times New Roman" w:hAnsi="Times New Roman" w:cs="Times New Roman"/>
        </w:rPr>
        <w:t xml:space="preserve"> of ghosting stays flat. Similarly, continuing to reorder Rings on the same schedule as Earrings and Bracelets (Section 4.2) risks either repeated stockouts during genuine demand spikes or accumulating dead stock during the category's frequent lulls</w:t>
      </w:r>
      <w:r w:rsidR="00B62A62">
        <w:rPr>
          <w:rFonts w:ascii="Times New Roman" w:hAnsi="Times New Roman" w:cs="Times New Roman"/>
        </w:rPr>
        <w:t>;</w:t>
      </w:r>
      <w:r w:rsidRPr="00F81F5F">
        <w:rPr>
          <w:rFonts w:ascii="Times New Roman" w:hAnsi="Times New Roman" w:cs="Times New Roman"/>
        </w:rPr>
        <w:t xml:space="preserve"> both outcomes the demand-variability analysis in Section 3.1.5 specifically predicts. None of these are one-time losses; they compound with the same regularity as the sales themselves.</w:t>
      </w:r>
    </w:p>
    <w:p w14:paraId="51381F07" w14:textId="77777777" w:rsidR="00F81F5F" w:rsidRPr="00F81F5F" w:rsidRDefault="00F81F5F" w:rsidP="00F81F5F">
      <w:pPr>
        <w:pStyle w:val="Heading2"/>
        <w:rPr>
          <w:rFonts w:ascii="Times New Roman" w:hAnsi="Times New Roman" w:cs="Times New Roman"/>
        </w:rPr>
      </w:pPr>
      <w:bookmarkStart w:id="33" w:name="_Toc236340239"/>
      <w:r w:rsidRPr="00F81F5F">
        <w:rPr>
          <w:rFonts w:ascii="Times New Roman" w:hAnsi="Times New Roman" w:cs="Times New Roman"/>
        </w:rPr>
        <w:t>4.9 Expected Combined Financial Impact</w:t>
      </w:r>
      <w:bookmarkEnd w:id="33"/>
    </w:p>
    <w:p w14:paraId="407E0FF4" w14:textId="4B354FFF"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 xml:space="preserve">Taken together, the two hold-management recommendations alone (24-hour auto-release policy, Section 4.4; bargaining cap, Section 4.5) directly address ₹2,320 + ₹1,198.44 = </w:t>
      </w:r>
      <w:r w:rsidRPr="00F81F5F">
        <w:rPr>
          <w:rFonts w:ascii="Times New Roman" w:hAnsi="Times New Roman" w:cs="Times New Roman"/>
          <w:b/>
          <w:bCs/>
        </w:rPr>
        <w:t>₹3,518.44</w:t>
      </w:r>
      <w:r w:rsidRPr="00F81F5F">
        <w:rPr>
          <w:rFonts w:ascii="Times New Roman" w:hAnsi="Times New Roman" w:cs="Times New Roman"/>
        </w:rPr>
        <w:t xml:space="preserve"> in identified, quantified monthly leakage</w:t>
      </w:r>
      <w:r w:rsidR="00B62A62">
        <w:rPr>
          <w:rFonts w:ascii="Times New Roman" w:hAnsi="Times New Roman" w:cs="Times New Roman"/>
        </w:rPr>
        <w:t>,</w:t>
      </w:r>
      <w:r w:rsidRPr="00F81F5F">
        <w:rPr>
          <w:rFonts w:ascii="Times New Roman" w:hAnsi="Times New Roman" w:cs="Times New Roman"/>
        </w:rPr>
        <w:t xml:space="preserve"> equivalent to roughly 6.5% of the ₹54,200 total revenue </w:t>
      </w:r>
      <w:r w:rsidR="0021750C" w:rsidRPr="00F81F5F">
        <w:rPr>
          <w:rFonts w:ascii="Times New Roman" w:hAnsi="Times New Roman" w:cs="Times New Roman"/>
        </w:rPr>
        <w:t>analysed</w:t>
      </w:r>
      <w:r w:rsidRPr="00F81F5F">
        <w:rPr>
          <w:rFonts w:ascii="Times New Roman" w:hAnsi="Times New Roman" w:cs="Times New Roman"/>
        </w:rPr>
        <w:t xml:space="preserve"> over the same three-month period. This is a conservative floor, not a full estimate: it does not include the additional, harder-to-quantify benefit of freeing blocked stock-hours (Section 3.2.3) for resale to other customers, or the effect of better-targeted restocking (Section 4.1) reducing lost sales from the ageing-risk SKUs identified in Section 3.1.4.</w:t>
      </w:r>
    </w:p>
    <w:p w14:paraId="58167A0B" w14:textId="77777777" w:rsidR="00F81F5F" w:rsidRPr="00F81F5F" w:rsidRDefault="00F81F5F" w:rsidP="00F81F5F">
      <w:pPr>
        <w:pStyle w:val="Heading2"/>
        <w:rPr>
          <w:rFonts w:ascii="Times New Roman" w:hAnsi="Times New Roman" w:cs="Times New Roman"/>
        </w:rPr>
      </w:pPr>
      <w:bookmarkStart w:id="34" w:name="_Toc236340240"/>
      <w:r w:rsidRPr="00F81F5F">
        <w:rPr>
          <w:rFonts w:ascii="Times New Roman" w:hAnsi="Times New Roman" w:cs="Times New Roman"/>
        </w:rPr>
        <w:t>4.10 Key Performance Indicators to Track Post-Implementation</w:t>
      </w:r>
      <w:bookmarkEnd w:id="34"/>
    </w:p>
    <w:p w14:paraId="7154DB6C" w14:textId="1F0C1399" w:rsidR="00F81F5F" w:rsidRPr="00F81F5F" w:rsidRDefault="00F81F5F" w:rsidP="00F81F5F">
      <w:pPr>
        <w:spacing w:after="240"/>
        <w:rPr>
          <w:rFonts w:ascii="Times New Roman" w:hAnsi="Times New Roman" w:cs="Times New Roman"/>
        </w:rPr>
      </w:pPr>
      <w:r w:rsidRPr="00F81F5F">
        <w:rPr>
          <w:rFonts w:ascii="Times New Roman" w:hAnsi="Times New Roman" w:cs="Times New Roman"/>
        </w:rPr>
        <w:t>To evaluate whether the recommendations above are actually working</w:t>
      </w:r>
      <w:r w:rsidR="00B62A62">
        <w:rPr>
          <w:rFonts w:ascii="Times New Roman" w:hAnsi="Times New Roman" w:cs="Times New Roman"/>
        </w:rPr>
        <w:t>,</w:t>
      </w:r>
      <w:r w:rsidRPr="00F81F5F">
        <w:rPr>
          <w:rFonts w:ascii="Times New Roman" w:hAnsi="Times New Roman" w:cs="Times New Roman"/>
        </w:rPr>
        <w:t xml:space="preserve"> rather than assuming they are once implemented</w:t>
      </w:r>
      <w:r w:rsidR="00B62A62">
        <w:rPr>
          <w:rFonts w:ascii="Times New Roman" w:hAnsi="Times New Roman" w:cs="Times New Roman"/>
        </w:rPr>
        <w:t>,</w:t>
      </w:r>
      <w:r w:rsidRPr="00F81F5F">
        <w:rPr>
          <w:rFonts w:ascii="Times New Roman" w:hAnsi="Times New Roman" w:cs="Times New Roman"/>
        </w:rPr>
        <w:t xml:space="preserve"> the following indicators, all already calculable from the existing four-sheet structure (Section 2.1), should be tracked monthly going forward:</w:t>
      </w:r>
    </w:p>
    <w:tbl>
      <w:tblPr>
        <w:tblStyle w:val="TableGrid"/>
        <w:tblW w:w="0" w:type="auto"/>
        <w:jc w:val="center"/>
        <w:tblLook w:val="04A0" w:firstRow="1" w:lastRow="0" w:firstColumn="1" w:lastColumn="0" w:noHBand="0" w:noVBand="1"/>
      </w:tblPr>
      <w:tblGrid>
        <w:gridCol w:w="2368"/>
        <w:gridCol w:w="1833"/>
        <w:gridCol w:w="3679"/>
        <w:gridCol w:w="1136"/>
      </w:tblGrid>
      <w:tr w:rsidR="00F81F5F" w:rsidRPr="00F81F5F" w14:paraId="422974A0" w14:textId="77777777" w:rsidTr="00F81F5F">
        <w:trPr>
          <w:jc w:val="center"/>
        </w:trPr>
        <w:tc>
          <w:tcPr>
            <w:tcW w:w="0" w:type="auto"/>
            <w:hideMark/>
          </w:tcPr>
          <w:p w14:paraId="5F72BFDC"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KPI</w:t>
            </w:r>
          </w:p>
        </w:tc>
        <w:tc>
          <w:tcPr>
            <w:tcW w:w="0" w:type="auto"/>
            <w:hideMark/>
          </w:tcPr>
          <w:p w14:paraId="50373E0D"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Current Baseline</w:t>
            </w:r>
          </w:p>
        </w:tc>
        <w:tc>
          <w:tcPr>
            <w:tcW w:w="0" w:type="auto"/>
            <w:hideMark/>
          </w:tcPr>
          <w:p w14:paraId="72545E79"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Target After Implementation</w:t>
            </w:r>
          </w:p>
        </w:tc>
        <w:tc>
          <w:tcPr>
            <w:tcW w:w="0" w:type="auto"/>
            <w:hideMark/>
          </w:tcPr>
          <w:p w14:paraId="29B93B6C" w14:textId="77777777" w:rsidR="00F81F5F" w:rsidRPr="00F81F5F" w:rsidRDefault="00F81F5F" w:rsidP="00F81F5F">
            <w:pPr>
              <w:rPr>
                <w:rFonts w:ascii="Times New Roman" w:hAnsi="Times New Roman" w:cs="Times New Roman"/>
                <w:b/>
                <w:bCs/>
              </w:rPr>
            </w:pPr>
            <w:r w:rsidRPr="00F81F5F">
              <w:rPr>
                <w:rFonts w:ascii="Times New Roman" w:hAnsi="Times New Roman" w:cs="Times New Roman"/>
                <w:b/>
                <w:bCs/>
              </w:rPr>
              <w:t>Source Section</w:t>
            </w:r>
          </w:p>
        </w:tc>
      </w:tr>
      <w:tr w:rsidR="00F81F5F" w:rsidRPr="00F81F5F" w14:paraId="7F780CE5" w14:textId="77777777" w:rsidTr="00F81F5F">
        <w:trPr>
          <w:jc w:val="center"/>
        </w:trPr>
        <w:tc>
          <w:tcPr>
            <w:tcW w:w="0" w:type="auto"/>
            <w:hideMark/>
          </w:tcPr>
          <w:p w14:paraId="4B6C0886"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Overall ghost rate</w:t>
            </w:r>
          </w:p>
        </w:tc>
        <w:tc>
          <w:tcPr>
            <w:tcW w:w="0" w:type="auto"/>
            <w:hideMark/>
          </w:tcPr>
          <w:p w14:paraId="0A8FD3D3"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19.4%</w:t>
            </w:r>
          </w:p>
        </w:tc>
        <w:tc>
          <w:tcPr>
            <w:tcW w:w="0" w:type="auto"/>
            <w:hideMark/>
          </w:tcPr>
          <w:p w14:paraId="4ABE02A5"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Below 15% within 2 months of the 24-hour policy</w:t>
            </w:r>
          </w:p>
        </w:tc>
        <w:tc>
          <w:tcPr>
            <w:tcW w:w="0" w:type="auto"/>
            <w:hideMark/>
          </w:tcPr>
          <w:p w14:paraId="7678483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3.2.1</w:t>
            </w:r>
          </w:p>
        </w:tc>
      </w:tr>
      <w:tr w:rsidR="00F81F5F" w:rsidRPr="00F81F5F" w14:paraId="34F9E58D" w14:textId="77777777" w:rsidTr="00F81F5F">
        <w:trPr>
          <w:jc w:val="center"/>
        </w:trPr>
        <w:tc>
          <w:tcPr>
            <w:tcW w:w="0" w:type="auto"/>
            <w:hideMark/>
          </w:tcPr>
          <w:p w14:paraId="3B93AAFF" w14:textId="75824642" w:rsidR="00F81F5F" w:rsidRPr="00F81F5F" w:rsidRDefault="00F81F5F" w:rsidP="00F81F5F">
            <w:pPr>
              <w:rPr>
                <w:rFonts w:ascii="Times New Roman" w:hAnsi="Times New Roman" w:cs="Times New Roman"/>
              </w:rPr>
            </w:pPr>
            <w:r w:rsidRPr="00F81F5F">
              <w:rPr>
                <w:rFonts w:ascii="Times New Roman" w:hAnsi="Times New Roman" w:cs="Times New Roman"/>
              </w:rPr>
              <w:t>Ghost rate</w:t>
            </w:r>
            <w:r w:rsidR="00B62A62">
              <w:rPr>
                <w:rFonts w:ascii="Times New Roman" w:hAnsi="Times New Roman" w:cs="Times New Roman"/>
              </w:rPr>
              <w:t>:</w:t>
            </w:r>
            <w:r w:rsidRPr="00F81F5F">
              <w:rPr>
                <w:rFonts w:ascii="Times New Roman" w:hAnsi="Times New Roman" w:cs="Times New Roman"/>
              </w:rPr>
              <w:t xml:space="preserve"> Rings &amp; Earrings specifically</w:t>
            </w:r>
          </w:p>
        </w:tc>
        <w:tc>
          <w:tcPr>
            <w:tcW w:w="0" w:type="auto"/>
            <w:hideMark/>
          </w:tcPr>
          <w:p w14:paraId="2B13D19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25.0% / 21.4%</w:t>
            </w:r>
          </w:p>
        </w:tc>
        <w:tc>
          <w:tcPr>
            <w:tcW w:w="0" w:type="auto"/>
            <w:hideMark/>
          </w:tcPr>
          <w:p w14:paraId="325BE58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Convergence toward the overall average</w:t>
            </w:r>
          </w:p>
        </w:tc>
        <w:tc>
          <w:tcPr>
            <w:tcW w:w="0" w:type="auto"/>
            <w:hideMark/>
          </w:tcPr>
          <w:p w14:paraId="0A81E9FB"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3.2.2</w:t>
            </w:r>
          </w:p>
        </w:tc>
      </w:tr>
      <w:tr w:rsidR="00F81F5F" w:rsidRPr="00F81F5F" w14:paraId="69B8013A" w14:textId="77777777" w:rsidTr="00F81F5F">
        <w:trPr>
          <w:jc w:val="center"/>
        </w:trPr>
        <w:tc>
          <w:tcPr>
            <w:tcW w:w="0" w:type="auto"/>
            <w:hideMark/>
          </w:tcPr>
          <w:p w14:paraId="71E821DE"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Average bargaining discount per converted hold</w:t>
            </w:r>
          </w:p>
        </w:tc>
        <w:tc>
          <w:tcPr>
            <w:tcW w:w="0" w:type="auto"/>
            <w:hideMark/>
          </w:tcPr>
          <w:p w14:paraId="71684512"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~₹41</w:t>
            </w:r>
          </w:p>
        </w:tc>
        <w:tc>
          <w:tcPr>
            <w:tcW w:w="0" w:type="auto"/>
            <w:hideMark/>
          </w:tcPr>
          <w:p w14:paraId="482EB475"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Below the new 5–10% ceiling on 100% of converted holds</w:t>
            </w:r>
          </w:p>
        </w:tc>
        <w:tc>
          <w:tcPr>
            <w:tcW w:w="0" w:type="auto"/>
            <w:hideMark/>
          </w:tcPr>
          <w:p w14:paraId="42CDBC27"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3.2.4</w:t>
            </w:r>
          </w:p>
        </w:tc>
      </w:tr>
      <w:tr w:rsidR="00F81F5F" w:rsidRPr="00F81F5F" w14:paraId="2BC4D1D6" w14:textId="77777777" w:rsidTr="00F81F5F">
        <w:trPr>
          <w:jc w:val="center"/>
        </w:trPr>
        <w:tc>
          <w:tcPr>
            <w:tcW w:w="0" w:type="auto"/>
            <w:hideMark/>
          </w:tcPr>
          <w:p w14:paraId="5313FED6"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Stock-hours blocked (ghosted vs converted)</w:t>
            </w:r>
          </w:p>
        </w:tc>
        <w:tc>
          <w:tcPr>
            <w:tcW w:w="0" w:type="auto"/>
            <w:hideMark/>
          </w:tcPr>
          <w:p w14:paraId="41243FBE"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173,957 vs 138,871 ₹·hrs</w:t>
            </w:r>
          </w:p>
        </w:tc>
        <w:tc>
          <w:tcPr>
            <w:tcW w:w="0" w:type="auto"/>
            <w:hideMark/>
          </w:tcPr>
          <w:p w14:paraId="26AE3A5C"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Ghosted total falls below converted total</w:t>
            </w:r>
          </w:p>
        </w:tc>
        <w:tc>
          <w:tcPr>
            <w:tcW w:w="0" w:type="auto"/>
            <w:hideMark/>
          </w:tcPr>
          <w:p w14:paraId="0501A93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3.2.3</w:t>
            </w:r>
          </w:p>
        </w:tc>
      </w:tr>
      <w:tr w:rsidR="00F81F5F" w:rsidRPr="00F81F5F" w14:paraId="340652EC" w14:textId="77777777" w:rsidTr="00F81F5F">
        <w:trPr>
          <w:jc w:val="center"/>
        </w:trPr>
        <w:tc>
          <w:tcPr>
            <w:tcW w:w="0" w:type="auto"/>
            <w:hideMark/>
          </w:tcPr>
          <w:p w14:paraId="38B2BD15"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Ageing-risk SKU count (bottom-quartile velocity)</w:t>
            </w:r>
          </w:p>
        </w:tc>
        <w:tc>
          <w:tcPr>
            <w:tcW w:w="0" w:type="auto"/>
            <w:hideMark/>
          </w:tcPr>
          <w:p w14:paraId="3C0CAD44"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Fixed list identified in Section 3.1.4</w:t>
            </w:r>
          </w:p>
        </w:tc>
        <w:tc>
          <w:tcPr>
            <w:tcW w:w="0" w:type="auto"/>
            <w:hideMark/>
          </w:tcPr>
          <w:p w14:paraId="4D5FCCFD"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Declining count as slow movers are cleared and not replenished at the same volume</w:t>
            </w:r>
          </w:p>
        </w:tc>
        <w:tc>
          <w:tcPr>
            <w:tcW w:w="0" w:type="auto"/>
            <w:hideMark/>
          </w:tcPr>
          <w:p w14:paraId="6F47E418" w14:textId="77777777" w:rsidR="00F81F5F" w:rsidRPr="00F81F5F" w:rsidRDefault="00F81F5F" w:rsidP="00F81F5F">
            <w:pPr>
              <w:rPr>
                <w:rFonts w:ascii="Times New Roman" w:hAnsi="Times New Roman" w:cs="Times New Roman"/>
              </w:rPr>
            </w:pPr>
            <w:r w:rsidRPr="00F81F5F">
              <w:rPr>
                <w:rFonts w:ascii="Times New Roman" w:hAnsi="Times New Roman" w:cs="Times New Roman"/>
              </w:rPr>
              <w:t>3.1.4</w:t>
            </w:r>
          </w:p>
        </w:tc>
      </w:tr>
    </w:tbl>
    <w:p w14:paraId="01A48B4B" w14:textId="07867155" w:rsidR="00E74679" w:rsidRPr="00E74679" w:rsidRDefault="00E74679" w:rsidP="00E74679">
      <w:pPr>
        <w:spacing w:after="240"/>
        <w:jc w:val="center"/>
        <w:rPr>
          <w:rFonts w:ascii="Times New Roman" w:hAnsi="Times New Roman" w:cs="Times New Roman"/>
          <w:i/>
          <w:iCs/>
          <w:sz w:val="16"/>
          <w:szCs w:val="16"/>
        </w:rPr>
      </w:pPr>
      <w:r w:rsidRPr="00E74679">
        <w:rPr>
          <w:rFonts w:ascii="Times New Roman" w:hAnsi="Times New Roman" w:cs="Times New Roman"/>
          <w:i/>
          <w:iCs/>
          <w:sz w:val="16"/>
          <w:szCs w:val="16"/>
        </w:rPr>
        <w:t>Table 4.3: Post-Implementation KPI Tracking Scorecard</w:t>
      </w:r>
    </w:p>
    <w:p w14:paraId="71A7F848" w14:textId="03338076" w:rsidR="00F81F5F" w:rsidRDefault="00F81F5F" w:rsidP="00F81F5F">
      <w:pPr>
        <w:spacing w:before="240" w:after="240"/>
        <w:rPr>
          <w:rFonts w:ascii="Times New Roman" w:hAnsi="Times New Roman" w:cs="Times New Roman"/>
        </w:rPr>
      </w:pPr>
      <w:r w:rsidRPr="00F81F5F">
        <w:rPr>
          <w:rFonts w:ascii="Times New Roman" w:hAnsi="Times New Roman" w:cs="Times New Roman"/>
        </w:rPr>
        <w:t>Tracking these five figures monthly gives the owner a lightweight, five-number scorecard rather than requiring the full analysis to be rebuilt from scratch each time directly supporting the ongoing monitoring practice proposed in Section 4.6.</w:t>
      </w:r>
    </w:p>
    <w:p w14:paraId="01993065" w14:textId="77777777" w:rsidR="00B62A62" w:rsidRPr="00F81F5F" w:rsidRDefault="00B62A62" w:rsidP="00F81F5F">
      <w:pPr>
        <w:spacing w:before="240" w:after="240"/>
        <w:rPr>
          <w:rFonts w:ascii="Times New Roman" w:hAnsi="Times New Roman" w:cs="Times New Roman"/>
        </w:rPr>
      </w:pPr>
    </w:p>
    <w:p w14:paraId="53ECC61C" w14:textId="77777777" w:rsidR="00F81F5F" w:rsidRPr="00F81F5F" w:rsidRDefault="00F81F5F" w:rsidP="00F81F5F">
      <w:pPr>
        <w:pStyle w:val="Heading2"/>
        <w:rPr>
          <w:rFonts w:ascii="Times New Roman" w:hAnsi="Times New Roman" w:cs="Times New Roman"/>
        </w:rPr>
      </w:pPr>
      <w:bookmarkStart w:id="35" w:name="_Toc236340241"/>
      <w:r w:rsidRPr="00F81F5F">
        <w:rPr>
          <w:rFonts w:ascii="Times New Roman" w:hAnsi="Times New Roman" w:cs="Times New Roman"/>
        </w:rPr>
        <w:lastRenderedPageBreak/>
        <w:t>4.11 Limitations and Scope for Future Analysis</w:t>
      </w:r>
      <w:bookmarkEnd w:id="35"/>
    </w:p>
    <w:p w14:paraId="6B2726E2" w14:textId="6A39F0FD" w:rsidR="004261EE" w:rsidRPr="00EC7062" w:rsidRDefault="00FE257D" w:rsidP="00F81F5F">
      <w:pPr>
        <w:spacing w:after="240"/>
        <w:rPr>
          <w:rFonts w:ascii="Times New Roman" w:hAnsi="Times New Roman" w:cs="Times New Roman"/>
        </w:rPr>
      </w:pPr>
      <w:r w:rsidRPr="00FE257D">
        <w:rPr>
          <w:rFonts w:ascii="Times New Roman" w:hAnsi="Times New Roman" w:cs="Times New Roman"/>
        </w:rPr>
        <w:t xml:space="preserve">These findings have been </w:t>
      </w:r>
      <w:r w:rsidR="0021750C" w:rsidRPr="00FE257D">
        <w:rPr>
          <w:rFonts w:ascii="Times New Roman" w:hAnsi="Times New Roman" w:cs="Times New Roman"/>
        </w:rPr>
        <w:t>analysed</w:t>
      </w:r>
      <w:r w:rsidRPr="00FE257D">
        <w:rPr>
          <w:rFonts w:ascii="Times New Roman" w:hAnsi="Times New Roman" w:cs="Times New Roman"/>
        </w:rPr>
        <w:t xml:space="preserve"> using three months’ worth of data (March-May 2026),</w:t>
      </w:r>
      <w:r w:rsidR="00F81F5F" w:rsidRPr="00F81F5F">
        <w:rPr>
          <w:rFonts w:ascii="Times New Roman" w:hAnsi="Times New Roman" w:cs="Times New Roman"/>
        </w:rPr>
        <w:t>) and should be revisited once a full annual cycle</w:t>
      </w:r>
      <w:r w:rsidR="00B62A62">
        <w:rPr>
          <w:rFonts w:ascii="Times New Roman" w:hAnsi="Times New Roman" w:cs="Times New Roman"/>
        </w:rPr>
        <w:t>,</w:t>
      </w:r>
      <w:r w:rsidR="00F81F5F" w:rsidRPr="00F81F5F">
        <w:rPr>
          <w:rFonts w:ascii="Times New Roman" w:hAnsi="Times New Roman" w:cs="Times New Roman"/>
        </w:rPr>
        <w:t xml:space="preserve"> including Durga Puja</w:t>
      </w:r>
      <w:r w:rsidR="00B62A62">
        <w:rPr>
          <w:rFonts w:ascii="Times New Roman" w:hAnsi="Times New Roman" w:cs="Times New Roman"/>
        </w:rPr>
        <w:t>,</w:t>
      </w:r>
      <w:r w:rsidR="00F81F5F" w:rsidRPr="00F81F5F">
        <w:rPr>
          <w:rFonts w:ascii="Times New Roman" w:hAnsi="Times New Roman" w:cs="Times New Roman"/>
        </w:rPr>
        <w:t xml:space="preserve"> is captured, since the current window cannot confirm true seasonal peaks beyond the observed wedding-season uplift (Section 3.1.6). The Neckpieces ghost rate (0%, Section 3.2.2) </w:t>
      </w:r>
      <w:r w:rsidRPr="00FE257D">
        <w:rPr>
          <w:rFonts w:ascii="Times New Roman" w:hAnsi="Times New Roman" w:cs="Times New Roman"/>
        </w:rPr>
        <w:t>is based on only three holds and therefore cannot be regarded as an established number until further evidence comes in.</w:t>
      </w:r>
      <w:r>
        <w:rPr>
          <w:rFonts w:ascii="Times New Roman" w:hAnsi="Times New Roman" w:cs="Times New Roman"/>
        </w:rPr>
        <w:t xml:space="preserve"> </w:t>
      </w:r>
      <w:r w:rsidR="00F81F5F" w:rsidRPr="00F81F5F">
        <w:rPr>
          <w:rFonts w:ascii="Times New Roman" w:hAnsi="Times New Roman" w:cs="Times New Roman"/>
        </w:rPr>
        <w:t>Similarly, the price–demand relationship (Section 3.1.7) explains a modest share of variance (R² = 0.075); it should be treated as one contributing factor among several</w:t>
      </w:r>
      <w:r w:rsidR="00B62A62">
        <w:rPr>
          <w:rFonts w:ascii="Times New Roman" w:hAnsi="Times New Roman" w:cs="Times New Roman"/>
        </w:rPr>
        <w:t>,</w:t>
      </w:r>
      <w:r w:rsidR="00F81F5F" w:rsidRPr="00F81F5F">
        <w:rPr>
          <w:rFonts w:ascii="Times New Roman" w:hAnsi="Times New Roman" w:cs="Times New Roman"/>
        </w:rPr>
        <w:t xml:space="preserve"> not the sole basis for future pricing decisions</w:t>
      </w:r>
      <w:r w:rsidR="00B62A62">
        <w:rPr>
          <w:rFonts w:ascii="Times New Roman" w:hAnsi="Times New Roman" w:cs="Times New Roman"/>
        </w:rPr>
        <w:t xml:space="preserve">, </w:t>
      </w:r>
      <w:r w:rsidR="00F81F5F" w:rsidRPr="00F81F5F">
        <w:rPr>
          <w:rFonts w:ascii="Times New Roman" w:hAnsi="Times New Roman" w:cs="Times New Roman"/>
        </w:rPr>
        <w:t>until validated against a larger product range or a longer sales history.</w:t>
      </w:r>
    </w:p>
    <w:p w14:paraId="5154ABCA" w14:textId="12D438ED" w:rsidR="00C93F41" w:rsidRPr="00CA60D6" w:rsidRDefault="00CA60D6" w:rsidP="00CA60D6">
      <w:pPr>
        <w:pStyle w:val="Heading1"/>
        <w:rPr>
          <w:rFonts w:ascii="Times New Roman" w:hAnsi="Times New Roman" w:cs="Times New Roman"/>
        </w:rPr>
      </w:pPr>
      <w:bookmarkStart w:id="36" w:name="_Toc236340242"/>
      <w:r w:rsidRPr="00CA60D6">
        <w:rPr>
          <w:rFonts w:ascii="Times New Roman" w:hAnsi="Times New Roman" w:cs="Times New Roman"/>
        </w:rPr>
        <w:t>5   Contents for Credibility</w:t>
      </w:r>
      <w:bookmarkEnd w:id="36"/>
    </w:p>
    <w:p w14:paraId="4FFC9B9E" w14:textId="27945069" w:rsidR="00CA60D6" w:rsidRPr="00CA60D6" w:rsidRDefault="00CA60D6" w:rsidP="00105D08">
      <w:pPr>
        <w:numPr>
          <w:ilvl w:val="0"/>
          <w:numId w:val="24"/>
        </w:numPr>
        <w:spacing w:after="240"/>
        <w:rPr>
          <w:rFonts w:ascii="Times New Roman" w:hAnsi="Times New Roman" w:cs="Times New Roman"/>
        </w:rPr>
      </w:pPr>
      <w:r w:rsidRPr="00CA60D6">
        <w:rPr>
          <w:rFonts w:ascii="Times New Roman" w:hAnsi="Times New Roman" w:cs="Times New Roman"/>
        </w:rPr>
        <w:t>Dataset</w:t>
      </w:r>
      <w:r w:rsidR="00A32BAD">
        <w:rPr>
          <w:rFonts w:ascii="Times New Roman" w:hAnsi="Times New Roman" w:cs="Times New Roman"/>
        </w:rPr>
        <w:t xml:space="preserve">: </w:t>
      </w:r>
      <w:hyperlink r:id="rId26" w:history="1">
        <w:r w:rsidR="00A32BAD" w:rsidRPr="004F7484">
          <w:rPr>
            <w:rStyle w:val="Hyperlink"/>
            <w:rFonts w:ascii="Times New Roman" w:hAnsi="Times New Roman" w:cs="Times New Roman"/>
          </w:rPr>
          <w:t>https://docs.google.com/spreadsheets/d/1W9DV_25sW8DwtxVf4KLTglVtgA_4nL7t/edit?usp=drive_link&amp;ouid=101189696649092181254&amp;rtpof=true&amp;sd=true</w:t>
        </w:r>
      </w:hyperlink>
      <w:r w:rsidR="00A32BAD">
        <w:rPr>
          <w:rFonts w:ascii="Times New Roman" w:hAnsi="Times New Roman" w:cs="Times New Roman"/>
        </w:rPr>
        <w:t xml:space="preserve"> </w:t>
      </w:r>
    </w:p>
    <w:p w14:paraId="3394A350" w14:textId="49CCD5F3" w:rsidR="00CA60D6" w:rsidRDefault="00105D08" w:rsidP="00105D08">
      <w:pPr>
        <w:numPr>
          <w:ilvl w:val="0"/>
          <w:numId w:val="24"/>
        </w:numPr>
        <w:spacing w:after="240"/>
        <w:rPr>
          <w:rFonts w:ascii="Times New Roman" w:hAnsi="Times New Roman" w:cs="Times New Roman"/>
        </w:rPr>
      </w:pPr>
      <w:r>
        <w:rPr>
          <w:rFonts w:ascii="Times New Roman" w:hAnsi="Times New Roman" w:cs="Times New Roman"/>
        </w:rPr>
        <w:t xml:space="preserve">Goggle </w:t>
      </w:r>
      <w:proofErr w:type="spellStart"/>
      <w:r w:rsidR="00CA60D6" w:rsidRPr="00CA60D6">
        <w:rPr>
          <w:rFonts w:ascii="Times New Roman" w:hAnsi="Times New Roman" w:cs="Times New Roman"/>
        </w:rPr>
        <w:t>Colab</w:t>
      </w:r>
      <w:proofErr w:type="spellEnd"/>
      <w:r w:rsidR="00CA60D6" w:rsidRPr="00CA60D6">
        <w:rPr>
          <w:rFonts w:ascii="Times New Roman" w:hAnsi="Times New Roman" w:cs="Times New Roman"/>
        </w:rPr>
        <w:t xml:space="preserve"> notebook</w:t>
      </w:r>
      <w:r>
        <w:rPr>
          <w:rFonts w:ascii="Times New Roman" w:hAnsi="Times New Roman" w:cs="Times New Roman"/>
        </w:rPr>
        <w:t xml:space="preserve">: </w:t>
      </w:r>
      <w:hyperlink r:id="rId27" w:history="1">
        <w:r w:rsidRPr="004F7484">
          <w:rPr>
            <w:rStyle w:val="Hyperlink"/>
            <w:rFonts w:ascii="Times New Roman" w:hAnsi="Times New Roman" w:cs="Times New Roman"/>
          </w:rPr>
          <w:t>https://colab.research.google.com/drive/1ML2R-lXYQmrDB7i7dCkQJhk6UU93TuVa?usp=sharing</w:t>
        </w:r>
      </w:hyperlink>
      <w:r>
        <w:rPr>
          <w:rFonts w:ascii="Times New Roman" w:hAnsi="Times New Roman" w:cs="Times New Roman"/>
        </w:rPr>
        <w:t xml:space="preserve"> </w:t>
      </w:r>
    </w:p>
    <w:p w14:paraId="63093739" w14:textId="2EE2A60C" w:rsidR="00105D08" w:rsidRPr="00CA60D6" w:rsidRDefault="00105D08" w:rsidP="00105D08">
      <w:pPr>
        <w:numPr>
          <w:ilvl w:val="0"/>
          <w:numId w:val="24"/>
        </w:numPr>
        <w:spacing w:after="240"/>
        <w:rPr>
          <w:rFonts w:ascii="Times New Roman" w:hAnsi="Times New Roman" w:cs="Times New Roman"/>
        </w:rPr>
      </w:pPr>
      <w:r>
        <w:rPr>
          <w:rFonts w:ascii="Times New Roman" w:hAnsi="Times New Roman" w:cs="Times New Roman"/>
        </w:rPr>
        <w:t xml:space="preserve">BDM </w:t>
      </w:r>
      <w:proofErr w:type="spellStart"/>
      <w:r>
        <w:rPr>
          <w:rFonts w:ascii="Times New Roman" w:hAnsi="Times New Roman" w:cs="Times New Roman"/>
        </w:rPr>
        <w:t>Poject</w:t>
      </w:r>
      <w:proofErr w:type="spellEnd"/>
      <w:r>
        <w:rPr>
          <w:rFonts w:ascii="Times New Roman" w:hAnsi="Times New Roman" w:cs="Times New Roman"/>
        </w:rPr>
        <w:t xml:space="preserve"> Folder: </w:t>
      </w:r>
      <w:hyperlink r:id="rId28" w:history="1">
        <w:r w:rsidRPr="004F7484">
          <w:rPr>
            <w:rStyle w:val="Hyperlink"/>
            <w:rFonts w:ascii="Times New Roman" w:hAnsi="Times New Roman" w:cs="Times New Roman"/>
          </w:rPr>
          <w:t>https://drive.google.com/drive/folders/1NI1ZKVK49Mesl8T9yjix2LboUhAoRhQP?usp=drive_link</w:t>
        </w:r>
      </w:hyperlink>
      <w:r>
        <w:rPr>
          <w:rFonts w:ascii="Times New Roman" w:hAnsi="Times New Roman" w:cs="Times New Roman"/>
        </w:rPr>
        <w:t xml:space="preserve"> </w:t>
      </w:r>
    </w:p>
    <w:sectPr w:rsidR="00105D08" w:rsidRPr="00CA60D6" w:rsidSect="00BA161C">
      <w:footerReference w:type="default" r:id="rId29"/>
      <w:pgSz w:w="11906" w:h="16838"/>
      <w:pgMar w:top="1440" w:right="1440" w:bottom="1440" w:left="144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1C6B" w14:textId="77777777" w:rsidR="00115E09" w:rsidRDefault="00115E09">
      <w:r>
        <w:separator/>
      </w:r>
    </w:p>
  </w:endnote>
  <w:endnote w:type="continuationSeparator" w:id="0">
    <w:p w14:paraId="674BFDF8" w14:textId="77777777" w:rsidR="00115E09" w:rsidRDefault="00115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DCE0" w14:textId="15EA1C1E" w:rsidR="00037BFA" w:rsidRPr="001D4595" w:rsidRDefault="001D4595">
    <w:pPr>
      <w:jc w:val="center"/>
      <w:rPr>
        <w:rFonts w:ascii="Times New Roman" w:hAnsi="Times New Roman" w:cs="Times New Roman"/>
      </w:rPr>
    </w:pPr>
    <w:r w:rsidRPr="001D4595">
      <w:rPr>
        <w:rFonts w:ascii="Times New Roman" w:hAnsi="Times New Roman" w:cs="Times New Roman"/>
      </w:rPr>
      <w:fldChar w:fldCharType="begin"/>
    </w:r>
    <w:r w:rsidRPr="001D4595">
      <w:rPr>
        <w:rFonts w:ascii="Times New Roman" w:hAnsi="Times New Roman" w:cs="Times New Roman"/>
      </w:rPr>
      <w:instrText xml:space="preserve"> PAGE   \* MERGEFORMAT </w:instrText>
    </w:r>
    <w:r w:rsidRPr="001D4595">
      <w:rPr>
        <w:rFonts w:ascii="Times New Roman" w:hAnsi="Times New Roman" w:cs="Times New Roman"/>
      </w:rPr>
      <w:fldChar w:fldCharType="separate"/>
    </w:r>
    <w:r w:rsidRPr="001D4595">
      <w:rPr>
        <w:rFonts w:ascii="Times New Roman" w:hAnsi="Times New Roman" w:cs="Times New Roman"/>
        <w:noProof/>
      </w:rPr>
      <w:t>1</w:t>
    </w:r>
    <w:r w:rsidRPr="001D4595">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FB946" w14:textId="77777777" w:rsidR="00115E09" w:rsidRDefault="00115E09">
      <w:r>
        <w:separator/>
      </w:r>
    </w:p>
  </w:footnote>
  <w:footnote w:type="continuationSeparator" w:id="0">
    <w:p w14:paraId="2F2308EF" w14:textId="77777777" w:rsidR="00115E09" w:rsidRDefault="00115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8E5"/>
    <w:multiLevelType w:val="multilevel"/>
    <w:tmpl w:val="65E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70AA"/>
    <w:multiLevelType w:val="multilevel"/>
    <w:tmpl w:val="DEE6BB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9E3EA8"/>
    <w:multiLevelType w:val="hybridMultilevel"/>
    <w:tmpl w:val="FA30C4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76976C7"/>
    <w:multiLevelType w:val="multilevel"/>
    <w:tmpl w:val="1D8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4594"/>
    <w:multiLevelType w:val="hybridMultilevel"/>
    <w:tmpl w:val="00D40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EB6243"/>
    <w:multiLevelType w:val="multilevel"/>
    <w:tmpl w:val="04F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B202F"/>
    <w:multiLevelType w:val="hybridMultilevel"/>
    <w:tmpl w:val="CB9A53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0742E76"/>
    <w:multiLevelType w:val="multilevel"/>
    <w:tmpl w:val="234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E0B43"/>
    <w:multiLevelType w:val="hybridMultilevel"/>
    <w:tmpl w:val="90185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F062FD"/>
    <w:multiLevelType w:val="multilevel"/>
    <w:tmpl w:val="BE9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01649"/>
    <w:multiLevelType w:val="hybridMultilevel"/>
    <w:tmpl w:val="3CE2F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9F546B3"/>
    <w:multiLevelType w:val="hybridMultilevel"/>
    <w:tmpl w:val="0066CB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C93433F"/>
    <w:multiLevelType w:val="multilevel"/>
    <w:tmpl w:val="0EA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90213"/>
    <w:multiLevelType w:val="hybridMultilevel"/>
    <w:tmpl w:val="8C82012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2F836AE5"/>
    <w:multiLevelType w:val="hybridMultilevel"/>
    <w:tmpl w:val="3D8A3FE2"/>
    <w:lvl w:ilvl="0" w:tplc="221AC3CE">
      <w:start w:val="1"/>
      <w:numFmt w:val="bullet"/>
      <w:lvlText w:val="•"/>
      <w:lvlJc w:val="left"/>
      <w:pPr>
        <w:ind w:left="720" w:hanging="360"/>
      </w:pPr>
    </w:lvl>
    <w:lvl w:ilvl="1" w:tplc="3B80E8EC">
      <w:numFmt w:val="decimal"/>
      <w:lvlText w:val=""/>
      <w:lvlJc w:val="left"/>
    </w:lvl>
    <w:lvl w:ilvl="2" w:tplc="26665C10">
      <w:numFmt w:val="decimal"/>
      <w:lvlText w:val=""/>
      <w:lvlJc w:val="left"/>
    </w:lvl>
    <w:lvl w:ilvl="3" w:tplc="2E90AA2C">
      <w:numFmt w:val="decimal"/>
      <w:lvlText w:val=""/>
      <w:lvlJc w:val="left"/>
    </w:lvl>
    <w:lvl w:ilvl="4" w:tplc="CD6C5454">
      <w:numFmt w:val="decimal"/>
      <w:lvlText w:val=""/>
      <w:lvlJc w:val="left"/>
    </w:lvl>
    <w:lvl w:ilvl="5" w:tplc="7A5E0EBE">
      <w:numFmt w:val="decimal"/>
      <w:lvlText w:val=""/>
      <w:lvlJc w:val="left"/>
    </w:lvl>
    <w:lvl w:ilvl="6" w:tplc="EA94D250">
      <w:numFmt w:val="decimal"/>
      <w:lvlText w:val=""/>
      <w:lvlJc w:val="left"/>
    </w:lvl>
    <w:lvl w:ilvl="7" w:tplc="F9F49CC6">
      <w:numFmt w:val="decimal"/>
      <w:lvlText w:val=""/>
      <w:lvlJc w:val="left"/>
    </w:lvl>
    <w:lvl w:ilvl="8" w:tplc="094E3360">
      <w:numFmt w:val="decimal"/>
      <w:lvlText w:val=""/>
      <w:lvlJc w:val="left"/>
    </w:lvl>
  </w:abstractNum>
  <w:abstractNum w:abstractNumId="15" w15:restartNumberingAfterBreak="0">
    <w:nsid w:val="3CEA2488"/>
    <w:multiLevelType w:val="multilevel"/>
    <w:tmpl w:val="4CACC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F322E"/>
    <w:multiLevelType w:val="hybridMultilevel"/>
    <w:tmpl w:val="998E8BA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FA4975"/>
    <w:multiLevelType w:val="hybridMultilevel"/>
    <w:tmpl w:val="98AC83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E01313A"/>
    <w:multiLevelType w:val="hybridMultilevel"/>
    <w:tmpl w:val="8140F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7618CC"/>
    <w:multiLevelType w:val="multilevel"/>
    <w:tmpl w:val="1C30C7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3665B2"/>
    <w:multiLevelType w:val="hybridMultilevel"/>
    <w:tmpl w:val="63261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297C54"/>
    <w:multiLevelType w:val="hybridMultilevel"/>
    <w:tmpl w:val="F662B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AD702D"/>
    <w:multiLevelType w:val="hybridMultilevel"/>
    <w:tmpl w:val="5B28819C"/>
    <w:lvl w:ilvl="0" w:tplc="D784A300">
      <w:start w:val="1"/>
      <w:numFmt w:val="bullet"/>
      <w:lvlText w:val="●"/>
      <w:lvlJc w:val="left"/>
      <w:pPr>
        <w:ind w:left="720" w:hanging="360"/>
      </w:pPr>
    </w:lvl>
    <w:lvl w:ilvl="1" w:tplc="C1AC7E2E">
      <w:start w:val="1"/>
      <w:numFmt w:val="bullet"/>
      <w:lvlText w:val="○"/>
      <w:lvlJc w:val="left"/>
      <w:pPr>
        <w:ind w:left="1440" w:hanging="360"/>
      </w:pPr>
    </w:lvl>
    <w:lvl w:ilvl="2" w:tplc="50181DA2">
      <w:start w:val="1"/>
      <w:numFmt w:val="bullet"/>
      <w:lvlText w:val="■"/>
      <w:lvlJc w:val="left"/>
      <w:pPr>
        <w:ind w:left="2160" w:hanging="360"/>
      </w:pPr>
    </w:lvl>
    <w:lvl w:ilvl="3" w:tplc="48E4ADBA">
      <w:start w:val="1"/>
      <w:numFmt w:val="bullet"/>
      <w:lvlText w:val="●"/>
      <w:lvlJc w:val="left"/>
      <w:pPr>
        <w:ind w:left="2880" w:hanging="360"/>
      </w:pPr>
    </w:lvl>
    <w:lvl w:ilvl="4" w:tplc="381AA542">
      <w:start w:val="1"/>
      <w:numFmt w:val="bullet"/>
      <w:lvlText w:val="○"/>
      <w:lvlJc w:val="left"/>
      <w:pPr>
        <w:ind w:left="3600" w:hanging="360"/>
      </w:pPr>
    </w:lvl>
    <w:lvl w:ilvl="5" w:tplc="609494E4">
      <w:start w:val="1"/>
      <w:numFmt w:val="bullet"/>
      <w:lvlText w:val="■"/>
      <w:lvlJc w:val="left"/>
      <w:pPr>
        <w:ind w:left="4320" w:hanging="360"/>
      </w:pPr>
    </w:lvl>
    <w:lvl w:ilvl="6" w:tplc="97CC0B44">
      <w:start w:val="1"/>
      <w:numFmt w:val="bullet"/>
      <w:lvlText w:val="●"/>
      <w:lvlJc w:val="left"/>
      <w:pPr>
        <w:ind w:left="5040" w:hanging="360"/>
      </w:pPr>
    </w:lvl>
    <w:lvl w:ilvl="7" w:tplc="9C7E21EC">
      <w:start w:val="1"/>
      <w:numFmt w:val="bullet"/>
      <w:lvlText w:val="●"/>
      <w:lvlJc w:val="left"/>
      <w:pPr>
        <w:ind w:left="5760" w:hanging="360"/>
      </w:pPr>
    </w:lvl>
    <w:lvl w:ilvl="8" w:tplc="DFD80530">
      <w:start w:val="1"/>
      <w:numFmt w:val="bullet"/>
      <w:lvlText w:val="●"/>
      <w:lvlJc w:val="left"/>
      <w:pPr>
        <w:ind w:left="6480" w:hanging="360"/>
      </w:pPr>
    </w:lvl>
  </w:abstractNum>
  <w:abstractNum w:abstractNumId="23" w15:restartNumberingAfterBreak="0">
    <w:nsid w:val="682E0950"/>
    <w:multiLevelType w:val="hybridMultilevel"/>
    <w:tmpl w:val="EB9072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2C83FB9"/>
    <w:multiLevelType w:val="hybridMultilevel"/>
    <w:tmpl w:val="A4BC3E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30F46BF"/>
    <w:multiLevelType w:val="hybridMultilevel"/>
    <w:tmpl w:val="999C9DC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8800FF5"/>
    <w:multiLevelType w:val="hybridMultilevel"/>
    <w:tmpl w:val="DBAC0E4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367679801">
    <w:abstractNumId w:val="22"/>
    <w:lvlOverride w:ilvl="0">
      <w:startOverride w:val="1"/>
    </w:lvlOverride>
  </w:num>
  <w:num w:numId="2" w16cid:durableId="306865383">
    <w:abstractNumId w:val="14"/>
    <w:lvlOverride w:ilvl="0">
      <w:startOverride w:val="1"/>
    </w:lvlOverride>
  </w:num>
  <w:num w:numId="3" w16cid:durableId="1927423106">
    <w:abstractNumId w:val="3"/>
  </w:num>
  <w:num w:numId="4" w16cid:durableId="1620185377">
    <w:abstractNumId w:val="21"/>
  </w:num>
  <w:num w:numId="5" w16cid:durableId="544634338">
    <w:abstractNumId w:val="8"/>
  </w:num>
  <w:num w:numId="6" w16cid:durableId="188877045">
    <w:abstractNumId w:val="20"/>
  </w:num>
  <w:num w:numId="7" w16cid:durableId="1986398950">
    <w:abstractNumId w:val="18"/>
  </w:num>
  <w:num w:numId="8" w16cid:durableId="1209803173">
    <w:abstractNumId w:val="5"/>
  </w:num>
  <w:num w:numId="9" w16cid:durableId="574239222">
    <w:abstractNumId w:val="0"/>
  </w:num>
  <w:num w:numId="10" w16cid:durableId="537744872">
    <w:abstractNumId w:val="26"/>
  </w:num>
  <w:num w:numId="11" w16cid:durableId="74983454">
    <w:abstractNumId w:val="13"/>
  </w:num>
  <w:num w:numId="12" w16cid:durableId="2102216555">
    <w:abstractNumId w:val="11"/>
  </w:num>
  <w:num w:numId="13" w16cid:durableId="706443005">
    <w:abstractNumId w:val="15"/>
  </w:num>
  <w:num w:numId="14" w16cid:durableId="670565416">
    <w:abstractNumId w:val="9"/>
  </w:num>
  <w:num w:numId="15" w16cid:durableId="503011811">
    <w:abstractNumId w:val="7"/>
  </w:num>
  <w:num w:numId="16" w16cid:durableId="249503923">
    <w:abstractNumId w:val="12"/>
  </w:num>
  <w:num w:numId="17" w16cid:durableId="1397775521">
    <w:abstractNumId w:val="23"/>
  </w:num>
  <w:num w:numId="18" w16cid:durableId="261689028">
    <w:abstractNumId w:val="10"/>
  </w:num>
  <w:num w:numId="19" w16cid:durableId="826286679">
    <w:abstractNumId w:val="4"/>
  </w:num>
  <w:num w:numId="20" w16cid:durableId="601884905">
    <w:abstractNumId w:val="24"/>
  </w:num>
  <w:num w:numId="21" w16cid:durableId="1662198806">
    <w:abstractNumId w:val="6"/>
  </w:num>
  <w:num w:numId="22" w16cid:durableId="1375734296">
    <w:abstractNumId w:val="19"/>
  </w:num>
  <w:num w:numId="23" w16cid:durableId="88284063">
    <w:abstractNumId w:val="17"/>
  </w:num>
  <w:num w:numId="24" w16cid:durableId="1506435215">
    <w:abstractNumId w:val="1"/>
  </w:num>
  <w:num w:numId="25" w16cid:durableId="178468872">
    <w:abstractNumId w:val="16"/>
  </w:num>
  <w:num w:numId="26" w16cid:durableId="670984538">
    <w:abstractNumId w:val="25"/>
  </w:num>
  <w:num w:numId="27" w16cid:durableId="66729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BFA"/>
    <w:rsid w:val="00010D86"/>
    <w:rsid w:val="00025855"/>
    <w:rsid w:val="0002760E"/>
    <w:rsid w:val="00037BFA"/>
    <w:rsid w:val="00037DB4"/>
    <w:rsid w:val="000531F1"/>
    <w:rsid w:val="00053D6D"/>
    <w:rsid w:val="000615A7"/>
    <w:rsid w:val="00097656"/>
    <w:rsid w:val="000A223E"/>
    <w:rsid w:val="000A59F4"/>
    <w:rsid w:val="000B0921"/>
    <w:rsid w:val="000C2133"/>
    <w:rsid w:val="000C61B9"/>
    <w:rsid w:val="000E1BD7"/>
    <w:rsid w:val="000E32A1"/>
    <w:rsid w:val="000F3D85"/>
    <w:rsid w:val="00100C78"/>
    <w:rsid w:val="00105D08"/>
    <w:rsid w:val="00112192"/>
    <w:rsid w:val="00115E09"/>
    <w:rsid w:val="001166AD"/>
    <w:rsid w:val="0012377D"/>
    <w:rsid w:val="001456C9"/>
    <w:rsid w:val="0015327E"/>
    <w:rsid w:val="00190E7E"/>
    <w:rsid w:val="00196A55"/>
    <w:rsid w:val="001A1C9C"/>
    <w:rsid w:val="001D4595"/>
    <w:rsid w:val="001D6194"/>
    <w:rsid w:val="001D6F91"/>
    <w:rsid w:val="001F6B81"/>
    <w:rsid w:val="001F7C22"/>
    <w:rsid w:val="0020666C"/>
    <w:rsid w:val="00216F53"/>
    <w:rsid w:val="0021750C"/>
    <w:rsid w:val="002176DB"/>
    <w:rsid w:val="00220708"/>
    <w:rsid w:val="002728DD"/>
    <w:rsid w:val="00276A2C"/>
    <w:rsid w:val="00281418"/>
    <w:rsid w:val="00283CF2"/>
    <w:rsid w:val="00294D30"/>
    <w:rsid w:val="002B7BCD"/>
    <w:rsid w:val="002F1575"/>
    <w:rsid w:val="00327922"/>
    <w:rsid w:val="00337B1F"/>
    <w:rsid w:val="00346E10"/>
    <w:rsid w:val="0035148C"/>
    <w:rsid w:val="003668ED"/>
    <w:rsid w:val="003738FB"/>
    <w:rsid w:val="003834BD"/>
    <w:rsid w:val="003A3DEB"/>
    <w:rsid w:val="003E0B8C"/>
    <w:rsid w:val="00400865"/>
    <w:rsid w:val="00412ED0"/>
    <w:rsid w:val="004261EE"/>
    <w:rsid w:val="00434ACC"/>
    <w:rsid w:val="00451F70"/>
    <w:rsid w:val="00480E6F"/>
    <w:rsid w:val="00484B60"/>
    <w:rsid w:val="00490431"/>
    <w:rsid w:val="004D1BE1"/>
    <w:rsid w:val="004D4056"/>
    <w:rsid w:val="004E7617"/>
    <w:rsid w:val="00511E54"/>
    <w:rsid w:val="00522517"/>
    <w:rsid w:val="00524A97"/>
    <w:rsid w:val="00526487"/>
    <w:rsid w:val="00537BB8"/>
    <w:rsid w:val="0054559D"/>
    <w:rsid w:val="00551DE8"/>
    <w:rsid w:val="00553596"/>
    <w:rsid w:val="00560D79"/>
    <w:rsid w:val="0056269D"/>
    <w:rsid w:val="00562EAA"/>
    <w:rsid w:val="00572378"/>
    <w:rsid w:val="005C02C6"/>
    <w:rsid w:val="005D2E8D"/>
    <w:rsid w:val="006006DD"/>
    <w:rsid w:val="006109A7"/>
    <w:rsid w:val="00626F96"/>
    <w:rsid w:val="006650D6"/>
    <w:rsid w:val="006951D0"/>
    <w:rsid w:val="006A1A5C"/>
    <w:rsid w:val="007077F3"/>
    <w:rsid w:val="00716892"/>
    <w:rsid w:val="00721AF4"/>
    <w:rsid w:val="00733B6E"/>
    <w:rsid w:val="007347FC"/>
    <w:rsid w:val="00735F14"/>
    <w:rsid w:val="007432D4"/>
    <w:rsid w:val="007606CF"/>
    <w:rsid w:val="00762C69"/>
    <w:rsid w:val="007D5330"/>
    <w:rsid w:val="007F2572"/>
    <w:rsid w:val="007F4825"/>
    <w:rsid w:val="007F56A2"/>
    <w:rsid w:val="0080029D"/>
    <w:rsid w:val="008044EB"/>
    <w:rsid w:val="008128E3"/>
    <w:rsid w:val="00823745"/>
    <w:rsid w:val="00835175"/>
    <w:rsid w:val="008614FF"/>
    <w:rsid w:val="00862B01"/>
    <w:rsid w:val="008B5748"/>
    <w:rsid w:val="008D5038"/>
    <w:rsid w:val="008D7238"/>
    <w:rsid w:val="008E7820"/>
    <w:rsid w:val="009357C4"/>
    <w:rsid w:val="00984105"/>
    <w:rsid w:val="009B5F70"/>
    <w:rsid w:val="009C4F93"/>
    <w:rsid w:val="009F16A5"/>
    <w:rsid w:val="009F19EF"/>
    <w:rsid w:val="00A00398"/>
    <w:rsid w:val="00A01A15"/>
    <w:rsid w:val="00A02EC6"/>
    <w:rsid w:val="00A23D78"/>
    <w:rsid w:val="00A25040"/>
    <w:rsid w:val="00A32BAD"/>
    <w:rsid w:val="00A35A01"/>
    <w:rsid w:val="00A57C4C"/>
    <w:rsid w:val="00AA61CF"/>
    <w:rsid w:val="00AD0AEA"/>
    <w:rsid w:val="00AF7B76"/>
    <w:rsid w:val="00B116C0"/>
    <w:rsid w:val="00B1394A"/>
    <w:rsid w:val="00B14C71"/>
    <w:rsid w:val="00B16F17"/>
    <w:rsid w:val="00B2457E"/>
    <w:rsid w:val="00B4616E"/>
    <w:rsid w:val="00B62A62"/>
    <w:rsid w:val="00B72646"/>
    <w:rsid w:val="00B752BE"/>
    <w:rsid w:val="00BA161C"/>
    <w:rsid w:val="00BF720F"/>
    <w:rsid w:val="00C06E88"/>
    <w:rsid w:val="00C15206"/>
    <w:rsid w:val="00C454F6"/>
    <w:rsid w:val="00C65D49"/>
    <w:rsid w:val="00C84F83"/>
    <w:rsid w:val="00C93F41"/>
    <w:rsid w:val="00CA59A8"/>
    <w:rsid w:val="00CA60D6"/>
    <w:rsid w:val="00CB4138"/>
    <w:rsid w:val="00CB4AC2"/>
    <w:rsid w:val="00CB68D6"/>
    <w:rsid w:val="00CC2BC7"/>
    <w:rsid w:val="00CD63D2"/>
    <w:rsid w:val="00D075A6"/>
    <w:rsid w:val="00D51A93"/>
    <w:rsid w:val="00D52713"/>
    <w:rsid w:val="00D636FA"/>
    <w:rsid w:val="00D76B84"/>
    <w:rsid w:val="00D80350"/>
    <w:rsid w:val="00DB60A2"/>
    <w:rsid w:val="00DE0694"/>
    <w:rsid w:val="00E02755"/>
    <w:rsid w:val="00E26969"/>
    <w:rsid w:val="00E434F9"/>
    <w:rsid w:val="00E5586E"/>
    <w:rsid w:val="00E62CC4"/>
    <w:rsid w:val="00E7332E"/>
    <w:rsid w:val="00E74679"/>
    <w:rsid w:val="00E900AA"/>
    <w:rsid w:val="00EA081A"/>
    <w:rsid w:val="00EC3FED"/>
    <w:rsid w:val="00EC6CE5"/>
    <w:rsid w:val="00EC7062"/>
    <w:rsid w:val="00F06C5E"/>
    <w:rsid w:val="00F66D6B"/>
    <w:rsid w:val="00F81F5F"/>
    <w:rsid w:val="00F848ED"/>
    <w:rsid w:val="00F8491A"/>
    <w:rsid w:val="00F87BF4"/>
    <w:rsid w:val="00FB1449"/>
    <w:rsid w:val="00FB2D54"/>
    <w:rsid w:val="00FD315F"/>
    <w:rsid w:val="00FE0E0D"/>
    <w:rsid w:val="00FE2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1C10"/>
  <w15:docId w15:val="{8B40BE21-BD95-4F8E-A2C9-C3F5135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4B5"/>
      </w:pBdr>
      <w:spacing w:before="36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12ED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412ED0"/>
    <w:pPr>
      <w:spacing w:after="100"/>
    </w:pPr>
  </w:style>
  <w:style w:type="paragraph" w:styleId="TOC2">
    <w:name w:val="toc 2"/>
    <w:basedOn w:val="Normal"/>
    <w:next w:val="Normal"/>
    <w:autoRedefine/>
    <w:uiPriority w:val="39"/>
    <w:unhideWhenUsed/>
    <w:rsid w:val="00412ED0"/>
    <w:pPr>
      <w:spacing w:after="100"/>
      <w:ind w:left="220"/>
    </w:pPr>
  </w:style>
  <w:style w:type="paragraph" w:styleId="TOC3">
    <w:name w:val="toc 3"/>
    <w:basedOn w:val="Normal"/>
    <w:next w:val="Normal"/>
    <w:autoRedefine/>
    <w:uiPriority w:val="39"/>
    <w:unhideWhenUsed/>
    <w:rsid w:val="00412ED0"/>
    <w:pPr>
      <w:spacing w:after="100"/>
      <w:ind w:left="440"/>
    </w:pPr>
  </w:style>
  <w:style w:type="paragraph" w:styleId="Header">
    <w:name w:val="header"/>
    <w:basedOn w:val="Normal"/>
    <w:link w:val="HeaderChar"/>
    <w:uiPriority w:val="99"/>
    <w:unhideWhenUsed/>
    <w:rsid w:val="0080029D"/>
    <w:pPr>
      <w:tabs>
        <w:tab w:val="center" w:pos="4513"/>
        <w:tab w:val="right" w:pos="9026"/>
      </w:tabs>
    </w:pPr>
  </w:style>
  <w:style w:type="character" w:customStyle="1" w:styleId="HeaderChar">
    <w:name w:val="Header Char"/>
    <w:basedOn w:val="DefaultParagraphFont"/>
    <w:link w:val="Header"/>
    <w:uiPriority w:val="99"/>
    <w:rsid w:val="0080029D"/>
  </w:style>
  <w:style w:type="paragraph" w:styleId="Footer">
    <w:name w:val="footer"/>
    <w:basedOn w:val="Normal"/>
    <w:link w:val="FooterChar"/>
    <w:uiPriority w:val="99"/>
    <w:unhideWhenUsed/>
    <w:rsid w:val="0080029D"/>
    <w:pPr>
      <w:tabs>
        <w:tab w:val="center" w:pos="4513"/>
        <w:tab w:val="right" w:pos="9026"/>
      </w:tabs>
    </w:pPr>
  </w:style>
  <w:style w:type="character" w:customStyle="1" w:styleId="FooterChar">
    <w:name w:val="Footer Char"/>
    <w:basedOn w:val="DefaultParagraphFont"/>
    <w:link w:val="Footer"/>
    <w:uiPriority w:val="99"/>
    <w:rsid w:val="0080029D"/>
  </w:style>
  <w:style w:type="paragraph" w:styleId="NoSpacing">
    <w:name w:val="No Spacing"/>
    <w:uiPriority w:val="1"/>
    <w:qFormat/>
    <w:rsid w:val="00526487"/>
  </w:style>
  <w:style w:type="table" w:styleId="TableGrid">
    <w:name w:val="Table Grid"/>
    <w:basedOn w:val="TableNormal"/>
    <w:uiPriority w:val="39"/>
    <w:rsid w:val="00526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3F41"/>
    <w:rPr>
      <w:color w:val="605E5C"/>
      <w:shd w:val="clear" w:color="auto" w:fill="E1DFDD"/>
    </w:rPr>
  </w:style>
  <w:style w:type="character" w:styleId="FollowedHyperlink">
    <w:name w:val="FollowedHyperlink"/>
    <w:basedOn w:val="DefaultParagraphFont"/>
    <w:uiPriority w:val="99"/>
    <w:semiHidden/>
    <w:unhideWhenUsed/>
    <w:rsid w:val="00B4616E"/>
    <w:rPr>
      <w:color w:val="96607D" w:themeColor="followedHyperlink"/>
      <w:u w:val="single"/>
    </w:rPr>
  </w:style>
  <w:style w:type="paragraph" w:styleId="NormalWeb">
    <w:name w:val="Normal (Web)"/>
    <w:basedOn w:val="Normal"/>
    <w:uiPriority w:val="99"/>
    <w:semiHidden/>
    <w:unhideWhenUsed/>
    <w:rsid w:val="0083517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hyperlink" Target="https://docs.google.com/spreadsheets/d/1W9DV_25sW8DwtxVf4KLTglVtgA_4nL7t/edit?usp=drive_link&amp;ouid=101189696649092181254&amp;rtpof=true&amp;sd=true" TargetMode="External"/><Relationship Id="rId3" Type="http://schemas.openxmlformats.org/officeDocument/2006/relationships/styles" Target="styles.xml"/><Relationship Id="rId21" Type="http://schemas.openxmlformats.org/officeDocument/2006/relationships/chart" Target="charts/chart1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hart" Target="charts/chart15.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hyperlink" Target="https://drive.google.com/drive/folders/1NI1ZKVK49Mesl8T9yjix2LboUhAoRhQP?usp=drive_link" TargetMode="Externa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hyperlink" Target="https://colab.research.google.com/drive/1ML2R-lXYQmrDB7i7dCkQJhk6UU93TuVa?usp=sharing"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D:\BDM\Jewelry_Orders.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[Jewelry_Orders.xlsx]Daily Sales!PivotTable1</c:name>
    <c:fmtId val="-1"/>
  </c:pivotSource>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Monthly Revenue Trend</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3"/>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4"/>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6"/>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7"/>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8"/>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10"/>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
        <c:idx val="11"/>
        <c:spPr>
          <a:solidFill>
            <a:schemeClr val="accent1">
              <a:alpha val="85000"/>
            </a:schemeClr>
          </a:solidFill>
          <a:ln w="31750" cap="rnd" cmpd="sng" algn="ctr">
            <a:solidFill>
              <a:schemeClr val="accent1"/>
            </a:solidFill>
            <a:round/>
          </a:ln>
          <a:effectLst/>
        </c:spPr>
        <c:marker>
          <c:symbol val="circle"/>
          <c:size val="17"/>
          <c:spPr>
            <a:solidFill>
              <a:schemeClr val="accent1"/>
            </a:solidFill>
            <a:ln w="9525">
              <a:noFill/>
              <a:round/>
            </a:ln>
            <a:effectLst/>
          </c:spPr>
        </c:marker>
      </c:pivotFmt>
    </c:pivotFmts>
    <c:plotArea>
      <c:layout/>
      <c:lineChart>
        <c:grouping val="standard"/>
        <c:varyColors val="0"/>
        <c:ser>
          <c:idx val="0"/>
          <c:order val="0"/>
          <c:tx>
            <c:strRef>
              <c:f>'Daily Sales'!$L$8</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Pt>
            <c:idx val="0"/>
            <c:marker>
              <c:symbol val="none"/>
            </c:marker>
            <c:bubble3D val="0"/>
            <c:extLst>
              <c:ext xmlns:c16="http://schemas.microsoft.com/office/drawing/2014/chart" uri="{C3380CC4-5D6E-409C-BE32-E72D297353CC}">
                <c16:uniqueId val="{00000001-4ABF-44DF-9F23-00F7915C1B46}"/>
              </c:ext>
            </c:extLst>
          </c:dPt>
          <c:dPt>
            <c:idx val="1"/>
            <c:marker>
              <c:symbol val="none"/>
            </c:marker>
            <c:bubble3D val="0"/>
            <c:extLst>
              <c:ext xmlns:c16="http://schemas.microsoft.com/office/drawing/2014/chart" uri="{C3380CC4-5D6E-409C-BE32-E72D297353CC}">
                <c16:uniqueId val="{00000003-4ABF-44DF-9F23-00F7915C1B46}"/>
              </c:ext>
            </c:extLst>
          </c:dPt>
          <c:dPt>
            <c:idx val="2"/>
            <c:marker>
              <c:symbol val="none"/>
            </c:marker>
            <c:bubble3D val="0"/>
            <c:extLst>
              <c:ext xmlns:c16="http://schemas.microsoft.com/office/drawing/2014/chart" uri="{C3380CC4-5D6E-409C-BE32-E72D297353CC}">
                <c16:uniqueId val="{00000005-4ABF-44DF-9F23-00F7915C1B46}"/>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'Daily Sales'!$K$9:$K$12</c:f>
              <c:strCache>
                <c:ptCount val="3"/>
                <c:pt idx="0">
                  <c:v>Mar</c:v>
                </c:pt>
                <c:pt idx="1">
                  <c:v>Apr</c:v>
                </c:pt>
                <c:pt idx="2">
                  <c:v>May</c:v>
                </c:pt>
              </c:strCache>
            </c:strRef>
          </c:cat>
          <c:val>
            <c:numRef>
              <c:f>'Daily Sales'!$L$9:$L$12</c:f>
              <c:numCache>
                <c:formatCode>\₹#,##0</c:formatCode>
                <c:ptCount val="3"/>
                <c:pt idx="0">
                  <c:v>11106</c:v>
                </c:pt>
                <c:pt idx="1">
                  <c:v>16812</c:v>
                </c:pt>
                <c:pt idx="2">
                  <c:v>26282</c:v>
                </c:pt>
              </c:numCache>
            </c:numRef>
          </c:val>
          <c:smooth val="0"/>
          <c:extLst>
            <c:ext xmlns:c16="http://schemas.microsoft.com/office/drawing/2014/chart" uri="{C3380CC4-5D6E-409C-BE32-E72D297353CC}">
              <c16:uniqueId val="{00000006-4ABF-44DF-9F23-00F7915C1B46}"/>
            </c:ext>
          </c:extLst>
        </c:ser>
        <c:dLbls>
          <c:dLblPos val="ctr"/>
          <c:showLegendKey val="0"/>
          <c:showVal val="1"/>
          <c:showCatName val="0"/>
          <c:showSerName val="0"/>
          <c:showPercent val="0"/>
          <c:showBubbleSize val="0"/>
        </c:dLbls>
        <c:smooth val="0"/>
        <c:axId val="28013663"/>
        <c:axId val="28017503"/>
      </c:lineChart>
      <c:catAx>
        <c:axId val="280136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8017503"/>
        <c:crosses val="autoZero"/>
        <c:auto val="1"/>
        <c:lblAlgn val="ctr"/>
        <c:lblOffset val="100"/>
        <c:noMultiLvlLbl val="0"/>
      </c:catAx>
      <c:valAx>
        <c:axId val="280175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80136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extLst>
    <c:ext xmlns:c14="http://schemas.microsoft.com/office/drawing/2007/8/2/chart" uri="{781A3756-C4B2-4CAC-9D66-4F8BD8637D16}">
      <c14:pivotOptions>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Revenue Contribution by Product Category</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barChart>
        <c:barDir val="col"/>
        <c:grouping val="clustered"/>
        <c:varyColors val="0"/>
        <c:ser>
          <c:idx val="0"/>
          <c:order val="0"/>
          <c:tx>
            <c:strRef>
              <c:f>'Product Summary'!$K$1</c:f>
              <c:strCache>
                <c:ptCount val="1"/>
                <c:pt idx="0">
                  <c:v>Total Revenue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'Product Summary'!$J$2:$J$5</c:f>
              <c:strCache>
                <c:ptCount val="4"/>
                <c:pt idx="0">
                  <c:v>Bracelets</c:v>
                </c:pt>
                <c:pt idx="1">
                  <c:v>Earrings</c:v>
                </c:pt>
                <c:pt idx="2">
                  <c:v>Rings</c:v>
                </c:pt>
                <c:pt idx="3">
                  <c:v>Neckpieces</c:v>
                </c:pt>
              </c:strCache>
            </c:strRef>
          </c:cat>
          <c:val>
            <c:numRef>
              <c:f>'Product Summary'!$K$2:$K$5</c:f>
              <c:numCache>
                <c:formatCode>General</c:formatCode>
                <c:ptCount val="4"/>
                <c:pt idx="0">
                  <c:v>21850</c:v>
                </c:pt>
                <c:pt idx="1">
                  <c:v>20343</c:v>
                </c:pt>
                <c:pt idx="2">
                  <c:v>7793</c:v>
                </c:pt>
                <c:pt idx="3">
                  <c:v>4214</c:v>
                </c:pt>
              </c:numCache>
            </c:numRef>
          </c:val>
          <c:extLst>
            <c:ext xmlns:c16="http://schemas.microsoft.com/office/drawing/2014/chart" uri="{C3380CC4-5D6E-409C-BE32-E72D297353CC}">
              <c16:uniqueId val="{00000000-7C84-410F-B96B-58A0DA84F7E6}"/>
            </c:ext>
          </c:extLst>
        </c:ser>
        <c:dLbls>
          <c:showLegendKey val="0"/>
          <c:showVal val="0"/>
          <c:showCatName val="0"/>
          <c:showSerName val="0"/>
          <c:showPercent val="0"/>
          <c:showBubbleSize val="0"/>
        </c:dLbls>
        <c:gapWidth val="150"/>
        <c:axId val="1521519696"/>
        <c:axId val="1521522576"/>
      </c:barChart>
      <c:lineChart>
        <c:grouping val="standard"/>
        <c:varyColors val="0"/>
        <c:ser>
          <c:idx val="1"/>
          <c:order val="1"/>
          <c:tx>
            <c:strRef>
              <c:f>'Product Summary'!$L$1</c:f>
              <c:strCache>
                <c:ptCount val="1"/>
                <c:pt idx="0">
                  <c:v>Cumulative Revenue %</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'Product Summary'!$J$2:$J$5</c:f>
              <c:strCache>
                <c:ptCount val="4"/>
                <c:pt idx="0">
                  <c:v>Bracelets</c:v>
                </c:pt>
                <c:pt idx="1">
                  <c:v>Earrings</c:v>
                </c:pt>
                <c:pt idx="2">
                  <c:v>Rings</c:v>
                </c:pt>
                <c:pt idx="3">
                  <c:v>Neckpieces</c:v>
                </c:pt>
              </c:strCache>
            </c:strRef>
          </c:cat>
          <c:val>
            <c:numRef>
              <c:f>'Product Summary'!$L$2:$L$5</c:f>
              <c:numCache>
                <c:formatCode>General</c:formatCode>
                <c:ptCount val="4"/>
                <c:pt idx="0">
                  <c:v>0.40313653136531363</c:v>
                </c:pt>
                <c:pt idx="1">
                  <c:v>0.77846863468634686</c:v>
                </c:pt>
                <c:pt idx="2">
                  <c:v>0.92225092250922502</c:v>
                </c:pt>
                <c:pt idx="3">
                  <c:v>0.99999999999999989</c:v>
                </c:pt>
              </c:numCache>
            </c:numRef>
          </c:val>
          <c:smooth val="0"/>
          <c:extLst>
            <c:ext xmlns:c16="http://schemas.microsoft.com/office/drawing/2014/chart" uri="{C3380CC4-5D6E-409C-BE32-E72D297353CC}">
              <c16:uniqueId val="{00000001-7C84-410F-B96B-58A0DA84F7E6}"/>
            </c:ext>
          </c:extLst>
        </c:ser>
        <c:dLbls>
          <c:showLegendKey val="0"/>
          <c:showVal val="0"/>
          <c:showCatName val="0"/>
          <c:showSerName val="0"/>
          <c:showPercent val="0"/>
          <c:showBubbleSize val="0"/>
        </c:dLbls>
        <c:marker val="1"/>
        <c:smooth val="0"/>
        <c:axId val="1521527856"/>
        <c:axId val="1521525456"/>
      </c:lineChart>
      <c:catAx>
        <c:axId val="152151969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21522576"/>
        <c:crosses val="autoZero"/>
        <c:auto val="1"/>
        <c:lblAlgn val="ctr"/>
        <c:lblOffset val="100"/>
        <c:noMultiLvlLbl val="0"/>
      </c:catAx>
      <c:valAx>
        <c:axId val="1521522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21519696"/>
        <c:crosses val="autoZero"/>
        <c:crossBetween val="between"/>
      </c:valAx>
      <c:catAx>
        <c:axId val="1521527856"/>
        <c:scaling>
          <c:orientation val="minMax"/>
        </c:scaling>
        <c:delete val="1"/>
        <c:axPos val="b"/>
        <c:numFmt formatCode="General" sourceLinked="1"/>
        <c:majorTickMark val="none"/>
        <c:minorTickMark val="none"/>
        <c:tickLblPos val="nextTo"/>
        <c:crossAx val="1521525456"/>
        <c:crosses val="autoZero"/>
        <c:auto val="1"/>
        <c:lblAlgn val="ctr"/>
        <c:lblOffset val="100"/>
        <c:noMultiLvlLbl val="0"/>
      </c:catAx>
      <c:valAx>
        <c:axId val="1521525456"/>
        <c:scaling>
          <c:orientation val="minMax"/>
          <c:max val="1"/>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21527856"/>
        <c:crosses val="max"/>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7.5361812805073577E-2"/>
          <c:y val="0.21376811594202899"/>
          <c:w val="0.90045248868778283"/>
          <c:h val="0.62352733082277756"/>
        </c:manualLayout>
      </c:layout>
      <c:barChart>
        <c:barDir val="col"/>
        <c:grouping val="clustered"/>
        <c:varyColors val="0"/>
        <c:ser>
          <c:idx val="0"/>
          <c:order val="0"/>
          <c:tx>
            <c:strRef>
              <c:f>'Daily Sales'!$P$46</c:f>
              <c:strCache>
                <c:ptCount val="1"/>
                <c:pt idx="0">
                  <c:v>Sales Velocity (units/week)</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'Daily Sales'!$O$47:$O$50</c:f>
              <c:strCache>
                <c:ptCount val="4"/>
                <c:pt idx="0">
                  <c:v>Earrings</c:v>
                </c:pt>
                <c:pt idx="1">
                  <c:v>Bracelets</c:v>
                </c:pt>
                <c:pt idx="2">
                  <c:v>Rings</c:v>
                </c:pt>
                <c:pt idx="3">
                  <c:v>Neckpieces</c:v>
                </c:pt>
              </c:strCache>
            </c:strRef>
          </c:cat>
          <c:val>
            <c:numRef>
              <c:f>'Daily Sales'!$P$47:$P$50</c:f>
              <c:numCache>
                <c:formatCode>General</c:formatCode>
                <c:ptCount val="4"/>
                <c:pt idx="0">
                  <c:v>7.8460000000000001</c:v>
                </c:pt>
                <c:pt idx="1">
                  <c:v>5.2309999999999999</c:v>
                </c:pt>
                <c:pt idx="2">
                  <c:v>3</c:v>
                </c:pt>
                <c:pt idx="3">
                  <c:v>1.538</c:v>
                </c:pt>
              </c:numCache>
            </c:numRef>
          </c:val>
          <c:extLst>
            <c:ext xmlns:c16="http://schemas.microsoft.com/office/drawing/2014/chart" uri="{C3380CC4-5D6E-409C-BE32-E72D297353CC}">
              <c16:uniqueId val="{00000000-3E41-4FC1-9747-7318554670D3}"/>
            </c:ext>
          </c:extLst>
        </c:ser>
        <c:dLbls>
          <c:dLblPos val="inEnd"/>
          <c:showLegendKey val="0"/>
          <c:showVal val="1"/>
          <c:showCatName val="0"/>
          <c:showSerName val="0"/>
          <c:showPercent val="0"/>
          <c:showBubbleSize val="0"/>
        </c:dLbls>
        <c:gapWidth val="100"/>
        <c:overlap val="-24"/>
        <c:axId val="596722479"/>
        <c:axId val="596717199"/>
      </c:barChart>
      <c:catAx>
        <c:axId val="59672247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17199"/>
        <c:crosses val="autoZero"/>
        <c:auto val="1"/>
        <c:lblAlgn val="ctr"/>
        <c:lblOffset val="100"/>
        <c:noMultiLvlLbl val="0"/>
      </c:catAx>
      <c:valAx>
        <c:axId val="596717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2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Demand Variability by Category (CV%)</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'Daily Sales'!$AC$16</c:f>
              <c:strCache>
                <c:ptCount val="1"/>
                <c:pt idx="0">
                  <c:v>CV %</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'Daily Sales'!$W$36:$W$39</c:f>
              <c:numCache>
                <c:formatCode>General</c:formatCode>
                <c:ptCount val="4"/>
              </c:numCache>
            </c:numRef>
          </c:cat>
          <c:val>
            <c:numRef>
              <c:f>'Daily Sales'!$AC$17:$AC$20</c:f>
              <c:numCache>
                <c:formatCode>General</c:formatCode>
                <c:ptCount val="4"/>
                <c:pt idx="0">
                  <c:v>74.181928930715031</c:v>
                </c:pt>
                <c:pt idx="1">
                  <c:v>52.678268764263677</c:v>
                </c:pt>
                <c:pt idx="2">
                  <c:v>38.036815165816371</c:v>
                </c:pt>
                <c:pt idx="3">
                  <c:v>33.405343210589841</c:v>
                </c:pt>
              </c:numCache>
            </c:numRef>
          </c:val>
          <c:extLst>
            <c:ext xmlns:c16="http://schemas.microsoft.com/office/drawing/2014/chart" uri="{C3380CC4-5D6E-409C-BE32-E72D297353CC}">
              <c16:uniqueId val="{00000000-D989-4281-8929-3A5943B43E1F}"/>
            </c:ext>
          </c:extLst>
        </c:ser>
        <c:dLbls>
          <c:dLblPos val="inEnd"/>
          <c:showLegendKey val="0"/>
          <c:showVal val="1"/>
          <c:showCatName val="0"/>
          <c:showSerName val="0"/>
          <c:showPercent val="0"/>
          <c:showBubbleSize val="0"/>
        </c:dLbls>
        <c:gapWidth val="100"/>
        <c:overlap val="-24"/>
        <c:axId val="596745999"/>
        <c:axId val="596748399"/>
      </c:barChart>
      <c:catAx>
        <c:axId val="59674599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48399"/>
        <c:crosses val="autoZero"/>
        <c:auto val="1"/>
        <c:lblAlgn val="ctr"/>
        <c:lblOffset val="100"/>
        <c:noMultiLvlLbl val="0"/>
      </c:catAx>
      <c:valAx>
        <c:axId val="596748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45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Category Month-over-Month Growth</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'Daily Sales'!$S$60</c:f>
              <c:strCache>
                <c:ptCount val="1"/>
                <c:pt idx="0">
                  <c:v>Apr_Growth_%</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'Daily Sales'!$R$61:$R$64</c:f>
              <c:strCache>
                <c:ptCount val="4"/>
                <c:pt idx="0">
                  <c:v>Bracelets</c:v>
                </c:pt>
                <c:pt idx="1">
                  <c:v>Earrings</c:v>
                </c:pt>
                <c:pt idx="2">
                  <c:v>Neckpieces</c:v>
                </c:pt>
                <c:pt idx="3">
                  <c:v>Rings</c:v>
                </c:pt>
              </c:strCache>
            </c:strRef>
          </c:cat>
          <c:val>
            <c:numRef>
              <c:f>'Daily Sales'!$S$61:$S$64</c:f>
              <c:numCache>
                <c:formatCode>General</c:formatCode>
                <c:ptCount val="4"/>
                <c:pt idx="0">
                  <c:v>31.7</c:v>
                </c:pt>
                <c:pt idx="1">
                  <c:v>4.0599999999999996</c:v>
                </c:pt>
                <c:pt idx="2">
                  <c:v>184.95</c:v>
                </c:pt>
                <c:pt idx="3">
                  <c:v>654.46</c:v>
                </c:pt>
              </c:numCache>
            </c:numRef>
          </c:val>
          <c:extLst>
            <c:ext xmlns:c16="http://schemas.microsoft.com/office/drawing/2014/chart" uri="{C3380CC4-5D6E-409C-BE32-E72D297353CC}">
              <c16:uniqueId val="{00000000-53CE-433B-A887-7A621EEA6072}"/>
            </c:ext>
          </c:extLst>
        </c:ser>
        <c:ser>
          <c:idx val="1"/>
          <c:order val="1"/>
          <c:tx>
            <c:strRef>
              <c:f>'Daily Sales'!$T$60</c:f>
              <c:strCache>
                <c:ptCount val="1"/>
                <c:pt idx="0">
                  <c:v>May_Growth_%</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'Daily Sales'!$R$61:$R$64</c:f>
              <c:strCache>
                <c:ptCount val="4"/>
                <c:pt idx="0">
                  <c:v>Bracelets</c:v>
                </c:pt>
                <c:pt idx="1">
                  <c:v>Earrings</c:v>
                </c:pt>
                <c:pt idx="2">
                  <c:v>Neckpieces</c:v>
                </c:pt>
                <c:pt idx="3">
                  <c:v>Rings</c:v>
                </c:pt>
              </c:strCache>
            </c:strRef>
          </c:cat>
          <c:val>
            <c:numRef>
              <c:f>'Daily Sales'!$T$61:$T$64</c:f>
              <c:numCache>
                <c:formatCode>General</c:formatCode>
                <c:ptCount val="4"/>
                <c:pt idx="0">
                  <c:v>53.58</c:v>
                </c:pt>
                <c:pt idx="1">
                  <c:v>87.37</c:v>
                </c:pt>
                <c:pt idx="2">
                  <c:v>46.59</c:v>
                </c:pt>
                <c:pt idx="3">
                  <c:v>17.309999999999999</c:v>
                </c:pt>
              </c:numCache>
            </c:numRef>
          </c:val>
          <c:extLst>
            <c:ext xmlns:c16="http://schemas.microsoft.com/office/drawing/2014/chart" uri="{C3380CC4-5D6E-409C-BE32-E72D297353CC}">
              <c16:uniqueId val="{00000001-53CE-433B-A887-7A621EEA6072}"/>
            </c:ext>
          </c:extLst>
        </c:ser>
        <c:dLbls>
          <c:dLblPos val="inEnd"/>
          <c:showLegendKey val="0"/>
          <c:showVal val="1"/>
          <c:showCatName val="0"/>
          <c:showSerName val="0"/>
          <c:showPercent val="0"/>
          <c:showBubbleSize val="0"/>
        </c:dLbls>
        <c:gapWidth val="100"/>
        <c:overlap val="-24"/>
        <c:axId val="596733519"/>
        <c:axId val="596717679"/>
      </c:barChart>
      <c:catAx>
        <c:axId val="59673351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17679"/>
        <c:crosses val="autoZero"/>
        <c:auto val="1"/>
        <c:lblAlgn val="ctr"/>
        <c:lblOffset val="100"/>
        <c:noMultiLvlLbl val="0"/>
      </c:catAx>
      <c:valAx>
        <c:axId val="596717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967335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Price vs. Velocity</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scatterChart>
        <c:scatterStyle val="lineMarker"/>
        <c:varyColors val="0"/>
        <c:ser>
          <c:idx val="0"/>
          <c:order val="0"/>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ln>
              <a:effectLst/>
            </c:spPr>
            <c:trendlineType val="linear"/>
            <c:dispRSqr val="0"/>
            <c:dispEq val="0"/>
          </c:trendline>
          <c:trendline>
            <c:spPr>
              <a:ln w="19050" cap="rnd">
                <a:solidFill>
                  <a:schemeClr val="accent1"/>
                </a:solidFill>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'[Jewelry_Orders.xlsx]Daily Sales'!$AI$2:$AI$76</c:f>
              <c:numCache>
                <c:formatCode>General</c:formatCode>
                <c:ptCount val="75"/>
                <c:pt idx="0">
                  <c:v>50</c:v>
                </c:pt>
                <c:pt idx="1">
                  <c:v>75</c:v>
                </c:pt>
                <c:pt idx="2">
                  <c:v>99</c:v>
                </c:pt>
                <c:pt idx="3">
                  <c:v>99</c:v>
                </c:pt>
                <c:pt idx="4">
                  <c:v>120</c:v>
                </c:pt>
                <c:pt idx="5">
                  <c:v>125</c:v>
                </c:pt>
                <c:pt idx="6">
                  <c:v>125</c:v>
                </c:pt>
                <c:pt idx="7">
                  <c:v>149</c:v>
                </c:pt>
                <c:pt idx="8">
                  <c:v>149</c:v>
                </c:pt>
                <c:pt idx="9">
                  <c:v>150</c:v>
                </c:pt>
                <c:pt idx="10">
                  <c:v>175</c:v>
                </c:pt>
                <c:pt idx="11">
                  <c:v>175</c:v>
                </c:pt>
                <c:pt idx="12">
                  <c:v>175</c:v>
                </c:pt>
                <c:pt idx="13">
                  <c:v>175</c:v>
                </c:pt>
                <c:pt idx="14">
                  <c:v>175</c:v>
                </c:pt>
                <c:pt idx="15">
                  <c:v>175</c:v>
                </c:pt>
                <c:pt idx="16">
                  <c:v>175</c:v>
                </c:pt>
                <c:pt idx="17">
                  <c:v>175</c:v>
                </c:pt>
                <c:pt idx="18">
                  <c:v>175</c:v>
                </c:pt>
                <c:pt idx="19">
                  <c:v>180</c:v>
                </c:pt>
                <c:pt idx="20">
                  <c:v>199</c:v>
                </c:pt>
                <c:pt idx="21">
                  <c:v>199</c:v>
                </c:pt>
                <c:pt idx="22">
                  <c:v>199</c:v>
                </c:pt>
                <c:pt idx="23">
                  <c:v>199</c:v>
                </c:pt>
                <c:pt idx="24">
                  <c:v>199</c:v>
                </c:pt>
                <c:pt idx="25">
                  <c:v>199</c:v>
                </c:pt>
                <c:pt idx="26">
                  <c:v>199</c:v>
                </c:pt>
                <c:pt idx="27">
                  <c:v>199</c:v>
                </c:pt>
                <c:pt idx="28">
                  <c:v>199</c:v>
                </c:pt>
                <c:pt idx="29">
                  <c:v>199</c:v>
                </c:pt>
                <c:pt idx="30">
                  <c:v>215</c:v>
                </c:pt>
                <c:pt idx="31">
                  <c:v>225</c:v>
                </c:pt>
                <c:pt idx="32">
                  <c:v>225</c:v>
                </c:pt>
                <c:pt idx="33">
                  <c:v>249</c:v>
                </c:pt>
                <c:pt idx="34">
                  <c:v>249</c:v>
                </c:pt>
                <c:pt idx="35">
                  <c:v>249</c:v>
                </c:pt>
                <c:pt idx="36">
                  <c:v>249</c:v>
                </c:pt>
                <c:pt idx="37">
                  <c:v>249</c:v>
                </c:pt>
                <c:pt idx="38">
                  <c:v>249</c:v>
                </c:pt>
                <c:pt idx="39">
                  <c:v>249</c:v>
                </c:pt>
                <c:pt idx="40">
                  <c:v>249</c:v>
                </c:pt>
                <c:pt idx="41">
                  <c:v>249</c:v>
                </c:pt>
                <c:pt idx="42">
                  <c:v>249</c:v>
                </c:pt>
                <c:pt idx="43">
                  <c:v>249</c:v>
                </c:pt>
                <c:pt idx="44">
                  <c:v>250</c:v>
                </c:pt>
                <c:pt idx="45">
                  <c:v>275</c:v>
                </c:pt>
                <c:pt idx="46">
                  <c:v>275</c:v>
                </c:pt>
                <c:pt idx="47">
                  <c:v>275</c:v>
                </c:pt>
                <c:pt idx="48">
                  <c:v>275</c:v>
                </c:pt>
                <c:pt idx="49">
                  <c:v>275</c:v>
                </c:pt>
                <c:pt idx="50">
                  <c:v>275</c:v>
                </c:pt>
                <c:pt idx="51">
                  <c:v>279</c:v>
                </c:pt>
                <c:pt idx="52">
                  <c:v>299</c:v>
                </c:pt>
                <c:pt idx="53">
                  <c:v>299</c:v>
                </c:pt>
                <c:pt idx="54">
                  <c:v>299</c:v>
                </c:pt>
                <c:pt idx="55">
                  <c:v>299</c:v>
                </c:pt>
                <c:pt idx="56">
                  <c:v>299</c:v>
                </c:pt>
                <c:pt idx="57">
                  <c:v>299</c:v>
                </c:pt>
                <c:pt idx="58">
                  <c:v>299</c:v>
                </c:pt>
                <c:pt idx="59">
                  <c:v>299</c:v>
                </c:pt>
                <c:pt idx="60">
                  <c:v>349</c:v>
                </c:pt>
                <c:pt idx="61">
                  <c:v>349</c:v>
                </c:pt>
                <c:pt idx="62">
                  <c:v>349</c:v>
                </c:pt>
                <c:pt idx="63">
                  <c:v>349</c:v>
                </c:pt>
                <c:pt idx="64">
                  <c:v>349</c:v>
                </c:pt>
                <c:pt idx="65">
                  <c:v>350</c:v>
                </c:pt>
                <c:pt idx="66">
                  <c:v>350</c:v>
                </c:pt>
                <c:pt idx="67">
                  <c:v>375</c:v>
                </c:pt>
                <c:pt idx="68">
                  <c:v>399</c:v>
                </c:pt>
                <c:pt idx="69">
                  <c:v>399</c:v>
                </c:pt>
                <c:pt idx="70">
                  <c:v>399</c:v>
                </c:pt>
                <c:pt idx="71">
                  <c:v>449</c:v>
                </c:pt>
                <c:pt idx="72">
                  <c:v>475</c:v>
                </c:pt>
                <c:pt idx="73">
                  <c:v>499</c:v>
                </c:pt>
                <c:pt idx="74">
                  <c:v>550</c:v>
                </c:pt>
              </c:numCache>
            </c:numRef>
          </c:xVal>
          <c:yVal>
            <c:numRef>
              <c:f>'[Jewelry_Orders.xlsx]Daily Sales'!$AJ$2:$AJ$76</c:f>
              <c:numCache>
                <c:formatCode>General</c:formatCode>
                <c:ptCount val="75"/>
                <c:pt idx="0">
                  <c:v>3</c:v>
                </c:pt>
                <c:pt idx="1">
                  <c:v>2</c:v>
                </c:pt>
                <c:pt idx="2">
                  <c:v>8</c:v>
                </c:pt>
                <c:pt idx="3">
                  <c:v>2</c:v>
                </c:pt>
                <c:pt idx="4">
                  <c:v>6</c:v>
                </c:pt>
                <c:pt idx="5">
                  <c:v>3</c:v>
                </c:pt>
                <c:pt idx="6">
                  <c:v>4</c:v>
                </c:pt>
                <c:pt idx="7">
                  <c:v>1</c:v>
                </c:pt>
                <c:pt idx="8">
                  <c:v>1</c:v>
                </c:pt>
                <c:pt idx="9">
                  <c:v>3</c:v>
                </c:pt>
                <c:pt idx="10">
                  <c:v>2</c:v>
                </c:pt>
                <c:pt idx="11">
                  <c:v>2</c:v>
                </c:pt>
                <c:pt idx="12">
                  <c:v>4</c:v>
                </c:pt>
                <c:pt idx="13">
                  <c:v>11</c:v>
                </c:pt>
                <c:pt idx="14">
                  <c:v>5</c:v>
                </c:pt>
                <c:pt idx="15">
                  <c:v>7</c:v>
                </c:pt>
                <c:pt idx="16">
                  <c:v>5</c:v>
                </c:pt>
                <c:pt idx="17">
                  <c:v>5</c:v>
                </c:pt>
                <c:pt idx="18">
                  <c:v>2</c:v>
                </c:pt>
                <c:pt idx="19">
                  <c:v>2</c:v>
                </c:pt>
                <c:pt idx="20">
                  <c:v>2</c:v>
                </c:pt>
                <c:pt idx="21">
                  <c:v>4</c:v>
                </c:pt>
                <c:pt idx="22">
                  <c:v>2</c:v>
                </c:pt>
                <c:pt idx="23">
                  <c:v>4</c:v>
                </c:pt>
                <c:pt idx="24">
                  <c:v>2</c:v>
                </c:pt>
                <c:pt idx="25">
                  <c:v>2</c:v>
                </c:pt>
                <c:pt idx="26">
                  <c:v>3</c:v>
                </c:pt>
                <c:pt idx="27">
                  <c:v>3</c:v>
                </c:pt>
                <c:pt idx="28">
                  <c:v>7</c:v>
                </c:pt>
                <c:pt idx="29">
                  <c:v>4</c:v>
                </c:pt>
                <c:pt idx="30">
                  <c:v>2</c:v>
                </c:pt>
                <c:pt idx="31">
                  <c:v>5</c:v>
                </c:pt>
                <c:pt idx="32">
                  <c:v>3</c:v>
                </c:pt>
                <c:pt idx="33">
                  <c:v>3</c:v>
                </c:pt>
                <c:pt idx="34">
                  <c:v>2</c:v>
                </c:pt>
                <c:pt idx="35">
                  <c:v>3</c:v>
                </c:pt>
                <c:pt idx="36">
                  <c:v>2</c:v>
                </c:pt>
                <c:pt idx="37">
                  <c:v>2</c:v>
                </c:pt>
                <c:pt idx="38">
                  <c:v>5</c:v>
                </c:pt>
                <c:pt idx="39">
                  <c:v>3</c:v>
                </c:pt>
                <c:pt idx="40">
                  <c:v>1</c:v>
                </c:pt>
                <c:pt idx="41">
                  <c:v>1</c:v>
                </c:pt>
                <c:pt idx="42">
                  <c:v>3</c:v>
                </c:pt>
                <c:pt idx="43">
                  <c:v>4</c:v>
                </c:pt>
                <c:pt idx="44">
                  <c:v>2</c:v>
                </c:pt>
                <c:pt idx="45">
                  <c:v>3</c:v>
                </c:pt>
                <c:pt idx="46">
                  <c:v>3</c:v>
                </c:pt>
                <c:pt idx="47">
                  <c:v>3</c:v>
                </c:pt>
                <c:pt idx="48">
                  <c:v>3</c:v>
                </c:pt>
                <c:pt idx="49">
                  <c:v>3</c:v>
                </c:pt>
                <c:pt idx="50">
                  <c:v>2</c:v>
                </c:pt>
                <c:pt idx="51">
                  <c:v>3</c:v>
                </c:pt>
                <c:pt idx="52">
                  <c:v>3</c:v>
                </c:pt>
                <c:pt idx="53">
                  <c:v>3</c:v>
                </c:pt>
                <c:pt idx="54">
                  <c:v>1</c:v>
                </c:pt>
                <c:pt idx="55">
                  <c:v>1</c:v>
                </c:pt>
                <c:pt idx="56">
                  <c:v>3</c:v>
                </c:pt>
                <c:pt idx="57">
                  <c:v>2</c:v>
                </c:pt>
                <c:pt idx="58">
                  <c:v>4</c:v>
                </c:pt>
                <c:pt idx="59">
                  <c:v>3</c:v>
                </c:pt>
                <c:pt idx="60">
                  <c:v>2</c:v>
                </c:pt>
                <c:pt idx="61">
                  <c:v>3</c:v>
                </c:pt>
                <c:pt idx="62">
                  <c:v>4</c:v>
                </c:pt>
                <c:pt idx="63">
                  <c:v>4</c:v>
                </c:pt>
                <c:pt idx="64">
                  <c:v>1</c:v>
                </c:pt>
                <c:pt idx="65">
                  <c:v>1</c:v>
                </c:pt>
                <c:pt idx="66">
                  <c:v>2</c:v>
                </c:pt>
                <c:pt idx="67">
                  <c:v>3</c:v>
                </c:pt>
                <c:pt idx="68">
                  <c:v>2</c:v>
                </c:pt>
                <c:pt idx="69">
                  <c:v>3</c:v>
                </c:pt>
                <c:pt idx="70">
                  <c:v>3</c:v>
                </c:pt>
                <c:pt idx="71">
                  <c:v>3</c:v>
                </c:pt>
                <c:pt idx="72">
                  <c:v>1</c:v>
                </c:pt>
                <c:pt idx="73">
                  <c:v>3</c:v>
                </c:pt>
                <c:pt idx="74">
                  <c:v>2</c:v>
                </c:pt>
              </c:numCache>
            </c:numRef>
          </c:yVal>
          <c:smooth val="0"/>
          <c:extLst>
            <c:ext xmlns:c16="http://schemas.microsoft.com/office/drawing/2014/chart" uri="{C3380CC4-5D6E-409C-BE32-E72D297353CC}">
              <c16:uniqueId val="{00000002-1A34-4DDC-8E30-BAF76CC7C5B1}"/>
            </c:ext>
          </c:extLst>
        </c:ser>
        <c:dLbls>
          <c:showLegendKey val="0"/>
          <c:showVal val="0"/>
          <c:showCatName val="0"/>
          <c:showSerName val="0"/>
          <c:showPercent val="0"/>
          <c:showBubbleSize val="0"/>
        </c:dLbls>
        <c:axId val="718808303"/>
        <c:axId val="718809743"/>
      </c:scatterChart>
      <c:valAx>
        <c:axId val="71880830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18809743"/>
        <c:crosses val="autoZero"/>
        <c:crossBetween val="midCat"/>
      </c:valAx>
      <c:valAx>
        <c:axId val="718809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1880830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Payment Mode Distribution (% of Revenue)</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'Product Summary'!$K$8</c:f>
              <c:strCache>
                <c:ptCount val="1"/>
                <c:pt idx="0">
                  <c:v>Revenue</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CB47-4A97-A39A-01A959366BBA}"/>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CB47-4A97-A39A-01A959366BBA}"/>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CB47-4A97-A39A-01A959366BBA}"/>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'Product Summary'!$J$9:$J$11</c:f>
              <c:strCache>
                <c:ptCount val="3"/>
                <c:pt idx="0">
                  <c:v>UPI</c:v>
                </c:pt>
                <c:pt idx="1">
                  <c:v>Cash</c:v>
                </c:pt>
                <c:pt idx="2">
                  <c:v>Card</c:v>
                </c:pt>
              </c:strCache>
            </c:strRef>
          </c:cat>
          <c:val>
            <c:numRef>
              <c:f>'Product Summary'!$K$9:$K$11</c:f>
              <c:numCache>
                <c:formatCode>General</c:formatCode>
                <c:ptCount val="3"/>
                <c:pt idx="0">
                  <c:v>48088</c:v>
                </c:pt>
                <c:pt idx="1">
                  <c:v>1096</c:v>
                </c:pt>
                <c:pt idx="2">
                  <c:v>5016</c:v>
                </c:pt>
              </c:numCache>
            </c:numRef>
          </c:val>
          <c:extLst>
            <c:ext xmlns:c16="http://schemas.microsoft.com/office/drawing/2014/chart" uri="{C3380CC4-5D6E-409C-BE32-E72D297353CC}">
              <c16:uniqueId val="{00000006-CB47-4A97-A39A-01A959366BB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Average Order Value by Number of Items in Order</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'Product Summary'!$K$27</c:f>
              <c:strCache>
                <c:ptCount val="1"/>
                <c:pt idx="0">
                  <c:v>Avg Order Value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'Product Summary'!$J$28:$J$30</c:f>
              <c:strCache>
                <c:ptCount val="3"/>
                <c:pt idx="0">
                  <c:v>One</c:v>
                </c:pt>
                <c:pt idx="1">
                  <c:v>Two</c:v>
                </c:pt>
                <c:pt idx="2">
                  <c:v>Three</c:v>
                </c:pt>
              </c:strCache>
            </c:strRef>
          </c:cat>
          <c:val>
            <c:numRef>
              <c:f>'Product Summary'!$K$28:$K$30</c:f>
              <c:numCache>
                <c:formatCode>General</c:formatCode>
                <c:ptCount val="3"/>
                <c:pt idx="0">
                  <c:v>290.5</c:v>
                </c:pt>
                <c:pt idx="1">
                  <c:v>560.9</c:v>
                </c:pt>
                <c:pt idx="2">
                  <c:v>746.3</c:v>
                </c:pt>
              </c:numCache>
            </c:numRef>
          </c:val>
          <c:extLst>
            <c:ext xmlns:c16="http://schemas.microsoft.com/office/drawing/2014/chart" uri="{C3380CC4-5D6E-409C-BE32-E72D297353CC}">
              <c16:uniqueId val="{00000000-4A52-492A-93AC-647FBC6A4BAA}"/>
            </c:ext>
          </c:extLst>
        </c:ser>
        <c:dLbls>
          <c:dLblPos val="inEnd"/>
          <c:showLegendKey val="0"/>
          <c:showVal val="1"/>
          <c:showCatName val="0"/>
          <c:showSerName val="0"/>
          <c:showPercent val="0"/>
          <c:showBubbleSize val="0"/>
        </c:dLbls>
        <c:gapWidth val="100"/>
        <c:overlap val="-24"/>
        <c:axId val="1897283792"/>
        <c:axId val="1722119376"/>
      </c:barChart>
      <c:catAx>
        <c:axId val="1897283792"/>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No. of Items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22119376"/>
        <c:crosses val="autoZero"/>
        <c:auto val="1"/>
        <c:lblAlgn val="ctr"/>
        <c:lblOffset val="100"/>
        <c:noMultiLvlLbl val="0"/>
      </c:catAx>
      <c:valAx>
        <c:axId val="1722119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Avg Order Value (₹)</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972837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Hold Outcome Distribution</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'Hold Tracker'!$U$34</c:f>
              <c:strCache>
                <c:ptCount val="1"/>
                <c:pt idx="0">
                  <c:v>Count</c:v>
                </c:pt>
              </c:strCache>
            </c:strRef>
          </c:tx>
          <c:dPt>
            <c:idx val="0"/>
            <c:bubble3D val="0"/>
            <c:spPr>
              <a:gradFill rotWithShape="1">
                <a:gsLst>
                  <a:gs pos="0">
                    <a:schemeClr val="accent1">
                      <a:shade val="51000"/>
                    </a:schemeClr>
                  </a:gs>
                  <a:gs pos="80000">
                    <a:schemeClr val="accent1">
                      <a:shade val="93000"/>
                    </a:schemeClr>
                  </a:gs>
                  <a:gs pos="100000">
                    <a:schemeClr val="accent1">
                      <a:shade val="94000"/>
                    </a:schemeClr>
                  </a:gs>
                </a:gsLst>
                <a:lin ang="16200000" scaled="0"/>
                <a:tileRect/>
              </a:gradFill>
              <a:ln>
                <a:noFill/>
              </a:ln>
              <a:effectLst/>
            </c:spPr>
            <c:extLst>
              <c:ext xmlns:c16="http://schemas.microsoft.com/office/drawing/2014/chart" uri="{C3380CC4-5D6E-409C-BE32-E72D297353CC}">
                <c16:uniqueId val="{00000001-E90A-4DF1-8F4B-0888499E311D}"/>
              </c:ext>
            </c:extLst>
          </c:dPt>
          <c:dPt>
            <c:idx val="1"/>
            <c:bubble3D val="0"/>
            <c:spPr>
              <a:gradFill rotWithShape="1">
                <a:gsLst>
                  <a:gs pos="0">
                    <a:schemeClr val="accent2">
                      <a:shade val="51000"/>
                    </a:schemeClr>
                  </a:gs>
                  <a:gs pos="80000">
                    <a:schemeClr val="accent2">
                      <a:shade val="93000"/>
                    </a:schemeClr>
                  </a:gs>
                  <a:gs pos="100000">
                    <a:schemeClr val="accent2">
                      <a:shade val="94000"/>
                    </a:schemeClr>
                  </a:gs>
                </a:gsLst>
                <a:lin ang="16200000" scaled="0"/>
                <a:tileRect/>
              </a:gradFill>
              <a:ln>
                <a:noFill/>
              </a:ln>
              <a:effectLst/>
            </c:spPr>
            <c:extLst>
              <c:ext xmlns:c16="http://schemas.microsoft.com/office/drawing/2014/chart" uri="{C3380CC4-5D6E-409C-BE32-E72D297353CC}">
                <c16:uniqueId val="{00000003-E90A-4DF1-8F4B-0888499E311D}"/>
              </c:ext>
            </c:extLst>
          </c:dPt>
          <c:dLbls>
            <c:dLbl>
              <c:idx val="0"/>
              <c:dLblPos val="ct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E90A-4DF1-8F4B-0888499E311D}"/>
                </c:ext>
              </c:extLst>
            </c:dLbl>
            <c:dLbl>
              <c:idx val="1"/>
              <c:dLblPos val="ct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E90A-4DF1-8F4B-0888499E311D}"/>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'Hold Tracker'!$T$35:$T$36</c:f>
              <c:strCache>
                <c:ptCount val="2"/>
                <c:pt idx="0">
                  <c:v>Converted</c:v>
                </c:pt>
                <c:pt idx="1">
                  <c:v>Ghosted</c:v>
                </c:pt>
              </c:strCache>
            </c:strRef>
          </c:cat>
          <c:val>
            <c:numRef>
              <c:f>'Hold Tracker'!$U$35:$U$36</c:f>
              <c:numCache>
                <c:formatCode>General</c:formatCode>
                <c:ptCount val="2"/>
                <c:pt idx="0">
                  <c:v>29</c:v>
                </c:pt>
                <c:pt idx="1">
                  <c:v>7</c:v>
                </c:pt>
              </c:numCache>
            </c:numRef>
          </c:val>
          <c:extLst>
            <c:ext xmlns:c16="http://schemas.microsoft.com/office/drawing/2014/chart" uri="{C3380CC4-5D6E-409C-BE32-E72D297353CC}">
              <c16:uniqueId val="{00000004-E90A-4DF1-8F4B-0888499E311D}"/>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Ghost Rate by Product Category</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'Hold Tracker'!$U$21</c:f>
              <c:strCache>
                <c:ptCount val="1"/>
                <c:pt idx="0">
                  <c:v>Ghost Rate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Tracker'!$T$22:$T$25</c:f>
              <c:strCache>
                <c:ptCount val="4"/>
                <c:pt idx="0">
                  <c:v>Earrings</c:v>
                </c:pt>
                <c:pt idx="1">
                  <c:v>Bracelets</c:v>
                </c:pt>
                <c:pt idx="2">
                  <c:v>Rings</c:v>
                </c:pt>
                <c:pt idx="3">
                  <c:v>Neckpieces</c:v>
                </c:pt>
              </c:strCache>
            </c:strRef>
          </c:cat>
          <c:val>
            <c:numRef>
              <c:f>'Hold Tracker'!$U$22:$U$25</c:f>
              <c:numCache>
                <c:formatCode>0%</c:formatCode>
                <c:ptCount val="4"/>
                <c:pt idx="0">
                  <c:v>0.21</c:v>
                </c:pt>
                <c:pt idx="1">
                  <c:v>0.2</c:v>
                </c:pt>
                <c:pt idx="2">
                  <c:v>0.25</c:v>
                </c:pt>
                <c:pt idx="3">
                  <c:v>0</c:v>
                </c:pt>
              </c:numCache>
            </c:numRef>
          </c:val>
          <c:extLst>
            <c:ext xmlns:c16="http://schemas.microsoft.com/office/drawing/2014/chart" uri="{C3380CC4-5D6E-409C-BE32-E72D297353CC}">
              <c16:uniqueId val="{00000000-205E-4C59-9C00-774F5CFBF646}"/>
            </c:ext>
          </c:extLst>
        </c:ser>
        <c:dLbls>
          <c:dLblPos val="inEnd"/>
          <c:showLegendKey val="0"/>
          <c:showVal val="1"/>
          <c:showCatName val="0"/>
          <c:showSerName val="0"/>
          <c:showPercent val="0"/>
          <c:showBubbleSize val="0"/>
        </c:dLbls>
        <c:gapWidth val="100"/>
        <c:overlap val="-24"/>
        <c:axId val="836747423"/>
        <c:axId val="836749343"/>
      </c:barChart>
      <c:catAx>
        <c:axId val="83674742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749343"/>
        <c:crosses val="autoZero"/>
        <c:auto val="1"/>
        <c:lblAlgn val="ctr"/>
        <c:lblOffset val="100"/>
        <c:noMultiLvlLbl val="0"/>
      </c:catAx>
      <c:valAx>
        <c:axId val="83674934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7474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Monthly Ghost Rate Trend</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'Hold Tracker'!$U$28</c:f>
              <c:strCache>
                <c:ptCount val="1"/>
                <c:pt idx="0">
                  <c:v>Ghost Rate</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Tracker'!$T$29:$T$31</c:f>
              <c:strCache>
                <c:ptCount val="3"/>
                <c:pt idx="0">
                  <c:v>Mar</c:v>
                </c:pt>
                <c:pt idx="1">
                  <c:v>Apr</c:v>
                </c:pt>
                <c:pt idx="2">
                  <c:v>May</c:v>
                </c:pt>
              </c:strCache>
            </c:strRef>
          </c:cat>
          <c:val>
            <c:numRef>
              <c:f>'Hold Tracker'!$U$29:$U$31</c:f>
              <c:numCache>
                <c:formatCode>0%</c:formatCode>
                <c:ptCount val="3"/>
                <c:pt idx="0">
                  <c:v>0.25</c:v>
                </c:pt>
                <c:pt idx="1">
                  <c:v>0.2</c:v>
                </c:pt>
                <c:pt idx="2">
                  <c:v>0.17</c:v>
                </c:pt>
              </c:numCache>
            </c:numRef>
          </c:val>
          <c:smooth val="0"/>
          <c:extLst>
            <c:ext xmlns:c16="http://schemas.microsoft.com/office/drawing/2014/chart" uri="{C3380CC4-5D6E-409C-BE32-E72D297353CC}">
              <c16:uniqueId val="{00000000-AE9D-46BD-A299-480CD6F9C8DD}"/>
            </c:ext>
          </c:extLst>
        </c:ser>
        <c:dLbls>
          <c:dLblPos val="ctr"/>
          <c:showLegendKey val="0"/>
          <c:showVal val="1"/>
          <c:showCatName val="0"/>
          <c:showSerName val="0"/>
          <c:showPercent val="0"/>
          <c:showBubbleSize val="0"/>
        </c:dLbls>
        <c:smooth val="0"/>
        <c:axId val="988132351"/>
        <c:axId val="988132831"/>
      </c:lineChart>
      <c:catAx>
        <c:axId val="988132351"/>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88132831"/>
        <c:crosses val="autoZero"/>
        <c:auto val="1"/>
        <c:lblAlgn val="ctr"/>
        <c:lblOffset val="100"/>
        <c:noMultiLvlLbl val="0"/>
      </c:catAx>
      <c:valAx>
        <c:axId val="9881328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881323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Hold Duration Distribution</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5.2324811333345086E-2"/>
          <c:y val="0.1694552401941451"/>
          <c:w val="0.90814196242171186"/>
          <c:h val="0.61373064426426249"/>
        </c:manualLayout>
      </c:layout>
      <c:barChart>
        <c:barDir val="col"/>
        <c:grouping val="clustered"/>
        <c:varyColors val="0"/>
        <c:ser>
          <c:idx val="0"/>
          <c:order val="0"/>
          <c:tx>
            <c:strRef>
              <c:f>'Hold Tracker'!$U$1</c:f>
              <c:strCache>
                <c:ptCount val="1"/>
                <c:pt idx="0">
                  <c:v>Converted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Tracker'!$T$2:$T$5</c:f>
              <c:strCache>
                <c:ptCount val="4"/>
                <c:pt idx="0">
                  <c:v>0–6 hrs</c:v>
                </c:pt>
                <c:pt idx="1">
                  <c:v>6–24 hrs</c:v>
                </c:pt>
                <c:pt idx="2">
                  <c:v>24–48 hrs</c:v>
                </c:pt>
                <c:pt idx="3">
                  <c:v>48+ hrs</c:v>
                </c:pt>
              </c:strCache>
            </c:strRef>
          </c:cat>
          <c:val>
            <c:numRef>
              <c:f>'Hold Tracker'!$U$2:$U$5</c:f>
              <c:numCache>
                <c:formatCode>General</c:formatCode>
                <c:ptCount val="4"/>
                <c:pt idx="0">
                  <c:v>20</c:v>
                </c:pt>
                <c:pt idx="1">
                  <c:v>4</c:v>
                </c:pt>
                <c:pt idx="2">
                  <c:v>5</c:v>
                </c:pt>
                <c:pt idx="3">
                  <c:v>0</c:v>
                </c:pt>
              </c:numCache>
            </c:numRef>
          </c:val>
          <c:extLst>
            <c:ext xmlns:c16="http://schemas.microsoft.com/office/drawing/2014/chart" uri="{C3380CC4-5D6E-409C-BE32-E72D297353CC}">
              <c16:uniqueId val="{00000000-EDB4-4316-8839-4F3CDBF0D515}"/>
            </c:ext>
          </c:extLst>
        </c:ser>
        <c:ser>
          <c:idx val="1"/>
          <c:order val="1"/>
          <c:tx>
            <c:strRef>
              <c:f>'Hold Tracker'!$V$1</c:f>
              <c:strCache>
                <c:ptCount val="1"/>
                <c:pt idx="0">
                  <c:v>Ghosted</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Tracker'!$T$2:$T$5</c:f>
              <c:strCache>
                <c:ptCount val="4"/>
                <c:pt idx="0">
                  <c:v>0–6 hrs</c:v>
                </c:pt>
                <c:pt idx="1">
                  <c:v>6–24 hrs</c:v>
                </c:pt>
                <c:pt idx="2">
                  <c:v>24–48 hrs</c:v>
                </c:pt>
                <c:pt idx="3">
                  <c:v>48+ hrs</c:v>
                </c:pt>
              </c:strCache>
            </c:strRef>
          </c:cat>
          <c:val>
            <c:numRef>
              <c:f>'Hold Tracker'!$V$2:$V$5</c:f>
              <c:numCache>
                <c:formatCode>General</c:formatCode>
                <c:ptCount val="4"/>
                <c:pt idx="0">
                  <c:v>0</c:v>
                </c:pt>
                <c:pt idx="1">
                  <c:v>0</c:v>
                </c:pt>
                <c:pt idx="2">
                  <c:v>2</c:v>
                </c:pt>
                <c:pt idx="3">
                  <c:v>5</c:v>
                </c:pt>
              </c:numCache>
            </c:numRef>
          </c:val>
          <c:extLst>
            <c:ext xmlns:c16="http://schemas.microsoft.com/office/drawing/2014/chart" uri="{C3380CC4-5D6E-409C-BE32-E72D297353CC}">
              <c16:uniqueId val="{00000001-EDB4-4316-8839-4F3CDBF0D515}"/>
            </c:ext>
          </c:extLst>
        </c:ser>
        <c:dLbls>
          <c:dLblPos val="inEnd"/>
          <c:showLegendKey val="0"/>
          <c:showVal val="1"/>
          <c:showCatName val="0"/>
          <c:showSerName val="0"/>
          <c:showPercent val="0"/>
          <c:showBubbleSize val="0"/>
        </c:dLbls>
        <c:gapWidth val="100"/>
        <c:overlap val="-24"/>
        <c:axId val="836752703"/>
        <c:axId val="836753183"/>
      </c:barChart>
      <c:catAx>
        <c:axId val="83675270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753183"/>
        <c:crosses val="autoZero"/>
        <c:auto val="1"/>
        <c:lblAlgn val="ctr"/>
        <c:lblOffset val="100"/>
        <c:noMultiLvlLbl val="0"/>
      </c:catAx>
      <c:valAx>
        <c:axId val="8367531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836752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Financial Impact of Bargaining</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6.3272936439459304E-2"/>
          <c:y val="0.26022304832713755"/>
          <c:w val="0.87345412712108139"/>
          <c:h val="0.55499458478470864"/>
        </c:manualLayout>
      </c:layout>
      <c:barChart>
        <c:barDir val="col"/>
        <c:grouping val="clustered"/>
        <c:varyColors val="0"/>
        <c:ser>
          <c:idx val="0"/>
          <c:order val="0"/>
          <c:tx>
            <c:strRef>
              <c:f>'Hold Tracker'!$U$39</c:f>
              <c:strCache>
                <c:ptCount val="1"/>
                <c:pt idx="0">
                  <c:v>Amount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Tracker'!$T$40:$T$41</c:f>
              <c:strCache>
                <c:ptCount val="2"/>
                <c:pt idx="0">
                  <c:v>Bargained Converted Orders</c:v>
                </c:pt>
                <c:pt idx="1">
                  <c:v>Estimated Revenue Reduction</c:v>
                </c:pt>
              </c:strCache>
            </c:strRef>
          </c:cat>
          <c:val>
            <c:numRef>
              <c:f>'Hold Tracker'!$U$40:$U$41</c:f>
              <c:numCache>
                <c:formatCode>General</c:formatCode>
                <c:ptCount val="2"/>
                <c:pt idx="0">
                  <c:v>10230</c:v>
                </c:pt>
                <c:pt idx="1">
                  <c:v>925</c:v>
                </c:pt>
              </c:numCache>
            </c:numRef>
          </c:val>
          <c:extLst>
            <c:ext xmlns:c16="http://schemas.microsoft.com/office/drawing/2014/chart" uri="{C3380CC4-5D6E-409C-BE32-E72D297353CC}">
              <c16:uniqueId val="{00000000-DA0A-4544-9D82-382906B676DE}"/>
            </c:ext>
          </c:extLst>
        </c:ser>
        <c:dLbls>
          <c:dLblPos val="inEnd"/>
          <c:showLegendKey val="0"/>
          <c:showVal val="1"/>
          <c:showCatName val="0"/>
          <c:showSerName val="0"/>
          <c:showPercent val="0"/>
          <c:showBubbleSize val="0"/>
        </c:dLbls>
        <c:gapWidth val="100"/>
        <c:overlap val="-24"/>
        <c:axId val="1885540623"/>
        <c:axId val="1885541103"/>
      </c:barChart>
      <c:catAx>
        <c:axId val="188554062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5541103"/>
        <c:crosses val="autoZero"/>
        <c:auto val="1"/>
        <c:lblAlgn val="ctr"/>
        <c:lblOffset val="100"/>
        <c:noMultiLvlLbl val="0"/>
      </c:catAx>
      <c:valAx>
        <c:axId val="18855411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855406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Inventory Value Released Under Hold Policies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'Hold Tracker'!$U$49</c:f>
              <c:strCache>
                <c:ptCount val="1"/>
                <c:pt idx="0">
                  <c:v>Value Released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Tracker'!$T$50:$T$51</c:f>
              <c:strCache>
                <c:ptCount val="2"/>
                <c:pt idx="0">
                  <c:v>24-hour Rule</c:v>
                </c:pt>
                <c:pt idx="1">
                  <c:v>48-hour Rule</c:v>
                </c:pt>
              </c:strCache>
            </c:strRef>
          </c:cat>
          <c:val>
            <c:numRef>
              <c:f>'Hold Tracker'!$U$50:$U$51</c:f>
              <c:numCache>
                <c:formatCode>General</c:formatCode>
                <c:ptCount val="2"/>
                <c:pt idx="0">
                  <c:v>2320</c:v>
                </c:pt>
                <c:pt idx="1">
                  <c:v>1813</c:v>
                </c:pt>
              </c:numCache>
            </c:numRef>
          </c:val>
          <c:extLst>
            <c:ext xmlns:c16="http://schemas.microsoft.com/office/drawing/2014/chart" uri="{C3380CC4-5D6E-409C-BE32-E72D297353CC}">
              <c16:uniqueId val="{00000000-FF41-4907-9991-17F72BFE2B0F}"/>
            </c:ext>
          </c:extLst>
        </c:ser>
        <c:dLbls>
          <c:dLblPos val="inEnd"/>
          <c:showLegendKey val="0"/>
          <c:showVal val="1"/>
          <c:showCatName val="0"/>
          <c:showSerName val="0"/>
          <c:showPercent val="0"/>
          <c:showBubbleSize val="0"/>
        </c:dLbls>
        <c:gapWidth val="100"/>
        <c:overlap val="-24"/>
        <c:axId val="2127436767"/>
        <c:axId val="2127431487"/>
      </c:barChart>
      <c:catAx>
        <c:axId val="212743676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27431487"/>
        <c:crosses val="autoZero"/>
        <c:auto val="1"/>
        <c:lblAlgn val="ctr"/>
        <c:lblOffset val="100"/>
        <c:noMultiLvlLbl val="0"/>
      </c:catAx>
      <c:valAx>
        <c:axId val="21274314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27436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Ghosted Orders Flagged Under Hold Policies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'Hold Tracker'!$U$44</c:f>
              <c:strCache>
                <c:ptCount val="1"/>
                <c:pt idx="0">
                  <c:v>Orders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Tracker'!$T$45:$T$46</c:f>
              <c:strCache>
                <c:ptCount val="2"/>
                <c:pt idx="0">
                  <c:v>Ghosted &gt;24 hrs</c:v>
                </c:pt>
                <c:pt idx="1">
                  <c:v>Ghosted &gt;48 hrs</c:v>
                </c:pt>
              </c:strCache>
            </c:strRef>
          </c:cat>
          <c:val>
            <c:numRef>
              <c:f>'Hold Tracker'!$U$45:$U$46</c:f>
              <c:numCache>
                <c:formatCode>General</c:formatCode>
                <c:ptCount val="2"/>
                <c:pt idx="0">
                  <c:v>7</c:v>
                </c:pt>
                <c:pt idx="1">
                  <c:v>5</c:v>
                </c:pt>
              </c:numCache>
            </c:numRef>
          </c:val>
          <c:extLst>
            <c:ext xmlns:c16="http://schemas.microsoft.com/office/drawing/2014/chart" uri="{C3380CC4-5D6E-409C-BE32-E72D297353CC}">
              <c16:uniqueId val="{00000000-0587-4984-A472-5933C8C1A51C}"/>
            </c:ext>
          </c:extLst>
        </c:ser>
        <c:dLbls>
          <c:dLblPos val="inEnd"/>
          <c:showLegendKey val="0"/>
          <c:showVal val="1"/>
          <c:showCatName val="0"/>
          <c:showSerName val="0"/>
          <c:showPercent val="0"/>
          <c:showBubbleSize val="0"/>
        </c:dLbls>
        <c:gapWidth val="100"/>
        <c:overlap val="-24"/>
        <c:axId val="2127427647"/>
        <c:axId val="2127427167"/>
      </c:barChart>
      <c:catAx>
        <c:axId val="212742764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27427167"/>
        <c:crosses val="autoZero"/>
        <c:auto val="1"/>
        <c:lblAlgn val="ctr"/>
        <c:lblOffset val="100"/>
        <c:noMultiLvlLbl val="0"/>
      </c:catAx>
      <c:valAx>
        <c:axId val="2127427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274276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t>Bargaining Rate: Converted vs Ghosted Holds</a:t>
            </a:r>
            <a:endParaRPr lang="en-US" sz="1200"/>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'Hold Tracker'!$N$37</c:f>
              <c:strCache>
                <c:ptCount val="1"/>
                <c:pt idx="0">
                  <c:v>Bargain Rate %</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'Hold Tracker'!$M$38:$M$39</c:f>
              <c:strCache>
                <c:ptCount val="2"/>
                <c:pt idx="0">
                  <c:v>Converted</c:v>
                </c:pt>
                <c:pt idx="1">
                  <c:v>Ghosted</c:v>
                </c:pt>
              </c:strCache>
            </c:strRef>
          </c:cat>
          <c:val>
            <c:numRef>
              <c:f>'Hold Tracker'!$N$38:$N$39</c:f>
              <c:numCache>
                <c:formatCode>General</c:formatCode>
                <c:ptCount val="2"/>
                <c:pt idx="0">
                  <c:v>69</c:v>
                </c:pt>
                <c:pt idx="1">
                  <c:v>85.7</c:v>
                </c:pt>
              </c:numCache>
            </c:numRef>
          </c:val>
          <c:extLst>
            <c:ext xmlns:c16="http://schemas.microsoft.com/office/drawing/2014/chart" uri="{C3380CC4-5D6E-409C-BE32-E72D297353CC}">
              <c16:uniqueId val="{00000000-F47F-46FD-B6D3-7AA5BF1584B3}"/>
            </c:ext>
          </c:extLst>
        </c:ser>
        <c:dLbls>
          <c:dLblPos val="inEnd"/>
          <c:showLegendKey val="0"/>
          <c:showVal val="1"/>
          <c:showCatName val="0"/>
          <c:showSerName val="0"/>
          <c:showPercent val="0"/>
          <c:showBubbleSize val="0"/>
        </c:dLbls>
        <c:gapWidth val="100"/>
        <c:overlap val="-24"/>
        <c:axId val="1723801936"/>
        <c:axId val="1722121776"/>
      </c:barChart>
      <c:catAx>
        <c:axId val="172380193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22121776"/>
        <c:crosses val="autoZero"/>
        <c:auto val="1"/>
        <c:lblAlgn val="ctr"/>
        <c:lblOffset val="100"/>
        <c:noMultiLvlLbl val="0"/>
      </c:catAx>
      <c:valAx>
        <c:axId val="1722121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t>% of Holds with Bargaining Attempt</a:t>
                </a:r>
              </a:p>
            </c:rich>
          </c:tx>
          <c:layout>
            <c:manualLayout>
              <c:xMode val="edge"/>
              <c:yMode val="edge"/>
              <c:x val="3.6918946131901324E-2"/>
              <c:y val="0.16283716283716285"/>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723801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4.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5.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6.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457C3-0F4A-4AC2-9800-DA74C4A31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20</Pages>
  <Words>6954</Words>
  <Characters>39641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919007212563</cp:lastModifiedBy>
  <cp:revision>42</cp:revision>
  <dcterms:created xsi:type="dcterms:W3CDTF">2026-06-01T06:59:00Z</dcterms:created>
  <dcterms:modified xsi:type="dcterms:W3CDTF">2026-08-02T05:21:00Z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f1efd64e-7f86-4478-94c0-6bd4c6326b84</vt:lpwstr>
  </property>
</Properties>
</file>