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Ritsuko Yoshida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ritsukoyoshida77@gmail.com | </w:t>
      </w:r>
      <w:hyperlink w:history="1" r:id="rIdh13zytasgqeentiyi8wa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linkedin.com/in/ritsuko-yoshida77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| </w:t>
      </w:r>
      <w:hyperlink w:history="1" r:id="rIddspktx51cntfx6win49n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ritsuko-yosh.github.io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| Boston, Massachusetts | 857-639-0973</w:t>
      </w:r>
    </w:p>
    <w:p>
      <w:pPr>
        <w:pBdr>
          <w:bottom w:val="single" w:color="000000" w:sz="6" w:space="1"/>
        </w:pBdr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Hult International Business School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	Cambridge, MA</w:t>
      </w:r>
    </w:p>
    <w:p>
      <w:pPr>
        <w:tabs>
          <w:tab w:val="right" w:pos="10512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Master of Finance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Sep 2026 – Sep 2027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Full scholarship recipient</w:t>
      </w:r>
    </w:p>
    <w:p>
      <w:pPr>
        <w:tabs>
          <w:tab w:val="right" w:pos="10512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Hult International Business School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	Cambridge, MA</w:t>
      </w:r>
    </w:p>
    <w:p>
      <w:pPr>
        <w:tabs>
          <w:tab w:val="right" w:pos="10512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Bachelor of Business Administration in Business Analytics, With Distinction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Sep 2023 – May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GPA: 3.97/4.00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|  Dean's List all 6 semesters  |  Academic Excellence Scholarship and Global Generation Scholarship (merit based)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Relevant coursework: Managerial Accounting, Financial Reporting, Corporate Finance, Business Intelligence and Insights</w:t>
      </w:r>
    </w:p>
    <w:p>
      <w:pPr>
        <w:pBdr>
          <w:bottom w:val="single" w:color="000000" w:sz="6" w:space="1"/>
        </w:pBdr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FINANCE AND ANALYTICS PROJECTS</w:t>
      </w:r>
    </w:p>
    <w:p>
      <w:pPr>
        <w:tabs>
          <w:tab w:val="right" w:pos="10512"/>
        </w:tabs>
        <w:spacing w:after="0" w:before="20"/>
      </w:pPr>
      <w:hyperlink w:history="1" r:id="rIdlk9kftpu3xxw9rqsa66sg">
        <w:r>
          <w:rPr>
            <w:rStyle w:val="Hyperlink"/>
            <w:rFonts w:ascii="Times New Roman" w:cs="Times New Roman" w:eastAsia="Times New Roman" w:hAnsi="Times New Roman"/>
            <w:b/>
            <w:bCs/>
            <w:sz w:val="20"/>
            <w:szCs w:val="20"/>
          </w:rPr>
          <w:t xml:space="preserve">PayPal Financial Statement Forecast</w:t>
        </w:r>
      </w:hyperlink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	Cambridge, MA</w:t>
      </w:r>
    </w:p>
    <w:p>
      <w:pPr>
        <w:tabs>
          <w:tab w:val="right" w:pos="10512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Course project, Managerial Accounting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Sep 2025 – Dec 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4 quarter forecast of PayPal's income statement, balance sheet, and cash flow from SEC filings, with ratio and DuPont analysis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Compared 6 time series methods in Excel, including Holt-Winters, ETS, and regression, to select the revenue model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Revenue forecast came within 2% of reported results in every quarter (0.9% MAPE)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after conservatively lowering the Holt-Winters output by its 2.89% historical error</w:t>
      </w:r>
    </w:p>
    <w:p>
      <w:pPr>
        <w:tabs>
          <w:tab w:val="right" w:pos="10512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Open Avenues Foundation, Build Fellowship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	Remote</w:t>
      </w:r>
    </w:p>
    <w:p>
      <w:pPr>
        <w:tabs>
          <w:tab w:val="right" w:pos="10512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Business case for Posture Mate, a posture support product concept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Jul 2026 – Sep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the business case independently, covering market research, competitor analysis, and positioning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Set pricing and cost assumptions across manufacturing, logistics, and distribution to test unit economics and a 3 year financial outlook</w:t>
      </w:r>
    </w:p>
    <w:p>
      <w:pPr>
        <w:tabs>
          <w:tab w:val="right" w:pos="10512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Hult International Business School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	Cambridge, MA</w:t>
      </w:r>
    </w:p>
    <w:p>
      <w:pPr>
        <w:tabs>
          <w:tab w:val="right" w:pos="10512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Hospital Performance Analytics, Business Intelligence and Insights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Nov 2024 – Dec 2024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Applied PCA to 100,000+ healthcare records, separating financial and operational factors from patient experience factors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Found that larger, higher revenue hospitals did not consistently earn better patient experience ratings</w:t>
      </w:r>
    </w:p>
    <w:p>
      <w:pPr>
        <w:pBdr>
          <w:bottom w:val="single" w:color="000000" w:sz="6" w:space="1"/>
        </w:pBdr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EXPERIENCE</w:t>
      </w:r>
    </w:p>
    <w:p>
      <w:pPr>
        <w:tabs>
          <w:tab w:val="right" w:pos="10512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LISC Digital Growth Accelerator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	Boston, MA</w:t>
      </w:r>
    </w:p>
    <w:p>
      <w:pPr>
        <w:tabs>
          <w:tab w:val="right" w:pos="10512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Student Consultant, team engagement with a Boston hair salon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Jun 2025 – Aug 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customer behavior to find ways to drive repeat visits, and helped design a tiered membership program projected to lift retention 15 to 20%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Presented to the client and other teams weekly over 7 weeks, refining recommendations from feedback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Placed 3rd of 36 teams for Best Action Plan to Drive Sales</w:t>
      </w:r>
    </w:p>
    <w:p>
      <w:pPr>
        <w:tabs>
          <w:tab w:val="right" w:pos="10512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HackHult (student club at Hult)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	Cambridge, MA</w:t>
      </w:r>
    </w:p>
    <w:p>
      <w:pPr>
        <w:tabs>
          <w:tab w:val="right" w:pos="10512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Head of Marketing and Founding Board Member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Oct 2025 – May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Grew the club from 3 or 4 people at the first meeting to about 60 group chat members through event posters and outreach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Coordinated with university administration and partners including Major League Hacking (MLH)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Launched AI assisted coding workshops to keep members engaged when schedules made full events hard to run</w:t>
      </w:r>
    </w:p>
    <w:p>
      <w:pPr>
        <w:tabs>
          <w:tab w:val="right" w:pos="10512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Hult International Business School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	Cambridge, MA</w:t>
      </w:r>
    </w:p>
    <w:p>
      <w:pPr>
        <w:tabs>
          <w:tab w:val="right" w:pos="10512"/>
        </w:tabs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Orientation Leader (Volunteer)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May 2024 – Sep 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Guided 200+ incoming students across 2 summer intakes (2024 and 2025), coordinating activity schedules and running practice campus tours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Worked with 3 other Orientation Leaders to plan culturally diverse activities for new students</w:t>
      </w:r>
    </w:p>
    <w:p>
      <w:pPr>
        <w:pBdr>
          <w:bottom w:val="single" w:color="000000" w:sz="6" w:space="1"/>
        </w:pBdr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Harvard Business School Online, Credential of Readiness (CORe), Passed with Distinction (Apr 2025)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Management Consulting Institute, Level 1 Analyst (Jul 2025)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Global Innovation Management Institute, Level 1 Innovation Associate (Nov 2025)</w:t>
      </w:r>
    </w:p>
    <w:p>
      <w:pPr>
        <w:pBdr>
          <w:bottom w:val="single" w:color="000000" w:sz="6" w:space="1"/>
        </w:pBdr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Finance: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Three statement forecasting, ratio and DuPont analysis, unit economics, financial statement analysis from SEC filings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Analytics: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Time series forecasting (Holt-Winters, ETS), regression, Principal Component Analysis, forecast error testing (MAPE)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Excel (advanced), SQL, Python (Google Colab), Tableau, PowerPoint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Japanese (native), English (fluent), French (DELF B1), Mandarin (beginner)</w:t>
      </w:r>
    </w:p>
    <w:sectPr>
      <w:pgSz w:w="12240" w:h="15840" w:orient="portrait"/>
      <w:pgMar w:top="720" w:right="864" w:bottom="64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13zytasgqeentiyi8waj" Type="http://schemas.openxmlformats.org/officeDocument/2006/relationships/hyperlink" Target="https://www.linkedin.com/in/ritsuko-yoshida77/" TargetMode="External"/><Relationship Id="rIddspktx51cntfx6win49n2" Type="http://schemas.openxmlformats.org/officeDocument/2006/relationships/hyperlink" Target="https://ritsuko-yosh.github.io/" TargetMode="External"/><Relationship Id="rIdlk9kftpu3xxw9rqsa66sg" Type="http://schemas.openxmlformats.org/officeDocument/2006/relationships/hyperlink" Target="https://docs.google.com/document/d/1Yfai4kZOfdUJcaQQUjmOgEIunwQPFSvY_ymDhT_vWRo/edit?usp=sharin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2026-10-27T18:08:51.865Z</dcterms:created>
  <dcterms:modified xsi:type="dcterms:W3CDTF">2026-10-27T18:08:51.865Z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