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Ritsuko Yoshida</w:t>
      </w:r>
    </w:p>
    <w:p>
      <w:pPr>
        <w:spacing w:after="2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ritsukoyoshida77@gmail.com | </w:t>
      </w:r>
      <w:hyperlink w:history="1" r:id="rIdxlka-pktgte6ww2rblbjf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linkedin.com/in/ritsuko-yoshida77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</w:t>
      </w:r>
      <w:hyperlink w:history="1" r:id="rId7zek6rfx0s5gokoad-a2r">
        <w:r>
          <w:rPr>
            <w:rStyle w:val="Hyperlink"/>
            <w:rFonts w:ascii="Times New Roman" w:cs="Times New Roman" w:eastAsia="Times New Roman" w:hAnsi="Times New Roman"/>
            <w:sz w:val="20"/>
            <w:szCs w:val="20"/>
          </w:rPr>
          <w:t xml:space="preserve">ritsuko-yosh.github.io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| Boston, Massachusetts | 857-639-0973</w:t>
      </w:r>
    </w:p>
    <w:p>
      <w:pPr>
        <w:pBdr>
          <w:bottom w:val="single" w:color="000000" w:sz="6" w:space="1"/>
        </w:pBdr>
        <w:spacing w:after="20" w:before="1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tabs>
          <w:tab w:val="right" w:pos="10512"/>
        </w:tabs>
        <w:spacing w:after="0" w:before="2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Hult International Business School</w:t>
      </w: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	Cambridge, MA</w:t>
      </w:r>
    </w:p>
    <w:p>
      <w:pPr>
        <w:tabs>
          <w:tab w:val="right" w:pos="10512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Master of Finance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Sep 2026 – Sep 2027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Full scholarship recipient</w:t>
      </w:r>
    </w:p>
    <w:p>
      <w:pPr>
        <w:tabs>
          <w:tab w:val="right" w:pos="10512"/>
        </w:tabs>
        <w:spacing w:after="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Hult International Business School</w:t>
      </w: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	Cambridge, MA</w:t>
      </w:r>
    </w:p>
    <w:p>
      <w:pPr>
        <w:tabs>
          <w:tab w:val="right" w:pos="10512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Bachelor of Business Administration in Business Analytics, With Distinction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Sep 2023 – May 2026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GPA: 3.97/4.00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 |  Dean's List all 6 semesters  |  Academic Excellence Scholarship and Global Generation Scholarship (merit based)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Relevant coursework: Data Science &amp; Analytics, Business Intelligence and Insights, Managerial Accounting, Financial Reporting</w:t>
      </w:r>
    </w:p>
    <w:p>
      <w:pPr>
        <w:pBdr>
          <w:bottom w:val="single" w:color="000000" w:sz="6" w:space="1"/>
        </w:pBdr>
        <w:spacing w:after="20" w:before="1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ANALYTICS AND FINANCE PROJECTS</w:t>
      </w:r>
    </w:p>
    <w:p>
      <w:pPr>
        <w:tabs>
          <w:tab w:val="right" w:pos="10512"/>
        </w:tabs>
        <w:spacing w:after="0" w:before="20"/>
      </w:pPr>
      <w:hyperlink w:history="1" r:id="rIdw-vnuppobi89e744wryjl">
        <w:r>
          <w:rPr>
            <w:rStyle w:val="Hyperlink"/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PayPal Financial Statement Forecast</w:t>
        </w:r>
      </w:hyperlink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	Cambridge, MA</w:t>
      </w:r>
    </w:p>
    <w:p>
      <w:pPr>
        <w:tabs>
          <w:tab w:val="right" w:pos="10512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Course project, Managerial Accounting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Sep 2025 – Dec 2025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 4 quarter forecast of PayPal's income statement, balance sheet, and cash flow from SEC filings and PitchBook data, with ratio and DuPont analysis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Compared 6 time series methods in Excel, including Holt-Winters, ETS, and regression, to select the revenue model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Revenue forecast came within 2% of reported results in every quarter (0.9% MAPE)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after conservatively lowering the Holt-Winters output by its 2.89% historical error</w:t>
      </w:r>
    </w:p>
    <w:p>
      <w:pPr>
        <w:tabs>
          <w:tab w:val="right" w:pos="10512"/>
        </w:tabs>
        <w:spacing w:after="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Hult International Business School</w:t>
      </w: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	Cambridge, MA</w:t>
      </w:r>
    </w:p>
    <w:p>
      <w:pPr>
        <w:tabs>
          <w:tab w:val="right" w:pos="10512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Hospital Performance Analytics, Business Intelligence and Insights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Nov 2024 – Dec 2024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Applied PCA to 100,000+ healthcare records, separating financial and operational factors from patient experience factors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Found that larger, higher revenue hospitals did not consistently earn better patient experience ratings</w:t>
      </w:r>
    </w:p>
    <w:p>
      <w:pPr>
        <w:tabs>
          <w:tab w:val="right" w:pos="10512"/>
        </w:tabs>
        <w:spacing w:after="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Open Avenues Foundation, Build Fellowship</w:t>
      </w: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	Remote</w:t>
      </w:r>
    </w:p>
    <w:p>
      <w:pPr>
        <w:tabs>
          <w:tab w:val="right" w:pos="10512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Business case for Posture Mate, a posture support product concept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Jul 2026 – Sep 2026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the business case independently, covering market research, competitor analysis, and positioning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Set pricing and cost assumptions across manufacturing, logistics, and distribution to test unit economics and a 3 year financial outlook</w:t>
      </w:r>
    </w:p>
    <w:p>
      <w:pPr>
        <w:pBdr>
          <w:bottom w:val="single" w:color="000000" w:sz="6" w:space="1"/>
        </w:pBdr>
        <w:spacing w:after="20" w:before="1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EXPERIENCE</w:t>
      </w:r>
    </w:p>
    <w:p>
      <w:pPr>
        <w:tabs>
          <w:tab w:val="right" w:pos="10512"/>
        </w:tabs>
        <w:spacing w:after="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LISC Digital Growth Accelerator</w:t>
      </w: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	Boston, MA</w:t>
      </w:r>
    </w:p>
    <w:p>
      <w:pPr>
        <w:tabs>
          <w:tab w:val="right" w:pos="10512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Student Consultant, team engagement with a Boston hair salon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Jun 2025 – Aug 2025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Analyzed customer behavior to find ways to drive repeat visits, and helped design a tiered membership program projected to lift retention 15 to 20%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Presented to the client and other teams weekly over 7 weeks, refining recommendations from feedback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Placed 3rd of 36 teams for Best Action Plan to Drive Sales</w:t>
      </w:r>
    </w:p>
    <w:p>
      <w:pPr>
        <w:tabs>
          <w:tab w:val="right" w:pos="10512"/>
        </w:tabs>
        <w:spacing w:after="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HackHult (student club at Hult)</w:t>
      </w: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	Cambridge, MA</w:t>
      </w:r>
    </w:p>
    <w:p>
      <w:pPr>
        <w:tabs>
          <w:tab w:val="right" w:pos="10512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Head of Marketing and Founding Board Member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Oct 2025 – May 2026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Grew the club from 3 or 4 people at the first meeting to about 60 group chat members through event posters and outreach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Coordinated with university administration and partners including Major League Hacking (MLH)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Launched AI assisted coding workshops to keep members engaged when schedules made full events hard to run</w:t>
      </w:r>
    </w:p>
    <w:p>
      <w:pPr>
        <w:tabs>
          <w:tab w:val="right" w:pos="10512"/>
        </w:tabs>
        <w:spacing w:after="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Hult International Business School</w:t>
      </w:r>
      <w:r>
        <w:rPr>
          <w:rFonts w:ascii="Times New Roman" w:cs="Times New Roman" w:eastAsia="Times New Roman" w:hAnsi="Times New Roman"/>
          <w:b/>
          <w:bCs/>
          <w:i/>
          <w:iCs/>
          <w:sz w:val="20"/>
          <w:szCs w:val="20"/>
        </w:rPr>
        <w:t xml:space="preserve">	Cambridge, MA</w:t>
      </w:r>
    </w:p>
    <w:p>
      <w:pPr>
        <w:tabs>
          <w:tab w:val="right" w:pos="10512"/>
        </w:tabs>
        <w:spacing w:after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Orientation Leader (Volunteer)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	May 2024 – Sep 2025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Guided 200+ incoming students across 2 summer intakes (2024 and 2025), coordinating activity schedules and running practice campus tours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Worked with 3 other Orientation Leaders to plan culturally diverse activities for new students</w:t>
      </w:r>
    </w:p>
    <w:p>
      <w:pPr>
        <w:pBdr>
          <w:bottom w:val="single" w:color="000000" w:sz="6" w:space="1"/>
        </w:pBdr>
        <w:spacing w:after="20" w:before="1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Harvard Business School Online, Credential of Readiness (CORe), Passed with Distinction (Apr 2025)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Management Consulting Institute, Level 1 Analyst (Jul 2025)</w:t>
      </w:r>
    </w:p>
    <w:p>
      <w:pPr>
        <w:pStyle w:val="ListParagraph"/>
        <w:numPr>
          <w:ilvl w:val="0"/>
          <w:numId w:val="2"/>
        </w:numPr>
        <w:spacing w:after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Global Innovation Management Institute, Level 1 Innovation Associate (Nov 2025)</w:t>
      </w:r>
    </w:p>
    <w:p>
      <w:pPr>
        <w:pBdr>
          <w:bottom w:val="single" w:color="000000" w:sz="6" w:space="1"/>
        </w:pBdr>
        <w:spacing w:after="20" w:before="1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SKILLS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Analytics: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Time series forecasting (Holt-Winters, ETS), regression, Principal Component Analysis, forecast error testing (MAPE)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Finance: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Three statement forecasting, ratio and DuPont analysis, unit economics, financial statement analysis from SEC filings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Tools: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Excel (advanced), SQL, Python (Google Colab), Tableau, PowerPoint</w:t>
      </w:r>
    </w:p>
    <w:p>
      <w:pPr>
        <w:spacing w:after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Japanese (native), English (fluent), French (DELF B1), Mandarin (beginner)</w:t>
      </w:r>
    </w:p>
    <w:sectPr>
      <w:pgSz w:w="12240" w:h="15840" w:orient="portrait"/>
      <w:pgMar w:top="720" w:right="864" w:bottom="640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xlka-pktgte6ww2rblbjf" Type="http://schemas.openxmlformats.org/officeDocument/2006/relationships/hyperlink" Target="https://www.linkedin.com/in/ritsuko-yoshida77/" TargetMode="External"/><Relationship Id="rId7zek6rfx0s5gokoad-a2r" Type="http://schemas.openxmlformats.org/officeDocument/2006/relationships/hyperlink" Target="https://ritsuko-yosh.github.io/" TargetMode="External"/><Relationship Id="rIdw-vnuppobi89e744wryjl" Type="http://schemas.openxmlformats.org/officeDocument/2006/relationships/hyperlink" Target="https://docs.google.com/document/d/1Yfai4kZOfdUJcaQQUjmOgEIunwQPFSvY_ymDhT_vWRo/edit?usp=sharing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2026-10-27T19:17:05.617Z</dcterms:created>
  <dcterms:modified xsi:type="dcterms:W3CDTF">2026-10-27T19:17:05.624Z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