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Diagnostic Accuracy of Fluorescence Immunoassay (FIA) versus Enzyme-Linked Immunosorbent Assay (ELISA) for Dengue Virus NS1 Antigen Detection: A Systematic Review and Meta-Analysis</w:t>
      </w:r>
    </w:p>
    <w:p>
      <w:pPr>
        <w:jc w:val="both"/>
      </w:pPr>
      <w:r>
        <w:rPr>
          <w:rFonts w:ascii="Times New Roman" w:hAnsi="Times New Roman" w:eastAsia="Times New Roman"/>
          <w:b/>
          <w:i w:val="0"/>
          <w:sz w:val="22"/>
        </w:rPr>
        <w:t>Running title:</w:t>
      </w:r>
      <w:r>
        <w:rPr>
          <w:rFonts w:ascii="Times New Roman" w:hAnsi="Times New Roman" w:eastAsia="Times New Roman"/>
          <w:b w:val="0"/>
          <w:i w:val="0"/>
          <w:sz w:val="22"/>
        </w:rPr>
        <w:t xml:space="preserve"> FIA vs ELISA for dengue NS1: a DTA meta-analysis</w:t>
      </w:r>
    </w:p>
    <w:p>
      <w:pPr>
        <w:jc w:val="both"/>
      </w:pPr>
      <w:r>
        <w:rPr>
          <w:rFonts w:ascii="Times New Roman" w:hAnsi="Times New Roman" w:eastAsia="Times New Roman"/>
          <w:b/>
          <w:i w:val="0"/>
          <w:sz w:val="22"/>
        </w:rPr>
        <w:t>Article type:</w:t>
      </w:r>
      <w:r>
        <w:rPr>
          <w:rFonts w:ascii="Times New Roman" w:hAnsi="Times New Roman" w:eastAsia="Times New Roman"/>
          <w:b w:val="0"/>
          <w:i w:val="0"/>
          <w:sz w:val="22"/>
        </w:rPr>
        <w:t xml:space="preserve"> Systematic review and meta-analysis of diagnostic test accuracy</w:t>
      </w:r>
    </w:p>
    <w:p>
      <w:pPr>
        <w:jc w:val="both"/>
      </w:pPr>
      <w:r>
        <w:rPr>
          <w:rFonts w:ascii="Times New Roman" w:hAnsi="Times New Roman" w:eastAsia="Times New Roman"/>
          <w:b/>
          <w:i w:val="0"/>
          <w:sz w:val="22"/>
        </w:rPr>
        <w:t>Author</w:t>
      </w:r>
      <w:r>
        <w:rPr>
          <w:rFonts w:ascii="Times New Roman" w:hAnsi="Times New Roman" w:eastAsia="Times New Roman"/>
          <w:b w:val="0"/>
          <w:i w:val="0"/>
          <w:sz w:val="22"/>
        </w:rPr>
        <w:t xml:space="preserve"> Ritu Shah¹\*</w:t>
      </w:r>
    </w:p>
    <w:p>
      <w:pPr>
        <w:jc w:val="both"/>
      </w:pPr>
      <w:r>
        <w:rPr>
          <w:rFonts w:ascii="Times New Roman" w:hAnsi="Times New Roman" w:eastAsia="Times New Roman"/>
          <w:b/>
          <w:i w:val="0"/>
          <w:sz w:val="22"/>
        </w:rPr>
        <w:t>Affiliation</w:t>
      </w:r>
      <w:r>
        <w:rPr>
          <w:rFonts w:ascii="Times New Roman" w:hAnsi="Times New Roman" w:eastAsia="Times New Roman"/>
          <w:b w:val="0"/>
          <w:i w:val="0"/>
          <w:sz w:val="22"/>
        </w:rPr>
        <w:t xml:space="preserve"> ¹ Corresponding author. Institutional department, city, country, email, ORCID, and telephone must be inserted on the journal submission form before upload. Project archive: https://github.com/ritsushah/Dengue</w:t>
      </w:r>
    </w:p>
    <w:p>
      <w:pPr>
        <w:jc w:val="both"/>
      </w:pPr>
      <w:r>
        <w:rPr>
          <w:rFonts w:ascii="Times New Roman" w:hAnsi="Times New Roman" w:eastAsia="Times New Roman"/>
          <w:b/>
          <w:i w:val="0"/>
          <w:sz w:val="22"/>
        </w:rPr>
        <w:t>PROSPERO:</w:t>
      </w:r>
      <w:r>
        <w:rPr>
          <w:rFonts w:ascii="Times New Roman" w:hAnsi="Times New Roman" w:eastAsia="Times New Roman"/>
          <w:b w:val="0"/>
          <w:i w:val="0"/>
          <w:sz w:val="22"/>
        </w:rPr>
        <w:t xml:space="preserve"> protocol drafted (version 1.0, August 2026); CRD number </w:t>
      </w:r>
      <w:r>
        <w:rPr>
          <w:rFonts w:ascii="Times New Roman" w:hAnsi="Times New Roman" w:eastAsia="Times New Roman"/>
          <w:b/>
          <w:i w:val="0"/>
          <w:sz w:val="22"/>
        </w:rPr>
        <w:t>pending assignment</w:t>
      </w:r>
      <w:r>
        <w:rPr>
          <w:rFonts w:ascii="Times New Roman" w:hAnsi="Times New Roman" w:eastAsia="Times New Roman"/>
          <w:b w:val="0"/>
          <w:i w:val="0"/>
          <w:sz w:val="22"/>
        </w:rPr>
        <w:t>. Do not treat this review as PROSPERO-registered until a CRD identifier is issued.</w:t>
      </w:r>
    </w:p>
    <w:p>
      <w:pPr>
        <w:jc w:val="both"/>
      </w:pPr>
      <w:r>
        <w:rPr>
          <w:rFonts w:ascii="Times New Roman" w:hAnsi="Times New Roman" w:eastAsia="Times New Roman"/>
          <w:b/>
          <w:i w:val="0"/>
          <w:sz w:val="22"/>
        </w:rPr>
        <w:t>Funding:</w:t>
      </w:r>
      <w:r>
        <w:rPr>
          <w:rFonts w:ascii="Times New Roman" w:hAnsi="Times New Roman" w:eastAsia="Times New Roman"/>
          <w:b w:val="0"/>
          <w:i w:val="0"/>
          <w:sz w:val="22"/>
        </w:rPr>
        <w:t xml:space="preserve"> This research received no specific grant from any funding agency in the public, commercial, or not-for-profit sectors.</w:t>
      </w:r>
    </w:p>
    <w:p>
      <w:pPr>
        <w:jc w:val="both"/>
      </w:pPr>
      <w:r>
        <w:rPr>
          <w:rFonts w:ascii="Times New Roman" w:hAnsi="Times New Roman" w:eastAsia="Times New Roman"/>
          <w:b/>
          <w:i w:val="0"/>
          <w:sz w:val="22"/>
        </w:rPr>
        <w:t>Conflicts of interest:</w:t>
      </w:r>
      <w:r>
        <w:rPr>
          <w:rFonts w:ascii="Times New Roman" w:hAnsi="Times New Roman" w:eastAsia="Times New Roman"/>
          <w:b w:val="0"/>
          <w:i w:val="0"/>
          <w:sz w:val="22"/>
        </w:rPr>
        <w:t xml:space="preserve"> The author declares no conflicts of interest.</w:t>
      </w:r>
    </w:p>
    <w:p>
      <w:pPr>
        <w:jc w:val="both"/>
      </w:pPr>
      <w:r>
        <w:rPr>
          <w:rFonts w:ascii="Times New Roman" w:hAnsi="Times New Roman" w:eastAsia="Times New Roman"/>
          <w:b/>
          <w:i w:val="0"/>
          <w:sz w:val="22"/>
        </w:rPr>
        <w:t>Data availability:</w:t>
      </w:r>
      <w:r>
        <w:rPr>
          <w:rFonts w:ascii="Times New Roman" w:hAnsi="Times New Roman" w:eastAsia="Times New Roman"/>
          <w:b w:val="0"/>
          <w:i w:val="0"/>
          <w:sz w:val="22"/>
        </w:rPr>
        <w:t xml:space="preserve"> Unique bibliographic records, extraction tables, analysis code, figures, and search logs are in the project repository cited above.</w:t>
      </w:r>
    </w:p>
    <w:p>
      <w:pPr>
        <w:jc w:val="both"/>
      </w:pPr>
      <w:r>
        <w:rPr>
          <w:rFonts w:ascii="Times New Roman" w:hAnsi="Times New Roman" w:eastAsia="Times New Roman"/>
          <w:b/>
          <w:i w:val="0"/>
          <w:sz w:val="22"/>
        </w:rPr>
        <w:t>Word count:</w:t>
      </w:r>
      <w:r>
        <w:rPr>
          <w:rFonts w:ascii="Times New Roman" w:hAnsi="Times New Roman" w:eastAsia="Times New Roman"/>
          <w:b w:val="0"/>
          <w:i w:val="0"/>
          <w:sz w:val="22"/>
        </w:rPr>
        <w:t xml:space="preserve"> Abstract 298 · Main text approximately 6,200 (excluding tables, figure legends, and references)</w:t>
      </w:r>
    </w:p>
    <w:p>
      <w:pPr>
        <w:jc w:val="both"/>
      </w:pPr>
      <w:r>
        <w:rPr>
          <w:rFonts w:ascii="Times New Roman" w:hAnsi="Times New Roman" w:eastAsia="Times New Roman"/>
          <w:b/>
          <w:i w:val="0"/>
          <w:sz w:val="22"/>
        </w:rPr>
        <w:t>Figures:</w:t>
      </w:r>
      <w:r>
        <w:rPr>
          <w:rFonts w:ascii="Times New Roman" w:hAnsi="Times New Roman" w:eastAsia="Times New Roman"/>
          <w:b w:val="0"/>
          <w:i w:val="0"/>
          <w:sz w:val="22"/>
        </w:rPr>
        <w:t xml:space="preserve"> 6 · </w:t>
      </w:r>
      <w:r>
        <w:rPr>
          <w:rFonts w:ascii="Times New Roman" w:hAnsi="Times New Roman" w:eastAsia="Times New Roman"/>
          <w:b/>
          <w:i w:val="0"/>
          <w:sz w:val="22"/>
        </w:rPr>
        <w:t>Tables:</w:t>
      </w:r>
      <w:r>
        <w:rPr>
          <w:rFonts w:ascii="Times New Roman" w:hAnsi="Times New Roman" w:eastAsia="Times New Roman"/>
          <w:b w:val="0"/>
          <w:i w:val="0"/>
          <w:sz w:val="22"/>
        </w:rPr>
        <w:t xml:space="preserve"> 9 · </w:t>
      </w:r>
      <w:r>
        <w:rPr>
          <w:rFonts w:ascii="Times New Roman" w:hAnsi="Times New Roman" w:eastAsia="Times New Roman"/>
          <w:b/>
          <w:i w:val="0"/>
          <w:sz w:val="22"/>
        </w:rPr>
        <w:t>Supplementary files:</w:t>
      </w:r>
      <w:r>
        <w:rPr>
          <w:rFonts w:ascii="Times New Roman" w:hAnsi="Times New Roman" w:eastAsia="Times New Roman"/>
          <w:b w:val="0"/>
          <w:i w:val="0"/>
          <w:sz w:val="22"/>
        </w:rPr>
        <w:t xml:space="preserve"> search strategies, extraction CSV, eligibility log, analysis code</w:t>
      </w:r>
    </w:p>
    <w:p>
      <w:pPr>
        <w:jc w:val="both"/>
      </w:pPr>
      <w:r>
        <w:rPr>
          <w:rFonts w:ascii="Times New Roman" w:hAnsi="Times New Roman" w:eastAsia="Times New Roman"/>
          <w:b/>
          <w:i w:val="0"/>
          <w:sz w:val="22"/>
        </w:rPr>
        <w:t>Keywords:</w:t>
      </w:r>
      <w:r>
        <w:rPr>
          <w:rFonts w:ascii="Times New Roman" w:hAnsi="Times New Roman" w:eastAsia="Times New Roman"/>
          <w:b w:val="0"/>
          <w:i w:val="0"/>
          <w:sz w:val="22"/>
        </w:rPr>
        <w:t xml:space="preserve"> dengue; NS1 antigen; fluorescence immunoassay; FIA; ELISA; diagnostic accuracy; sensitivity; specificity; meta-analysis; QUADAS-2; bivariate model; point-of-care testing</w:t>
      </w:r>
    </w:p>
    <w:p>
      <w:pPr>
        <w:spacing w:before="80" w:after="80"/>
      </w:pPr>
      <w:r>
        <w:rPr>
          <w:rFonts w:ascii="Times New Roman" w:hAnsi="Times New Roman" w:eastAsia="Times New Roman"/>
          <w:b w:val="0"/>
          <w:i w:val="0"/>
          <w:color w:val="888888"/>
          <w:sz w:val="18"/>
        </w:rPr>
        <w:t>————————————————————————</w:t>
      </w:r>
    </w:p>
    <w:p>
      <w:pPr>
        <w:pStyle w:val="Heading2"/>
      </w:pPr>
      <w:r>
        <w:t>Highlights</w:t>
      </w:r>
    </w:p>
    <w:p>
      <w:pPr>
        <w:pStyle w:val="ListBullet"/>
      </w:pPr>
      <w:r>
        <w:rPr>
          <w:rFonts w:ascii="Times New Roman" w:hAnsi="Times New Roman" w:eastAsia="Times New Roman"/>
          <w:b w:val="0"/>
          <w:i w:val="0"/>
          <w:sz w:val="22"/>
        </w:rPr>
        <w:t>Bibliographic searches on 19 August 2026 identified 1,889 database records; 1,082 unique records remained after deduplication.</w:t>
      </w:r>
    </w:p>
    <w:p>
      <w:pPr>
        <w:pStyle w:val="ListBullet"/>
      </w:pPr>
      <w:r>
        <w:rPr>
          <w:rFonts w:ascii="Times New Roman" w:hAnsi="Times New Roman" w:eastAsia="Times New Roman"/>
          <w:b w:val="0"/>
          <w:i w:val="0"/>
          <w:sz w:val="22"/>
        </w:rPr>
        <w:t>Five commercial FIA evaluations (794 specimens) had reconstructable 2×2 tables and entered a bivariate random-effects model.</w:t>
      </w:r>
    </w:p>
    <w:p>
      <w:pPr>
        <w:pStyle w:val="ListBullet"/>
      </w:pPr>
      <w:r>
        <w:rPr>
          <w:rFonts w:ascii="Times New Roman" w:hAnsi="Times New Roman" w:eastAsia="Times New Roman"/>
          <w:b w:val="0"/>
          <w:i w:val="0"/>
          <w:sz w:val="22"/>
        </w:rPr>
        <w:t xml:space="preserve">Pooled sensitivity was </w:t>
      </w:r>
      <w:r>
        <w:rPr>
          <w:rFonts w:ascii="Times New Roman" w:hAnsi="Times New Roman" w:eastAsia="Times New Roman"/>
          <w:b/>
          <w:i w:val="0"/>
          <w:sz w:val="22"/>
        </w:rPr>
        <w:t>86.7%</w:t>
      </w:r>
      <w:r>
        <w:rPr>
          <w:rFonts w:ascii="Times New Roman" w:hAnsi="Times New Roman" w:eastAsia="Times New Roman"/>
          <w:b w:val="0"/>
          <w:i w:val="0"/>
          <w:sz w:val="22"/>
        </w:rPr>
        <w:t xml:space="preserve"> (95% CI 76.0–93.1) and pooled specificity </w:t>
      </w:r>
      <w:r>
        <w:rPr>
          <w:rFonts w:ascii="Times New Roman" w:hAnsi="Times New Roman" w:eastAsia="Times New Roman"/>
          <w:b/>
          <w:i w:val="0"/>
          <w:sz w:val="22"/>
        </w:rPr>
        <w:t>94.0%</w:t>
      </w:r>
      <w:r>
        <w:rPr>
          <w:rFonts w:ascii="Times New Roman" w:hAnsi="Times New Roman" w:eastAsia="Times New Roman"/>
          <w:b w:val="0"/>
          <w:i w:val="0"/>
          <w:sz w:val="22"/>
        </w:rPr>
        <w:t xml:space="preserve"> (89.6–96.6); PLR </w:t>
      </w:r>
      <w:r>
        <w:rPr>
          <w:rFonts w:ascii="Times New Roman" w:hAnsi="Times New Roman" w:eastAsia="Times New Roman"/>
          <w:b/>
          <w:i w:val="0"/>
          <w:sz w:val="22"/>
        </w:rPr>
        <w:t>14.3</w:t>
      </w:r>
      <w:r>
        <w:rPr>
          <w:rFonts w:ascii="Times New Roman" w:hAnsi="Times New Roman" w:eastAsia="Times New Roman"/>
          <w:b w:val="0"/>
          <w:i w:val="0"/>
          <w:sz w:val="22"/>
        </w:rPr>
        <w:t xml:space="preserve"> (7.5–26.5), NLR </w:t>
      </w:r>
      <w:r>
        <w:rPr>
          <w:rFonts w:ascii="Times New Roman" w:hAnsi="Times New Roman" w:eastAsia="Times New Roman"/>
          <w:b/>
          <w:i w:val="0"/>
          <w:sz w:val="22"/>
        </w:rPr>
        <w:t>0.14</w:t>
      </w:r>
      <w:r>
        <w:rPr>
          <w:rFonts w:ascii="Times New Roman" w:hAnsi="Times New Roman" w:eastAsia="Times New Roman"/>
          <w:b w:val="0"/>
          <w:i w:val="0"/>
          <w:sz w:val="22"/>
        </w:rPr>
        <w:t xml:space="preserve"> (0.07–0.26).</w:t>
      </w:r>
    </w:p>
    <w:p>
      <w:pPr>
        <w:pStyle w:val="ListBullet"/>
      </w:pPr>
      <w:r>
        <w:rPr>
          <w:rFonts w:ascii="Times New Roman" w:hAnsi="Times New Roman" w:eastAsia="Times New Roman"/>
          <w:b w:val="0"/>
          <w:i w:val="0"/>
          <w:sz w:val="22"/>
        </w:rPr>
        <w:t xml:space="preserve">Against independent or composite references (STANDARD F, k = 3), sensitivity fell to </w:t>
      </w:r>
      <w:r>
        <w:rPr>
          <w:rFonts w:ascii="Times New Roman" w:hAnsi="Times New Roman" w:eastAsia="Times New Roman"/>
          <w:b/>
          <w:i w:val="0"/>
          <w:sz w:val="22"/>
        </w:rPr>
        <w:t>80.5%</w:t>
      </w:r>
      <w:r>
        <w:rPr>
          <w:rFonts w:ascii="Times New Roman" w:hAnsi="Times New Roman" w:eastAsia="Times New Roman"/>
          <w:b w:val="0"/>
          <w:i w:val="0"/>
          <w:sz w:val="22"/>
        </w:rPr>
        <w:t xml:space="preserve"> (75.1–85.0) and specificity to </w:t>
      </w:r>
      <w:r>
        <w:rPr>
          <w:rFonts w:ascii="Times New Roman" w:hAnsi="Times New Roman" w:eastAsia="Times New Roman"/>
          <w:b/>
          <w:i w:val="0"/>
          <w:sz w:val="22"/>
        </w:rPr>
        <w:t>91.5%</w:t>
      </w:r>
      <w:r>
        <w:rPr>
          <w:rFonts w:ascii="Times New Roman" w:hAnsi="Times New Roman" w:eastAsia="Times New Roman"/>
          <w:b w:val="0"/>
          <w:i w:val="0"/>
          <w:sz w:val="22"/>
        </w:rPr>
        <w:t xml:space="preserve"> (87.7–94.2).</w:t>
      </w:r>
    </w:p>
    <w:p>
      <w:pPr>
        <w:pStyle w:val="ListBullet"/>
      </w:pPr>
      <w:r>
        <w:rPr>
          <w:rFonts w:ascii="Times New Roman" w:hAnsi="Times New Roman" w:eastAsia="Times New Roman"/>
          <w:b w:val="0"/>
          <w:i w:val="0"/>
          <w:sz w:val="22"/>
        </w:rPr>
        <w:t xml:space="preserve">Three of five studies were at high overall risk of bias. Dual independent screening of the full unique set was not completed. Certainty of evidence is </w:t>
      </w:r>
      <w:r>
        <w:rPr>
          <w:rFonts w:ascii="Times New Roman" w:hAnsi="Times New Roman" w:eastAsia="Times New Roman"/>
          <w:b/>
          <w:i w:val="0"/>
          <w:sz w:val="22"/>
        </w:rPr>
        <w:t>low</w:t>
      </w:r>
      <w:r>
        <w:rPr>
          <w:rFonts w:ascii="Times New Roman" w:hAnsi="Times New Roman" w:eastAsia="Times New Roman"/>
          <w:b w:val="0"/>
          <w:i w:val="0"/>
          <w:sz w:val="22"/>
        </w:rPr>
        <w:t>. A negative FIA does not exclude dengue.</w:t>
      </w:r>
    </w:p>
    <w:p>
      <w:pPr>
        <w:spacing w:before="80" w:after="80"/>
      </w:pPr>
      <w:r>
        <w:rPr>
          <w:rFonts w:ascii="Times New Roman" w:hAnsi="Times New Roman" w:eastAsia="Times New Roman"/>
          <w:b w:val="0"/>
          <w:i w:val="0"/>
          <w:color w:val="888888"/>
          <w:sz w:val="18"/>
        </w:rPr>
        <w:t>————————————————————————</w:t>
      </w:r>
    </w:p>
    <w:p>
      <w:pPr>
        <w:pStyle w:val="Heading2"/>
      </w:pPr>
      <w:r>
        <w:t>Abstract</w:t>
      </w:r>
    </w:p>
    <w:p>
      <w:pPr>
        <w:jc w:val="both"/>
      </w:pPr>
      <w:r>
        <w:rPr>
          <w:rFonts w:ascii="Times New Roman" w:hAnsi="Times New Roman" w:eastAsia="Times New Roman"/>
          <w:b/>
          <w:i w:val="0"/>
          <w:sz w:val="22"/>
        </w:rPr>
        <w:t>Background.</w:t>
      </w:r>
      <w:r>
        <w:rPr>
          <w:rFonts w:ascii="Times New Roman" w:hAnsi="Times New Roman" w:eastAsia="Times New Roman"/>
          <w:b w:val="0"/>
          <w:i w:val="0"/>
          <w:sz w:val="22"/>
        </w:rPr>
        <w:t xml:space="preserve"> Dengue virus (DENV) infection remains a leading mosquito-borne threat. NS1 antigen detection during the first week of fever supports early care. Enzyme-linked immunosorbent assay (ELISA) is accurate but slow. Reader-based fluorescence immunoassay (FIA) returns a cutoff index in about 15 minutes. Prior rapid-test meta-analyses pooled FIA with visually read immunochromatographic tests (ICTs). This review isolates commercial FIA.</w:t>
      </w:r>
    </w:p>
    <w:p>
      <w:pPr>
        <w:jc w:val="both"/>
      </w:pPr>
      <w:r>
        <w:rPr>
          <w:rFonts w:ascii="Times New Roman" w:hAnsi="Times New Roman" w:eastAsia="Times New Roman"/>
          <w:b/>
          <w:i w:val="0"/>
          <w:sz w:val="22"/>
        </w:rPr>
        <w:t>Objectives.</w:t>
      </w:r>
      <w:r>
        <w:rPr>
          <w:rFonts w:ascii="Times New Roman" w:hAnsi="Times New Roman" w:eastAsia="Times New Roman"/>
          <w:b w:val="0"/>
          <w:i w:val="0"/>
          <w:sz w:val="22"/>
        </w:rPr>
        <w:t xml:space="preserve"> To estimate the diagnostic accuracy of FIA for dengue NS1 antigen in suspected acute dengue, and to compare FIA with NS1 ELISA where paired data existed.</w:t>
      </w:r>
    </w:p>
    <w:p>
      <w:pPr>
        <w:jc w:val="both"/>
      </w:pPr>
      <w:r>
        <w:rPr>
          <w:rFonts w:ascii="Times New Roman" w:hAnsi="Times New Roman" w:eastAsia="Times New Roman"/>
          <w:b/>
          <w:i w:val="0"/>
          <w:sz w:val="22"/>
        </w:rPr>
        <w:t>Methods.</w:t>
      </w:r>
      <w:r>
        <w:rPr>
          <w:rFonts w:ascii="Times New Roman" w:hAnsi="Times New Roman" w:eastAsia="Times New Roman"/>
          <w:b w:val="0"/>
          <w:i w:val="0"/>
          <w:sz w:val="22"/>
        </w:rPr>
        <w:t xml:space="preserve"> PubMed/MEDLINE, Embase, Web of Science Core Collection, and ScienceDirect were searched from inception to 19 August 2026. Cochrane Library and Google Scholar were supplementary. Scopus was not licensed at the search site and was not searched. Eligible studies evaluated a commercial reader-interpreted FIA for dengue NS1 and reported or permitted reconstruction of a 2×2 table versus RT-PCR, a composite laboratory standard, or NS1 ELISA. Risk of bias was assessed with a dengue-tailored QUADAS-2 tool. Sensitivity and specificity were pooled with a bivariate random-effects (Reitsma) model. Reporting followed PRISMA-DTA.</w:t>
      </w:r>
    </w:p>
    <w:p>
      <w:pPr>
        <w:jc w:val="both"/>
      </w:pPr>
      <w:r>
        <w:rPr>
          <w:rFonts w:ascii="Times New Roman" w:hAnsi="Times New Roman" w:eastAsia="Times New Roman"/>
          <w:b/>
          <w:i w:val="0"/>
          <w:sz w:val="22"/>
        </w:rPr>
        <w:t>Results.</w:t>
      </w:r>
      <w:r>
        <w:rPr>
          <w:rFonts w:ascii="Times New Roman" w:hAnsi="Times New Roman" w:eastAsia="Times New Roman"/>
          <w:b w:val="0"/>
          <w:i w:val="0"/>
          <w:sz w:val="22"/>
        </w:rPr>
        <w:t xml:space="preserve"> Database searches identified 1,889 records (PubMed 423, Embase 959, Web of Science 432, ScienceDirect 75); 807 duplicates were removed, leaving 1,082 unique bibliographic records. Five studies (794 specimens; 320 reference-positive) entered quantitative synthesis. Pooled sensitivity was 86.7% (95% CI 76.0–93.1) and pooled specificity 94.0% (89.6–96.6). The positive likelihood ratio was 14.3 (7.5–26.5) and the negative likelihood ratio 0.14 (0.07–0.26). Heterogeneity was moderate for sensitivity (I² = 51%) and lower for specificity (I² = 35%). In the three STANDARD F evaluations that did not use NS1 ELISA as the sole reference, pooled sensitivity was 80.5% (75.1–85.0) and specificity 91.5% (87.7–94.2). Two QUANTI CARD studies that used NS1 ELISA as the reference reported sensitivity 96.6–100% and specificity 96.4–98.4%; those figures measure concordance with ELISA, not accuracy versus an independent standard. A sixth study (Pohekar 2023, n = 300) could not be pooled: off-diagonal 2×2 cells were not published. Three of five pooled studies were at high overall risk of bias. Dual independent screening of all 1,082 unique records was not performed.</w:t>
      </w:r>
    </w:p>
    <w:p>
      <w:pPr>
        <w:jc w:val="both"/>
      </w:pPr>
      <w:r>
        <w:rPr>
          <w:rFonts w:ascii="Times New Roman" w:hAnsi="Times New Roman" w:eastAsia="Times New Roman"/>
          <w:b/>
          <w:i w:val="0"/>
          <w:sz w:val="22"/>
        </w:rPr>
        <w:t>Conclusions.</w:t>
      </w:r>
      <w:r>
        <w:rPr>
          <w:rFonts w:ascii="Times New Roman" w:hAnsi="Times New Roman" w:eastAsia="Times New Roman"/>
          <w:b w:val="0"/>
          <w:i w:val="0"/>
          <w:sz w:val="22"/>
        </w:rPr>
        <w:t xml:space="preserve"> Commercial FIA for dengue NS1 has a likelihood ratio profile that supports </w:t>
      </w:r>
      <w:r>
        <w:rPr>
          <w:rFonts w:ascii="Times New Roman" w:hAnsi="Times New Roman" w:eastAsia="Times New Roman"/>
          <w:b/>
          <w:i w:val="0"/>
          <w:sz w:val="22"/>
        </w:rPr>
        <w:t>rule-in</w:t>
      </w:r>
      <w:r>
        <w:rPr>
          <w:rFonts w:ascii="Times New Roman" w:hAnsi="Times New Roman" w:eastAsia="Times New Roman"/>
          <w:b w:val="0"/>
          <w:i w:val="0"/>
          <w:sz w:val="22"/>
        </w:rPr>
        <w:t xml:space="preserve"> during the febrile window when the reader is available. An NLR of 0.14 does </w:t>
      </w:r>
      <w:r>
        <w:rPr>
          <w:rFonts w:ascii="Times New Roman" w:hAnsi="Times New Roman" w:eastAsia="Times New Roman"/>
          <w:b/>
          <w:i w:val="0"/>
          <w:sz w:val="22"/>
        </w:rPr>
        <w:t>not</w:t>
      </w:r>
      <w:r>
        <w:rPr>
          <w:rFonts w:ascii="Times New Roman" w:hAnsi="Times New Roman" w:eastAsia="Times New Roman"/>
          <w:b w:val="0"/>
          <w:i w:val="0"/>
          <w:sz w:val="22"/>
        </w:rPr>
        <w:t xml:space="preserve"> support standalone rule-out. The evidence base is small, reference standards are mixed, and several studies used two-gate or enriched sampling. FIA should not be procured or guideline-coded as if it were visual ICT or NS1 ELISA. ELISA and RT-PCR remain necessary for confirmation, serotyping, and negative results in high-probability patients.</w:t>
      </w:r>
    </w:p>
    <w:p>
      <w:pPr>
        <w:jc w:val="both"/>
      </w:pPr>
      <w:r>
        <w:rPr>
          <w:rFonts w:ascii="Times New Roman" w:hAnsi="Times New Roman" w:eastAsia="Times New Roman"/>
          <w:b/>
          <w:i w:val="0"/>
          <w:sz w:val="22"/>
        </w:rPr>
        <w:t>Registration.</w:t>
      </w:r>
      <w:r>
        <w:rPr>
          <w:rFonts w:ascii="Times New Roman" w:hAnsi="Times New Roman" w:eastAsia="Times New Roman"/>
          <w:b w:val="0"/>
          <w:i w:val="0"/>
          <w:sz w:val="22"/>
        </w:rPr>
        <w:t xml:space="preserve"> PROSPERO CRD pending.</w:t>
      </w:r>
    </w:p>
    <w:p>
      <w:pPr>
        <w:spacing w:before="80" w:after="80"/>
      </w:pPr>
      <w:r>
        <w:rPr>
          <w:rFonts w:ascii="Times New Roman" w:hAnsi="Times New Roman" w:eastAsia="Times New Roman"/>
          <w:b w:val="0"/>
          <w:i w:val="0"/>
          <w:color w:val="888888"/>
          <w:sz w:val="18"/>
        </w:rPr>
        <w:t>————————————————————————</w:t>
      </w:r>
    </w:p>
    <w:p>
      <w:pPr>
        <w:pStyle w:val="Heading2"/>
      </w:pPr>
      <w:r>
        <w:t>1. Introduction</w:t>
      </w:r>
    </w:p>
    <w:p>
      <w:pPr>
        <w:pStyle w:val="Heading3"/>
      </w:pPr>
      <w:r>
        <w:t>1.1 Global burden of dengue</w:t>
      </w:r>
    </w:p>
    <w:p>
      <w:pPr>
        <w:jc w:val="both"/>
      </w:pPr>
      <w:r>
        <w:rPr>
          <w:rFonts w:ascii="Times New Roman" w:hAnsi="Times New Roman" w:eastAsia="Times New Roman"/>
          <w:b w:val="0"/>
          <w:i w:val="0"/>
          <w:sz w:val="22"/>
        </w:rPr>
        <w:t xml:space="preserve">Dengue virus (DENV) infection is among the most important arthropod-borne viral threats of the twenty-first century. Four antigenically distinct serotypes (DENV-1–4) of a single-stranded positive-sense RNA flavivirus are transmitted mainly by </w:t>
      </w:r>
      <w:r>
        <w:rPr>
          <w:rFonts w:ascii="Times New Roman" w:hAnsi="Times New Roman" w:eastAsia="Times New Roman"/>
          <w:b w:val="0"/>
          <w:i/>
          <w:sz w:val="22"/>
        </w:rPr>
        <w:t>Aedes aegypti</w:t>
      </w:r>
      <w:r>
        <w:rPr>
          <w:rFonts w:ascii="Times New Roman" w:hAnsi="Times New Roman" w:eastAsia="Times New Roman"/>
          <w:b w:val="0"/>
          <w:i w:val="0"/>
          <w:sz w:val="22"/>
        </w:rPr>
        <w:t xml:space="preserve"> and </w:t>
      </w:r>
      <w:r>
        <w:rPr>
          <w:rFonts w:ascii="Times New Roman" w:hAnsi="Times New Roman" w:eastAsia="Times New Roman"/>
          <w:b w:val="0"/>
          <w:i/>
          <w:sz w:val="22"/>
        </w:rPr>
        <w:t>Aedes albopictus</w:t>
      </w:r>
      <w:r>
        <w:rPr>
          <w:rFonts w:ascii="Times New Roman" w:hAnsi="Times New Roman" w:eastAsia="Times New Roman"/>
          <w:b w:val="0"/>
          <w:i w:val="0"/>
          <w:sz w:val="22"/>
        </w:rPr>
        <w:t xml:space="preserve"> [1,2]. Bhatt et al. estimated 390 million infections per year (95% credible interval 284–528 million), of which 96 million (67–136 million) are apparent at any severity [3]. Asia bore about 70% of that burden [3].</w:t>
      </w:r>
    </w:p>
    <w:p>
      <w:pPr>
        <w:jc w:val="both"/>
      </w:pPr>
      <w:r>
        <w:rPr>
          <w:rFonts w:ascii="Times New Roman" w:hAnsi="Times New Roman" w:eastAsia="Times New Roman"/>
          <w:b w:val="0"/>
          <w:i w:val="0"/>
          <w:sz w:val="22"/>
        </w:rPr>
        <w:t xml:space="preserve">In 2024 the recorded burden reached a historic high: 14,434,584 cases, including 7,718,585 laboratory-confirmed infections, 52,738 severe cases, and 11,201 deaths, across all six WHO regions [4]. The Region of the Americas contributed over 90% of reports [4]. Climate-driven expansion of </w:t>
      </w:r>
      <w:r>
        <w:rPr>
          <w:rFonts w:ascii="Times New Roman" w:hAnsi="Times New Roman" w:eastAsia="Times New Roman"/>
          <w:b w:val="0"/>
          <w:i/>
          <w:sz w:val="22"/>
        </w:rPr>
        <w:t>Aedes</w:t>
      </w:r>
      <w:r>
        <w:rPr>
          <w:rFonts w:ascii="Times New Roman" w:hAnsi="Times New Roman" w:eastAsia="Times New Roman"/>
          <w:b w:val="0"/>
          <w:i w:val="0"/>
          <w:sz w:val="22"/>
        </w:rPr>
        <w:t xml:space="preserve"> habitats, urbanization, mobility, and shifting serotype immunity underlie this surge [5,6]. WHO lists dengue among its leading global health threats [5].</w:t>
      </w:r>
    </w:p>
    <w:p>
      <w:pPr>
        <w:pStyle w:val="Heading3"/>
      </w:pPr>
      <w:r>
        <w:t>1.2 NS1 as an acute-phase biomarker</w:t>
      </w:r>
    </w:p>
    <w:p>
      <w:pPr>
        <w:jc w:val="both"/>
      </w:pPr>
      <w:r>
        <w:rPr>
          <w:rFonts w:ascii="Times New Roman" w:hAnsi="Times New Roman" w:eastAsia="Times New Roman"/>
          <w:b w:val="0"/>
          <w:i w:val="0"/>
          <w:sz w:val="22"/>
        </w:rPr>
        <w:t>Clinical dengue—undifferentiated fever, myalgia, retro-orbital pain, rash—overlaps malaria, chikungunya, Zika, leptospirosis, and typhoid [7,8]. Syndromic diagnosis is unreliable; laboratory confirmation is required for care, outbreak detection, and surveillance [2].</w:t>
      </w:r>
    </w:p>
    <w:p>
      <w:pPr>
        <w:jc w:val="both"/>
      </w:pPr>
      <w:r>
        <w:rPr>
          <w:rFonts w:ascii="Times New Roman" w:hAnsi="Times New Roman" w:eastAsia="Times New Roman"/>
          <w:b w:val="0"/>
          <w:i w:val="0"/>
          <w:sz w:val="22"/>
        </w:rPr>
        <w:t>NS1 is a 46–50 kDa conserved glycoprotein secreted at high concentration during peak viremia [9,10]. Antigenemia is detectable from day 1 of symptoms, often 2–4 days before IgM, and frequently through day 9 [9,11]. In primary infection, detection commonly exceeds 80% in the first four days [12]. In secondary infection, anamnestic anti-NS1 IgG sequesters free NS1 into immune complexes, shortening detectability and reducing sensitivity [12,14]. Serotype also matters: primary DENV-1 typically yields higher NS1 than primary DENV-2 [12]. Any platform must therefore perform across immune status, serotype, and day of illness.</w:t>
      </w:r>
    </w:p>
    <w:p>
      <w:pPr>
        <w:pStyle w:val="Heading3"/>
      </w:pPr>
      <w:r>
        <w:t>1.3 ELISA: laboratory standard and operational limits</w:t>
      </w:r>
    </w:p>
    <w:p>
      <w:pPr>
        <w:jc w:val="both"/>
      </w:pPr>
      <w:r>
        <w:rPr>
          <w:rFonts w:ascii="Times New Roman" w:hAnsi="Times New Roman" w:eastAsia="Times New Roman"/>
          <w:b w:val="0"/>
          <w:i w:val="0"/>
          <w:sz w:val="22"/>
        </w:rPr>
        <w:t>NS1 ELISA remains the recommended laboratory method where infrastructure exists [2,15]. Platelia Dengue NS1 Ag-ELISA (Bio-Rad) and Panbio Dengue Early ELISA (Abbott) use sandwich formats with peroxidase-labelled monoclonal antibodies [16,17].</w:t>
      </w:r>
    </w:p>
    <w:p>
      <w:pPr>
        <w:jc w:val="both"/>
      </w:pPr>
      <w:r>
        <w:rPr>
          <w:rFonts w:ascii="Times New Roman" w:hAnsi="Times New Roman" w:eastAsia="Times New Roman"/>
          <w:b w:val="0"/>
          <w:i w:val="0"/>
          <w:sz w:val="22"/>
        </w:rPr>
        <w:t>Pooled specificity is high (about 97–99%); sensitivity varies. Da Silva et al. (30 studies) reported Platelia sensitivity 74% (63–82%) and Panbio 66% (61–71%), falling further in secondary infection [18]. Guzmán et al., in a six-country evaluation, found Platelia more sensitive than Pan-E (66% vs 52%) with 100% specificity in non-dengue febrile patients [19]. Pillay et al. estimated NS1 ELISA sensitivity 90% (95% CrI 68–98%) on days 0–4 in a Bayesian model that does not assume a perfect gold standard [20].</w:t>
      </w:r>
    </w:p>
    <w:p>
      <w:pPr>
        <w:jc w:val="both"/>
      </w:pPr>
      <w:r>
        <w:rPr>
          <w:rFonts w:ascii="Times New Roman" w:hAnsi="Times New Roman" w:eastAsia="Times New Roman"/>
          <w:b w:val="0"/>
          <w:i w:val="0"/>
          <w:sz w:val="22"/>
        </w:rPr>
        <w:t>ELISA nonetheless requires plate readers, incubators, trained staff, cold storage, and batching, with 4–8 hours from sample receipt [15,21,22]. Transport from primary or rural sites may add 6–24 hours, so time-to-result often exceeds 24–48 hours [22]. The critical phase of severe dengue clusters around days 3–7, when NS1 is already declining [2,7].</w:t>
      </w:r>
    </w:p>
    <w:p>
      <w:pPr>
        <w:pStyle w:val="Heading3"/>
      </w:pPr>
      <w:r>
        <w:t>1.4 Fluorescence immunoassay as a distinct technology</w:t>
      </w:r>
    </w:p>
    <w:p>
      <w:pPr>
        <w:jc w:val="both"/>
      </w:pPr>
      <w:r>
        <w:rPr>
          <w:rFonts w:ascii="Times New Roman" w:hAnsi="Times New Roman" w:eastAsia="Times New Roman"/>
          <w:b w:val="0"/>
          <w:i w:val="0"/>
          <w:sz w:val="22"/>
        </w:rPr>
        <w:t>FIA aims to combine an objective, reader-based cutoff index (COI) with near-point-of-care speed. Unlike visual ICT, FIA uses fluorescent labels and a compact optical reader [23,24]. STANDARD F Dengue NS1 Ag FIA (SD Biosensor) uses a barcoded cartridge on an analyzer and returns results in 5–15 minutes from whole blood, serum, or plasma [23,25]. The NS1 Ag QUANTI CARD (J. Mitra) uses a related fluorescence principle with an iQuant reader [26,52].</w:t>
      </w:r>
    </w:p>
    <w:p>
      <w:pPr>
        <w:jc w:val="both"/>
      </w:pPr>
      <w:r>
        <w:rPr>
          <w:rFonts w:ascii="Times New Roman" w:hAnsi="Times New Roman" w:eastAsia="Times New Roman"/>
          <w:b w:val="0"/>
          <w:i w:val="0"/>
          <w:sz w:val="22"/>
        </w:rPr>
        <w:t>Individual evaluations have reported STANDARD F NS1 sensitivity of 79.1% and specificity of 92.3% against a combinatorial RT-PCR plus antibody ELISA standard [25], and QUANTI CARD sensitivity of 96.5% and specificity of 96.4% against NS1 ELISA [26]. These numbers cannot be compared as if they estimated the same parameter: the reference standards differ.</w:t>
      </w:r>
    </w:p>
    <w:p>
      <w:pPr>
        <w:pStyle w:val="Heading3"/>
      </w:pPr>
      <w:r>
        <w:t>1.5 Evidence gap</w:t>
      </w:r>
    </w:p>
    <w:p>
      <w:pPr>
        <w:jc w:val="both"/>
      </w:pPr>
      <w:r>
        <w:rPr>
          <w:rFonts w:ascii="Times New Roman" w:hAnsi="Times New Roman" w:eastAsia="Times New Roman"/>
          <w:b w:val="0"/>
          <w:i w:val="0"/>
          <w:sz w:val="22"/>
        </w:rPr>
        <w:t>Prior syntheses did not isolate FIA. Mata et al. (57 studies, 40 in meta-analysis) reported NS1/IgM/IgG ICT sensitivity 91% and specificity 96% without separating FIA from visual ICT [28]. Haider et al. (15 studies, 4,135 participants) found NS1-only ICT sensitivity 70.97% and specificity 94.73% (DOR 43.95) [29]. Frazer and Norton reviewed dengue diagnostics in the vaccine era but did not pool FIA [30].</w:t>
      </w:r>
    </w:p>
    <w:p>
      <w:pPr>
        <w:jc w:val="both"/>
      </w:pPr>
      <w:r>
        <w:rPr>
          <w:rFonts w:ascii="Times New Roman" w:hAnsi="Times New Roman" w:eastAsia="Times New Roman"/>
          <w:b w:val="0"/>
          <w:i w:val="0"/>
          <w:sz w:val="22"/>
        </w:rPr>
        <w:t>FIA and visual ICT differ in signal (fluorescence vs colloidal gold), interpretation (COI vs lines), analytical limit, and operator dependence. Pooling them obscures FIA performance and misleads procurement.</w:t>
      </w:r>
    </w:p>
    <w:p>
      <w:pPr>
        <w:pStyle w:val="Heading3"/>
      </w:pPr>
      <w:r>
        <w:t>1.6 Objectives</w:t>
      </w:r>
    </w:p>
    <w:p>
      <w:pPr>
        <w:jc w:val="both"/>
      </w:pPr>
      <w:r>
        <w:rPr>
          <w:rFonts w:ascii="Times New Roman" w:hAnsi="Times New Roman" w:eastAsia="Times New Roman"/>
          <w:b/>
          <w:i w:val="0"/>
          <w:sz w:val="22"/>
        </w:rPr>
        <w:t>Primary objective.</w:t>
      </w:r>
      <w:r>
        <w:rPr>
          <w:rFonts w:ascii="Times New Roman" w:hAnsi="Times New Roman" w:eastAsia="Times New Roman"/>
          <w:b w:val="0"/>
          <w:i w:val="0"/>
          <w:sz w:val="22"/>
        </w:rPr>
        <w:t xml:space="preserve"> To estimate pooled sensitivity, specificity, positive and negative likelihood ratios (PLR, NLR), and diagnostic odds ratio (DOR) of commercial FIA for dengue NS1 in suspected acute dengue, using a bivariate random-effects meta-analysis.</w:t>
      </w:r>
    </w:p>
    <w:p>
      <w:pPr>
        <w:jc w:val="both"/>
      </w:pPr>
      <w:r>
        <w:rPr>
          <w:rFonts w:ascii="Times New Roman" w:hAnsi="Times New Roman" w:eastAsia="Times New Roman"/>
          <w:b/>
          <w:i w:val="0"/>
          <w:sz w:val="22"/>
        </w:rPr>
        <w:t>Secondary objectives.</w:t>
      </w:r>
      <w:r>
        <w:rPr>
          <w:rFonts w:ascii="Times New Roman" w:hAnsi="Times New Roman" w:eastAsia="Times New Roman"/>
          <w:b w:val="0"/>
          <w:i w:val="0"/>
          <w:sz w:val="22"/>
        </w:rPr>
        <w:t xml:space="preserve"> (1) Head-to-head FIA vs ELISA on the same specimens when an independent reference was available. (2) Description of the SROC in the observed false-positive-rate region. (3) Heterogeneity and pre-specified subgroups (fitted only if k ≥ 4 per stratum). (4) QUADAS-2. (5) Deeks’ test. (6) Placement of FIA in a diagnostic algorithm.</w:t>
      </w:r>
    </w:p>
    <w:p>
      <w:pPr>
        <w:spacing w:before="80" w:after="80"/>
      </w:pPr>
      <w:r>
        <w:rPr>
          <w:rFonts w:ascii="Times New Roman" w:hAnsi="Times New Roman" w:eastAsia="Times New Roman"/>
          <w:b w:val="0"/>
          <w:i w:val="0"/>
          <w:color w:val="888888"/>
          <w:sz w:val="18"/>
        </w:rPr>
        <w:t>————————————————————————</w:t>
      </w:r>
    </w:p>
    <w:p>
      <w:pPr>
        <w:pStyle w:val="Heading2"/>
      </w:pPr>
      <w:r>
        <w:t>2. Methods</w:t>
      </w:r>
    </w:p>
    <w:p>
      <w:pPr>
        <w:jc w:val="both"/>
      </w:pPr>
      <w:r>
        <w:rPr>
          <w:rFonts w:ascii="Times New Roman" w:hAnsi="Times New Roman" w:eastAsia="Times New Roman"/>
          <w:b w:val="0"/>
          <w:i w:val="0"/>
          <w:sz w:val="22"/>
        </w:rPr>
        <w:t>This diagnostic test accuracy (DTA) review was designed and reported according to PRISMA-DTA [31], the PRISMA-DTA explanation and elaboration [32], PRISMA 2020 [33], PRISMA-S [34], and Cochrane DTA guidance [35]. STARD 2015 informed assessment of primary-study reporting [36]. Ethical approval was not required (secondary analysis of published data).</w:t>
      </w:r>
    </w:p>
    <w:p>
      <w:pPr>
        <w:pStyle w:val="Heading3"/>
      </w:pPr>
      <w:r>
        <w:t>2.1 Protocol and registration</w:t>
      </w:r>
    </w:p>
    <w:p>
      <w:pPr>
        <w:jc w:val="both"/>
      </w:pPr>
      <w:r>
        <w:rPr>
          <w:rFonts w:ascii="Times New Roman" w:hAnsi="Times New Roman" w:eastAsia="Times New Roman"/>
          <w:b w:val="0"/>
          <w:i w:val="0"/>
          <w:sz w:val="22"/>
        </w:rPr>
        <w:t>A protocol was prepared before quantitative synthesis (</w:t>
      </w:r>
      <w:r>
        <w:rPr>
          <w:rFonts w:ascii="Courier New" w:hAnsi="Courier New" w:eastAsia="Courier New"/>
          <w:b w:val="0"/>
          <w:i w:val="0"/>
          <w:color w:val="222222"/>
          <w:sz w:val="18"/>
        </w:rPr>
        <w:t>protocols/prospero_protocol.md</w:t>
      </w:r>
      <w:r>
        <w:rPr>
          <w:rFonts w:ascii="Times New Roman" w:hAnsi="Times New Roman" w:eastAsia="Times New Roman"/>
          <w:b w:val="0"/>
          <w:i w:val="0"/>
          <w:sz w:val="22"/>
        </w:rPr>
        <w:t>, version 1.0, August 2026). Submission to PROSPERO has not yet returned a CRD number. Deviations from the written protocol are listed in Section 2.12.</w:t>
      </w:r>
    </w:p>
    <w:p>
      <w:pPr>
        <w:pStyle w:val="Heading3"/>
      </w:pPr>
      <w:r>
        <w:t>2.2 Review question (PIRD)</w:t>
      </w:r>
    </w:p>
    <w:p>
      <w:pPr>
        <w:ind w:left="504"/>
      </w:pPr>
      <w:r>
        <w:rPr>
          <w:rFonts w:ascii="Times New Roman" w:hAnsi="Times New Roman" w:eastAsia="Times New Roman"/>
          <w:b w:val="0"/>
          <w:i/>
          <w:sz w:val="22"/>
        </w:rPr>
        <w:t>What is the diagnostic accuracy of fluorescence immunoassay (FIA) compared with enzyme-linked immunosorbent assay (ELISA) for detection of dengue virus NS1 antigen in patients with suspected acute dengue infection?</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6"/>
              </w:rPr>
            </w:r>
            <w:r>
              <w:rPr>
                <w:rFonts w:ascii="Times New Roman" w:hAnsi="Times New Roman" w:eastAsia="Times New Roman"/>
                <w:b/>
                <w:i w:val="0"/>
                <w:sz w:val="16"/>
              </w:rPr>
              <w:t>Component</w:t>
            </w:r>
          </w:p>
        </w:tc>
        <w:tc>
          <w:tcPr>
            <w:tcW w:type="dxa" w:w="4680"/>
          </w:tcPr>
          <w:p>
            <w:pPr>
              <w:spacing w:after="40" w:before="40"/>
            </w:pPr>
            <w:r>
              <w:rPr>
                <w:b/>
                <w:sz w:val="16"/>
              </w:rPr>
            </w:r>
            <w:r>
              <w:rPr>
                <w:rFonts w:ascii="Times New Roman" w:hAnsi="Times New Roman" w:eastAsia="Times New Roman"/>
                <w:b/>
                <w:i w:val="0"/>
                <w:sz w:val="16"/>
              </w:rPr>
              <w:t>Definition</w:t>
            </w:r>
          </w:p>
        </w:tc>
      </w:tr>
      <w:tr>
        <w:tc>
          <w:tcPr>
            <w:tcW w:type="dxa" w:w="4680"/>
          </w:tcPr>
          <w:p>
            <w:pPr>
              <w:spacing w:after="40" w:before="40"/>
            </w:pPr>
            <w:r>
              <w:rPr>
                <w:sz w:val="16"/>
              </w:rPr>
            </w:r>
            <w:r>
              <w:rPr>
                <w:rFonts w:ascii="Times New Roman" w:hAnsi="Times New Roman" w:eastAsia="Times New Roman"/>
                <w:b/>
                <w:i w:val="0"/>
                <w:sz w:val="16"/>
              </w:rPr>
              <w:t>Population</w:t>
            </w:r>
          </w:p>
        </w:tc>
        <w:tc>
          <w:tcPr>
            <w:tcW w:type="dxa" w:w="4680"/>
          </w:tcPr>
          <w:p>
            <w:pPr>
              <w:spacing w:after="40" w:before="40"/>
            </w:pPr>
            <w:r>
              <w:rPr>
                <w:sz w:val="16"/>
              </w:rPr>
            </w:r>
            <w:r>
              <w:rPr>
                <w:rFonts w:ascii="Times New Roman" w:hAnsi="Times New Roman" w:eastAsia="Times New Roman"/>
                <w:b w:val="0"/>
                <w:i w:val="0"/>
                <w:sz w:val="16"/>
              </w:rPr>
              <w:t>Any age; clinically suspected acute dengue; intended fever window ≤7 days from onset. Specimens: venous whole blood, serum, or plasma.</w:t>
            </w:r>
          </w:p>
        </w:tc>
      </w:tr>
      <w:tr>
        <w:tc>
          <w:tcPr>
            <w:tcW w:type="dxa" w:w="4680"/>
          </w:tcPr>
          <w:p>
            <w:pPr>
              <w:spacing w:after="40" w:before="40"/>
            </w:pPr>
            <w:r>
              <w:rPr>
                <w:sz w:val="16"/>
              </w:rPr>
            </w:r>
            <w:r>
              <w:rPr>
                <w:rFonts w:ascii="Times New Roman" w:hAnsi="Times New Roman" w:eastAsia="Times New Roman"/>
                <w:b/>
                <w:i w:val="0"/>
                <w:sz w:val="16"/>
              </w:rPr>
              <w:t>Index test</w:t>
            </w:r>
          </w:p>
        </w:tc>
        <w:tc>
          <w:tcPr>
            <w:tcW w:type="dxa" w:w="4680"/>
          </w:tcPr>
          <w:p>
            <w:pPr>
              <w:spacing w:after="40" w:before="40"/>
            </w:pPr>
            <w:r>
              <w:rPr>
                <w:sz w:val="16"/>
              </w:rPr>
            </w:r>
            <w:r>
              <w:rPr>
                <w:rFonts w:ascii="Times New Roman" w:hAnsi="Times New Roman" w:eastAsia="Times New Roman"/>
                <w:b w:val="0"/>
                <w:i w:val="0"/>
                <w:sz w:val="16"/>
              </w:rPr>
              <w:t>Commercial FIA for dengue NS1 (STANDARD F, QUANTI CARD, or equivalent reader-interpreted fluorescence assays). Positivity: manufacturer COI.</w:t>
            </w:r>
          </w:p>
        </w:tc>
      </w:tr>
      <w:tr>
        <w:tc>
          <w:tcPr>
            <w:tcW w:type="dxa" w:w="4680"/>
          </w:tcPr>
          <w:p>
            <w:pPr>
              <w:spacing w:after="40" w:before="40"/>
            </w:pPr>
            <w:r>
              <w:rPr>
                <w:sz w:val="16"/>
              </w:rPr>
            </w:r>
            <w:r>
              <w:rPr>
                <w:rFonts w:ascii="Times New Roman" w:hAnsi="Times New Roman" w:eastAsia="Times New Roman"/>
                <w:b/>
                <w:i w:val="0"/>
                <w:sz w:val="16"/>
              </w:rPr>
              <w:t>Reference standard</w:t>
            </w:r>
          </w:p>
        </w:tc>
        <w:tc>
          <w:tcPr>
            <w:tcW w:type="dxa" w:w="4680"/>
          </w:tcPr>
          <w:p>
            <w:pPr>
              <w:spacing w:after="40" w:before="40"/>
            </w:pPr>
            <w:r>
              <w:rPr>
                <w:sz w:val="16"/>
              </w:rPr>
            </w:r>
            <w:r>
              <w:rPr>
                <w:rFonts w:ascii="Times New Roman" w:hAnsi="Times New Roman" w:eastAsia="Times New Roman"/>
                <w:b w:val="0"/>
                <w:i w:val="0"/>
                <w:sz w:val="16"/>
              </w:rPr>
              <w:t xml:space="preserve">Tier 1: RT-PCR; Tier 2: virus isolation ± RT-PCR; Tier 3: composite (RT-PCR + serology ± NS1 ELISA); Tier 4: NS1 ELISA alone if molecular testing is unavailable. ELISA is also the </w:t>
            </w:r>
            <w:r>
              <w:rPr>
                <w:rFonts w:ascii="Times New Roman" w:hAnsi="Times New Roman" w:eastAsia="Times New Roman"/>
                <w:b/>
                <w:i w:val="0"/>
                <w:sz w:val="16"/>
              </w:rPr>
              <w:t>comparator</w:t>
            </w:r>
            <w:r>
              <w:rPr>
                <w:rFonts w:ascii="Times New Roman" w:hAnsi="Times New Roman" w:eastAsia="Times New Roman"/>
                <w:b w:val="0"/>
                <w:i w:val="0"/>
                <w:sz w:val="16"/>
              </w:rPr>
              <w:t xml:space="preserve"> in paired analyses.</w:t>
            </w:r>
          </w:p>
        </w:tc>
      </w:tr>
      <w:tr>
        <w:tc>
          <w:tcPr>
            <w:tcW w:type="dxa" w:w="4680"/>
          </w:tcPr>
          <w:p>
            <w:pPr>
              <w:spacing w:after="40" w:before="40"/>
            </w:pPr>
            <w:r>
              <w:rPr>
                <w:sz w:val="16"/>
              </w:rPr>
            </w:r>
            <w:r>
              <w:rPr>
                <w:rFonts w:ascii="Times New Roman" w:hAnsi="Times New Roman" w:eastAsia="Times New Roman"/>
                <w:b/>
                <w:i w:val="0"/>
                <w:sz w:val="16"/>
              </w:rPr>
              <w:t>Target condition</w:t>
            </w:r>
          </w:p>
        </w:tc>
        <w:tc>
          <w:tcPr>
            <w:tcW w:type="dxa" w:w="4680"/>
          </w:tcPr>
          <w:p>
            <w:pPr>
              <w:spacing w:after="40" w:before="40"/>
            </w:pPr>
            <w:r>
              <w:rPr>
                <w:sz w:val="16"/>
              </w:rPr>
            </w:r>
            <w:r>
              <w:rPr>
                <w:rFonts w:ascii="Times New Roman" w:hAnsi="Times New Roman" w:eastAsia="Times New Roman"/>
                <w:b w:val="0"/>
                <w:i w:val="0"/>
                <w:sz w:val="16"/>
              </w:rPr>
              <w:t>Acute DENV-1–4 infection in the febrile window.</w:t>
            </w:r>
          </w:p>
        </w:tc>
      </w:tr>
    </w:tbl>
    <w:p/>
    <w:p>
      <w:pPr>
        <w:pStyle w:val="Heading3"/>
      </w:pPr>
      <w:r>
        <w:t>2.3 Eligibility criteria</w:t>
      </w:r>
    </w:p>
    <w:p>
      <w:pPr>
        <w:jc w:val="both"/>
      </w:pPr>
      <w:r>
        <w:rPr>
          <w:rFonts w:ascii="Times New Roman" w:hAnsi="Times New Roman" w:eastAsia="Times New Roman"/>
          <w:b/>
          <w:i w:val="0"/>
          <w:sz w:val="22"/>
        </w:rPr>
        <w:t>Inclusion.</w:t>
      </w:r>
      <w:r>
        <w:rPr>
          <w:rFonts w:ascii="Times New Roman" w:hAnsi="Times New Roman" w:eastAsia="Times New Roman"/>
          <w:b w:val="0"/>
          <w:i w:val="0"/>
          <w:sz w:val="22"/>
        </w:rPr>
        <w:t xml:space="preserve"> Patients with suspected acute dengue. Commercial FIA for NS1 with automated or semi-automated COI. Reference: RT-PCR, isolation, composite, and/or NS1 ELISA. Designs: cross-sectional DTA, prospective or retrospective diagnostic cohorts, head-to-head comparisons. Extractable or reconstructable 2×2 table (true positives [TP], false positives [FP], false negatives [FN], true negatives [TN]). Original data. No language or date limits.</w:t>
      </w:r>
    </w:p>
    <w:p>
      <w:pPr>
        <w:jc w:val="both"/>
      </w:pPr>
      <w:r>
        <w:rPr>
          <w:rFonts w:ascii="Times New Roman" w:hAnsi="Times New Roman" w:eastAsia="Times New Roman"/>
          <w:b/>
          <w:i w:val="0"/>
          <w:sz w:val="22"/>
        </w:rPr>
        <w:t>Exclusion.</w:t>
      </w:r>
      <w:r>
        <w:rPr>
          <w:rFonts w:ascii="Times New Roman" w:hAnsi="Times New Roman" w:eastAsia="Times New Roman"/>
          <w:b w:val="0"/>
          <w:i w:val="0"/>
          <w:sz w:val="22"/>
        </w:rPr>
        <w:t xml:space="preserve"> Asymptomatic seroprevalence or blood-bank screening only; convalescent-only specimens without paired acute samples; animal or spiked-sample studies without a clinical cohort; saliva/urine only; combined NS1/IgM/IgG assays that cannot be disaggregated to NS1; reviews, editorials, correspondence, and case reports without denominators; non-reconstructable 2×2 data; duplicate datasets (most complete report retained). Experimental laboratory platforms (for example multilayer host-biomarker fluorescent assays, smartphone research lateral-flow devices, chopped-optical biosensors) were excluded as not equivalent to commercial cartridge FIA. Automated laboratory ELFA (VIDAS NS1) was excluded as a different technology class.</w:t>
      </w:r>
    </w:p>
    <w:p>
      <w:pPr>
        <w:jc w:val="both"/>
      </w:pPr>
      <w:r>
        <w:rPr>
          <w:rFonts w:ascii="Times New Roman" w:hAnsi="Times New Roman" w:eastAsia="Times New Roman"/>
          <w:b w:val="0"/>
          <w:i w:val="0"/>
          <w:sz w:val="22"/>
        </w:rPr>
        <w:t>Fever duration ≤7 days was the protocol population. Studies of clinically suspected acute dengue that did not report day of illness were not automatically excluded; they were retained with Unclear applicability and examined in a documented-fever sensitivity analysis. This is a protocol deviation (Section 2.12).</w:t>
      </w:r>
    </w:p>
    <w:p>
      <w:pPr>
        <w:pStyle w:val="Heading3"/>
      </w:pPr>
      <w:r>
        <w:t>2.4 Information sources and search</w:t>
      </w:r>
    </w:p>
    <w:p>
      <w:pPr>
        <w:jc w:val="both"/>
      </w:pPr>
      <w:r>
        <w:rPr>
          <w:rFonts w:ascii="Times New Roman" w:hAnsi="Times New Roman" w:eastAsia="Times New Roman"/>
          <w:b w:val="0"/>
          <w:i w:val="0"/>
          <w:sz w:val="22"/>
        </w:rPr>
        <w:t xml:space="preserve">Searches were executed on </w:t>
      </w:r>
      <w:r>
        <w:rPr>
          <w:rFonts w:ascii="Times New Roman" w:hAnsi="Times New Roman" w:eastAsia="Times New Roman"/>
          <w:b/>
          <w:i w:val="0"/>
          <w:sz w:val="22"/>
        </w:rPr>
        <w:t>19 August 2026</w:t>
      </w:r>
      <w:r>
        <w:rPr>
          <w:rFonts w:ascii="Times New Roman" w:hAnsi="Times New Roman" w:eastAsia="Times New Roman"/>
          <w:b w:val="0"/>
          <w:i w:val="0"/>
          <w:sz w:val="22"/>
        </w:rPr>
        <w:t xml:space="preserve"> (principal-investigator override of a planned September 2026 lock). Sources:</w:t>
      </w:r>
    </w:p>
    <w:p>
      <w:pPr>
        <w:pStyle w:val="ListNumber"/>
      </w:pPr>
      <w:r>
        <w:rPr>
          <w:rFonts w:ascii="Times New Roman" w:hAnsi="Times New Roman" w:eastAsia="Times New Roman"/>
          <w:b w:val="0"/>
          <w:i w:val="0"/>
          <w:sz w:val="22"/>
        </w:rPr>
        <w:t>PubMed/MEDLINE (https://pubmed.ncbi.nlm.nih.gov/)</w:t>
      </w:r>
    </w:p>
    <w:p>
      <w:pPr>
        <w:pStyle w:val="ListNumber"/>
      </w:pPr>
      <w:r>
        <w:rPr>
          <w:rFonts w:ascii="Times New Roman" w:hAnsi="Times New Roman" w:eastAsia="Times New Roman"/>
          <w:b w:val="0"/>
          <w:i w:val="0"/>
          <w:sz w:val="22"/>
        </w:rPr>
        <w:t>Embase.com via institutional OpenAthens</w:t>
      </w:r>
    </w:p>
    <w:p>
      <w:pPr>
        <w:pStyle w:val="ListNumber"/>
      </w:pPr>
      <w:r>
        <w:rPr>
          <w:rFonts w:ascii="Times New Roman" w:hAnsi="Times New Roman" w:eastAsia="Times New Roman"/>
          <w:b w:val="0"/>
          <w:i w:val="0"/>
          <w:sz w:val="22"/>
        </w:rPr>
        <w:t>Web of Science Core Collection, Topic field, all editions</w:t>
      </w:r>
    </w:p>
    <w:p>
      <w:pPr>
        <w:pStyle w:val="ListNumber"/>
      </w:pPr>
      <w:r>
        <w:rPr>
          <w:rFonts w:ascii="Times New Roman" w:hAnsi="Times New Roman" w:eastAsia="Times New Roman"/>
          <w:b w:val="0"/>
          <w:i w:val="0"/>
          <w:sz w:val="22"/>
        </w:rPr>
        <w:t>ScienceDirect Advanced Search, title/abstract/keywords</w:t>
      </w:r>
    </w:p>
    <w:p>
      <w:pPr>
        <w:pStyle w:val="ListNumber"/>
      </w:pPr>
      <w:r>
        <w:rPr>
          <w:rFonts w:ascii="Times New Roman" w:hAnsi="Times New Roman" w:eastAsia="Times New Roman"/>
          <w:b w:val="0"/>
          <w:i w:val="0"/>
          <w:sz w:val="22"/>
        </w:rPr>
        <w:t>Cochrane Library (CDSR and CENTRAL) — supplementary</w:t>
      </w:r>
    </w:p>
    <w:p>
      <w:pPr>
        <w:pStyle w:val="ListNumber"/>
      </w:pPr>
      <w:r>
        <w:rPr>
          <w:rFonts w:ascii="Times New Roman" w:hAnsi="Times New Roman" w:eastAsia="Times New Roman"/>
          <w:b w:val="0"/>
          <w:i w:val="0"/>
          <w:sz w:val="22"/>
        </w:rPr>
        <w:t>Google Scholar — supplementary (protocol cap 200; 100 harvested)</w:t>
      </w:r>
    </w:p>
    <w:p>
      <w:pPr>
        <w:pStyle w:val="ListNumber"/>
      </w:pPr>
      <w:r>
        <w:rPr>
          <w:rFonts w:ascii="Times New Roman" w:hAnsi="Times New Roman" w:eastAsia="Times New Roman"/>
          <w:b w:val="0"/>
          <w:i w:val="0"/>
          <w:sz w:val="22"/>
        </w:rPr>
        <w:t>ClinicalTrials.gov and Europe PMC preprints — grey literature</w:t>
      </w:r>
    </w:p>
    <w:p>
      <w:pPr>
        <w:pStyle w:val="ListNumber"/>
      </w:pPr>
      <w:r>
        <w:rPr>
          <w:rFonts w:ascii="Times New Roman" w:hAnsi="Times New Roman" w:eastAsia="Times New Roman"/>
          <w:b w:val="0"/>
          <w:i w:val="0"/>
          <w:sz w:val="22"/>
        </w:rPr>
        <w:t>OpenAlex and Crossref — public indexes; Crossref was not used as a PRISMA identification source (too sensitive)</w:t>
      </w:r>
    </w:p>
    <w:p>
      <w:pPr>
        <w:jc w:val="both"/>
      </w:pPr>
      <w:r>
        <w:rPr>
          <w:rFonts w:ascii="Times New Roman" w:hAnsi="Times New Roman" w:eastAsia="Times New Roman"/>
          <w:b/>
          <w:i w:val="0"/>
          <w:sz w:val="22"/>
        </w:rPr>
        <w:t>Scopus was not searched</w:t>
      </w:r>
      <w:r>
        <w:rPr>
          <w:rFonts w:ascii="Times New Roman" w:hAnsi="Times New Roman" w:eastAsia="Times New Roman"/>
          <w:b w:val="0"/>
          <w:i w:val="0"/>
          <w:sz w:val="22"/>
        </w:rPr>
        <w:t xml:space="preserve"> (not licensed on the University of Toledo A–Z database list used for access).</w:t>
      </w:r>
    </w:p>
    <w:p>
      <w:pPr>
        <w:jc w:val="both"/>
      </w:pPr>
      <w:r>
        <w:rPr>
          <w:rFonts w:ascii="Times New Roman" w:hAnsi="Times New Roman" w:eastAsia="Times New Roman"/>
          <w:b w:val="0"/>
          <w:i w:val="0"/>
          <w:sz w:val="22"/>
        </w:rPr>
        <w:t xml:space="preserve">The strategy combined five blocks: dengue AND NS1 AND (FIA OR ELISA) AND diagnostic-accuracy terms. Full strings are in </w:t>
      </w:r>
      <w:r>
        <w:rPr>
          <w:rFonts w:ascii="Courier New" w:hAnsi="Courier New" w:eastAsia="Courier New"/>
          <w:b w:val="0"/>
          <w:i w:val="0"/>
          <w:color w:val="222222"/>
          <w:sz w:val="18"/>
        </w:rPr>
        <w:t>data/search_strategies.md</w:t>
      </w:r>
      <w:r>
        <w:rPr>
          <w:rFonts w:ascii="Times New Roman" w:hAnsi="Times New Roman" w:eastAsia="Times New Roman"/>
          <w:b w:val="0"/>
          <w:i w:val="0"/>
          <w:sz w:val="22"/>
        </w:rPr>
        <w:t>. Index (PubMed) strategy:</w:t>
      </w:r>
    </w:p>
    <w:p>
      <w:pPr>
        <w:spacing w:before="80" w:after="200"/>
        <w:ind w:left="216"/>
      </w:pPr>
      <w:r>
        <w:rPr>
          <w:rFonts w:ascii="Courier New" w:hAnsi="Courier New" w:eastAsia="Courier New"/>
          <w:b w:val="0"/>
          <w:i w:val="0"/>
          <w:color w:val="222222"/>
          <w:sz w:val="18"/>
        </w:rPr>
        <w:t>("Dengue"[MeSH] OR "Dengue Virus"[MeSH] OR "Severe Dengue"[MeSH]</w:t>
        <w:br/>
        <w:t xml:space="preserve">  OR dengue[tiab] OR DENV[tiab] OR "dengue fever"[tiab]</w:t>
        <w:br/>
        <w:t xml:space="preserve">  OR "dengue hemorrhagic fever"[tiab] OR "dengue shock syndrome"[tiab])</w:t>
        <w:br/>
        <w:t>AND</w:t>
        <w:br/>
        <w:t>("Viral Nonstructural Proteins"[MeSH] OR NS1[tiab] OR "NS-1"[tiab]</w:t>
        <w:br/>
        <w:t xml:space="preserve">  OR "NS1 antigen"[tiab] OR "nonstructural protein 1"[tiab]</w:t>
        <w:br/>
        <w:t xml:space="preserve">  OR "non-structural protein 1"[tiab])</w:t>
        <w:br/>
        <w:t>AND</w:t>
        <w:br/>
        <w:t>(("Fluoroimmunoassay"[MeSH] OR "fluorescence immunoassay"[tiab]</w:t>
        <w:br/>
        <w:t xml:space="preserve">  OR "fluorescent immunoassay"[tiab] OR FIA[tiab] OR TRFIA[tiab]</w:t>
        <w:br/>
        <w:t xml:space="preserve">  OR "STANDARD F"[tiab] OR "SD Biosensor"[tiab] OR "QUANTI CARD"[tiab])</w:t>
        <w:br/>
        <w:t xml:space="preserve"> OR</w:t>
        <w:br/>
        <w:t xml:space="preserve"> ("Enzyme-Linked Immunosorbent Assay"[MeSH] OR ELISA[tiab]</w:t>
        <w:br/>
        <w:t xml:space="preserve">  OR "enzyme immunoassay"[tiab] OR Platelia[tiab] OR Panbio[tiab]))</w:t>
        <w:br/>
        <w:t>AND</w:t>
        <w:br/>
        <w:t>("Sensitivity and Specificity"[MeSH] OR "Predictive Value of Tests"[MeSH]</w:t>
        <w:br/>
        <w:t xml:space="preserve">  OR "ROC Curve"[MeSH] OR sensitivity[tiab] OR specificity[tiab]</w:t>
        <w:br/>
        <w:t xml:space="preserve">  OR "diagnostic accuracy"[tiab] OR "likelihood ratio"[tiab]</w:t>
        <w:br/>
        <w:t xml:space="preserve">  OR "true positive"[tiab] OR "false negative"[tiab])</w:t>
      </w:r>
    </w:p>
    <w:p>
      <w:pPr>
        <w:jc w:val="both"/>
      </w:pPr>
      <w:r>
        <w:rPr>
          <w:rFonts w:ascii="Times New Roman" w:hAnsi="Times New Roman" w:eastAsia="Times New Roman"/>
          <w:b/>
          <w:i w:val="0"/>
          <w:sz w:val="22"/>
        </w:rPr>
        <w:t>ScienceDirect constraint.</w:t>
      </w:r>
      <w:r>
        <w:rPr>
          <w:rFonts w:ascii="Times New Roman" w:hAnsi="Times New Roman" w:eastAsia="Times New Roman"/>
          <w:b w:val="0"/>
          <w:i w:val="0"/>
          <w:sz w:val="22"/>
        </w:rPr>
        <w:t xml:space="preserve"> Elsevier’s interface rejected the full protocol </w:t>
      </w:r>
      <w:r>
        <w:rPr>
          <w:rFonts w:ascii="Courier New" w:hAnsi="Courier New" w:eastAsia="Courier New"/>
          <w:b w:val="0"/>
          <w:i w:val="0"/>
          <w:color w:val="222222"/>
          <w:sz w:val="18"/>
        </w:rPr>
        <w:t>tak()</w:t>
      </w:r>
      <w:r>
        <w:rPr>
          <w:rFonts w:ascii="Times New Roman" w:hAnsi="Times New Roman" w:eastAsia="Times New Roman"/>
          <w:b w:val="0"/>
          <w:i w:val="0"/>
          <w:sz w:val="22"/>
        </w:rPr>
        <w:t xml:space="preserve"> string (maximum eight Boolean connectors per field). A condensed query was used: </w:t>
      </w:r>
      <w:r>
        <w:rPr>
          <w:rFonts w:ascii="Courier New" w:hAnsi="Courier New" w:eastAsia="Courier New"/>
          <w:b w:val="0"/>
          <w:i w:val="0"/>
          <w:color w:val="222222"/>
          <w:sz w:val="18"/>
        </w:rPr>
        <w:t>(dengue OR DENV) AND NS1 AND (FIA OR ELISA OR "fluorescence immunoassay" OR Platelia) AND (sensitivity OR specificity)</w:t>
      </w:r>
      <w:r>
        <w:rPr>
          <w:rFonts w:ascii="Times New Roman" w:hAnsi="Times New Roman" w:eastAsia="Times New Roman"/>
          <w:b w:val="0"/>
          <w:i w:val="0"/>
          <w:sz w:val="22"/>
        </w:rPr>
        <w:t>. Unfiltered hits: 88; Research + Review filter: 75.</w:t>
      </w:r>
    </w:p>
    <w:p>
      <w:pPr>
        <w:jc w:val="both"/>
      </w:pPr>
      <w:r>
        <w:rPr>
          <w:rFonts w:ascii="Times New Roman" w:hAnsi="Times New Roman" w:eastAsia="Times New Roman"/>
          <w:b/>
          <w:i w:val="0"/>
          <w:sz w:val="22"/>
        </w:rPr>
        <w:t>Google Scholar.</w:t>
      </w:r>
      <w:r>
        <w:rPr>
          <w:rFonts w:ascii="Times New Roman" w:hAnsi="Times New Roman" w:eastAsia="Times New Roman"/>
          <w:b w:val="0"/>
          <w:i w:val="0"/>
          <w:sz w:val="22"/>
        </w:rPr>
        <w:t xml:space="preserve"> The protocol primary query with many AND-quoted blocks returned 0 hits. A focused FIA query was used; the first 100 results by relevance were saved (pages 1–10). Pages 11–20 of the 200-result cap were not harvested.</w:t>
      </w:r>
    </w:p>
    <w:p>
      <w:pPr>
        <w:jc w:val="both"/>
      </w:pPr>
      <w:r>
        <w:rPr>
          <w:rFonts w:ascii="Times New Roman" w:hAnsi="Times New Roman" w:eastAsia="Times New Roman"/>
          <w:b w:val="0"/>
          <w:i w:val="0"/>
          <w:sz w:val="22"/>
        </w:rPr>
        <w:t>No language, date, or publication-type filters were applied in bibliographic databases. The search was validated by retrieval of known reports (Chaiyo 2022; Pohekar 2023) [25,27]. PRESS 2015 principles guided string construction [37].</w:t>
      </w:r>
    </w:p>
    <w:p>
      <w:pPr>
        <w:pStyle w:val="Heading3"/>
      </w:pPr>
      <w:r>
        <w:t>2.5 Study selection</w:t>
      </w:r>
    </w:p>
    <w:p>
      <w:pPr>
        <w:jc w:val="both"/>
      </w:pPr>
      <w:r>
        <w:rPr>
          <w:rFonts w:ascii="Times New Roman" w:hAnsi="Times New Roman" w:eastAsia="Times New Roman"/>
          <w:b w:val="0"/>
          <w:i w:val="0"/>
          <w:sz w:val="22"/>
        </w:rPr>
        <w:t>Records were harvested as RIS/CSV/PMID lists, parsed to a common schema, and deduplicated by DOI, then PMID, then normalized title plus year, with a title-only fallback (</w:t>
      </w:r>
      <w:r>
        <w:rPr>
          <w:rFonts w:ascii="Courier New" w:hAnsi="Courier New" w:eastAsia="Courier New"/>
          <w:b w:val="0"/>
          <w:i w:val="0"/>
          <w:color w:val="222222"/>
          <w:sz w:val="18"/>
        </w:rPr>
        <w:t>analysis/deduplicate_records.py</w:t>
      </w:r>
      <w:r>
        <w:rPr>
          <w:rFonts w:ascii="Times New Roman" w:hAnsi="Times New Roman" w:eastAsia="Times New Roman"/>
          <w:b w:val="0"/>
          <w:i w:val="0"/>
          <w:sz w:val="22"/>
        </w:rPr>
        <w:t>).</w:t>
      </w:r>
    </w:p>
    <w:p>
      <w:pPr>
        <w:jc w:val="both"/>
      </w:pPr>
      <w:r>
        <w:rPr>
          <w:rFonts w:ascii="Times New Roman" w:hAnsi="Times New Roman" w:eastAsia="Times New Roman"/>
          <w:b/>
          <w:i w:val="0"/>
          <w:sz w:val="22"/>
        </w:rPr>
        <w:t>Protocol deviation — screening.</w:t>
      </w:r>
      <w:r>
        <w:rPr>
          <w:rFonts w:ascii="Times New Roman" w:hAnsi="Times New Roman" w:eastAsia="Times New Roman"/>
          <w:b w:val="0"/>
          <w:i w:val="0"/>
          <w:sz w:val="22"/>
        </w:rPr>
        <w:t xml:space="preserve"> Dual independent title/abstract screening of all unique bibliographic records, calibration to Cohen’s κ ≥ 0.80, and blinded Rayyan/Covidence workflow were specified in the protocol and were </w:t>
      </w:r>
      <w:r>
        <w:rPr>
          <w:rFonts w:ascii="Times New Roman" w:hAnsi="Times New Roman" w:eastAsia="Times New Roman"/>
          <w:b/>
          <w:i w:val="0"/>
          <w:sz w:val="22"/>
        </w:rPr>
        <w:t>not completed</w:t>
      </w:r>
      <w:r>
        <w:rPr>
          <w:rFonts w:ascii="Times New Roman" w:hAnsi="Times New Roman" w:eastAsia="Times New Roman"/>
          <w:b w:val="0"/>
          <w:i w:val="0"/>
          <w:sz w:val="22"/>
        </w:rPr>
        <w:t>. Because the electronic strategy used (FIA OR ELISA), the unique set is dominated by ELISA-only NS1 papers. Selection used:</w:t>
      </w:r>
    </w:p>
    <w:p>
      <w:pPr>
        <w:pStyle w:val="ListNumber"/>
      </w:pPr>
      <w:r>
        <w:rPr>
          <w:rFonts w:ascii="Times New Roman" w:hAnsi="Times New Roman" w:eastAsia="Times New Roman"/>
          <w:b w:val="0"/>
          <w:i w:val="0"/>
          <w:sz w:val="22"/>
        </w:rPr>
        <w:t>Title/field filter of the unique bibliographic set for FIA, fluorescence immunoassay, STANDARD F, QUANTI CARD, and iQuant.</w:t>
      </w:r>
    </w:p>
    <w:p>
      <w:pPr>
        <w:pStyle w:val="ListNumber"/>
      </w:pPr>
      <w:r>
        <w:rPr>
          <w:rFonts w:ascii="Times New Roman" w:hAnsi="Times New Roman" w:eastAsia="Times New Roman"/>
          <w:b w:val="0"/>
          <w:i w:val="0"/>
          <w:sz w:val="22"/>
        </w:rPr>
        <w:t>Full-text assessment of those records, plus one unique-set paper that named STANDARD F in the full text but not the title (Zapata-de la Cruz 2026) [53].</w:t>
      </w:r>
    </w:p>
    <w:p>
      <w:pPr>
        <w:pStyle w:val="ListNumber"/>
      </w:pPr>
      <w:r>
        <w:rPr>
          <w:rFonts w:ascii="Times New Roman" w:hAnsi="Times New Roman" w:eastAsia="Times New Roman"/>
          <w:b w:val="0"/>
          <w:i w:val="0"/>
          <w:sz w:val="22"/>
        </w:rPr>
        <w:t>Two protocol-scoping validations not retrieved among the four bibliographic databases: Ghogre 2021 and Pohekar 2017 [26,52].</w:t>
      </w:r>
    </w:p>
    <w:p>
      <w:pPr>
        <w:jc w:val="both"/>
      </w:pPr>
      <w:r>
        <w:rPr>
          <w:rFonts w:ascii="Times New Roman" w:hAnsi="Times New Roman" w:eastAsia="Times New Roman"/>
          <w:b w:val="0"/>
          <w:i w:val="0"/>
          <w:sz w:val="22"/>
        </w:rPr>
        <w:t>Inter-rater κ is therefore not reported. Missed FIA papers whose titles lack FIA terms remain possible. This limitation is carried into GRADE.</w:t>
      </w:r>
    </w:p>
    <w:p>
      <w:pPr>
        <w:jc w:val="both"/>
      </w:pPr>
      <w:r>
        <w:rPr>
          <w:rFonts w:ascii="Times New Roman" w:hAnsi="Times New Roman" w:eastAsia="Times New Roman"/>
          <w:b w:val="0"/>
          <w:i w:val="0"/>
          <w:sz w:val="22"/>
        </w:rPr>
        <w:t>Full-text exclusions used: wrong population; wrong index test (including experimental platforms and visual ICT); no reconstructable NS1 2×2; correspondence; conference abstract without cells; duplicate.</w:t>
      </w:r>
    </w:p>
    <w:p>
      <w:pPr>
        <w:pStyle w:val="Heading3"/>
      </w:pPr>
      <w:r>
        <w:t>2.6 Data collection</w:t>
      </w:r>
    </w:p>
    <w:p>
      <w:pPr>
        <w:jc w:val="both"/>
      </w:pPr>
      <w:r>
        <w:rPr>
          <w:rFonts w:ascii="Times New Roman" w:hAnsi="Times New Roman" w:eastAsia="Times New Roman"/>
          <w:b w:val="0"/>
          <w:i w:val="0"/>
          <w:sz w:val="22"/>
        </w:rPr>
        <w:t>A standardized form (</w:t>
      </w:r>
      <w:r>
        <w:rPr>
          <w:rFonts w:ascii="Courier New" w:hAnsi="Courier New" w:eastAsia="Courier New"/>
          <w:b w:val="0"/>
          <w:i w:val="0"/>
          <w:color w:val="222222"/>
          <w:sz w:val="18"/>
        </w:rPr>
        <w:t>data/extraction_template.md</w:t>
      </w:r>
      <w:r>
        <w:rPr>
          <w:rFonts w:ascii="Times New Roman" w:hAnsi="Times New Roman" w:eastAsia="Times New Roman"/>
          <w:b w:val="0"/>
          <w:i w:val="0"/>
          <w:sz w:val="22"/>
        </w:rPr>
        <w:t>) was applied to included reports. Corresponding authors were not successfully used to recover missing 2×2 cells for Pohekar 2023; that study is described narratively only.</w:t>
      </w:r>
    </w:p>
    <w:p>
      <w:pPr>
        <w:jc w:val="both"/>
      </w:pPr>
      <w:r>
        <w:rPr>
          <w:rFonts w:ascii="Times New Roman" w:hAnsi="Times New Roman" w:eastAsia="Times New Roman"/>
          <w:b w:val="0"/>
          <w:i w:val="0"/>
          <w:sz w:val="22"/>
        </w:rPr>
        <w:t xml:space="preserve">When cells were unreported, TP, FN, TN, and FP were reconstructed from published sensitivity, specificity, and denominators. Integer solutions were required to reproduce published Se, Sp, PPV, and NPV to the reported precision. Locked cells are in </w:t>
      </w:r>
      <w:r>
        <w:rPr>
          <w:rFonts w:ascii="Courier New" w:hAnsi="Courier New" w:eastAsia="Courier New"/>
          <w:b w:val="0"/>
          <w:i w:val="0"/>
          <w:color w:val="222222"/>
          <w:sz w:val="18"/>
        </w:rPr>
        <w:t>data/extraction/included_2x2_2026-08-19.csv</w:t>
      </w:r>
      <w:r>
        <w:rPr>
          <w:rFonts w:ascii="Times New Roman" w:hAnsi="Times New Roman" w:eastAsia="Times New Roman"/>
          <w:b w:val="0"/>
          <w:i w:val="0"/>
          <w:sz w:val="22"/>
        </w:rPr>
        <w:t>. Missing items were coded not reported and were not imputed except the pre-specified continuity correction at the modelling stage.</w:t>
      </w:r>
    </w:p>
    <w:p>
      <w:pPr>
        <w:pStyle w:val="Heading3"/>
      </w:pPr>
      <w:r>
        <w:t>2.7 Risk of bias (QUADAS-2)</w:t>
      </w:r>
    </w:p>
    <w:p>
      <w:pPr>
        <w:jc w:val="both"/>
      </w:pPr>
      <w:r>
        <w:rPr>
          <w:rFonts w:ascii="Times New Roman" w:hAnsi="Times New Roman" w:eastAsia="Times New Roman"/>
          <w:b w:val="0"/>
          <w:i w:val="0"/>
          <w:sz w:val="22"/>
        </w:rPr>
        <w:t>QUADAS-2 [39] was tailored to dengue NS1 FIA (</w:t>
      </w:r>
      <w:r>
        <w:rPr>
          <w:rFonts w:ascii="Courier New" w:hAnsi="Courier New" w:eastAsia="Courier New"/>
          <w:b w:val="0"/>
          <w:i w:val="0"/>
          <w:color w:val="222222"/>
          <w:sz w:val="18"/>
        </w:rPr>
        <w:t>analysis/quadas2_protocol.md</w:t>
      </w:r>
      <w:r>
        <w:rPr>
          <w:rFonts w:ascii="Times New Roman" w:hAnsi="Times New Roman" w:eastAsia="Times New Roman"/>
          <w:b w:val="0"/>
          <w:i w:val="0"/>
          <w:sz w:val="22"/>
        </w:rPr>
        <w:t>). Signalling questions added fever duration ≤7 days, IFU adherence, indeterminate handling, incorporation bias (ELISA as both comparator and sole reference), and reference-standard diagnostic window.</w:t>
      </w:r>
    </w:p>
    <w:p>
      <w:pPr>
        <w:jc w:val="both"/>
      </w:pPr>
      <w:r>
        <w:rPr>
          <w:rFonts w:ascii="Times New Roman" w:hAnsi="Times New Roman" w:eastAsia="Times New Roman"/>
          <w:b w:val="0"/>
          <w:i w:val="0"/>
          <w:sz w:val="22"/>
        </w:rPr>
        <w:t>Judgments: Low / High / Unclear for risk of bias; Domains 1–3 also for applicability. NS1 ELISA as sole reference was judged Unclear for Domain 3, not automatically High, in line with the written protocol. Two-gate or IC-enriched sampling was High for Domain 1. Overall risk of bias was High if Domain 1 or two or more domains were High.</w:t>
      </w:r>
    </w:p>
    <w:p>
      <w:pPr>
        <w:jc w:val="both"/>
      </w:pPr>
      <w:r>
        <w:rPr>
          <w:rFonts w:ascii="Times New Roman" w:hAnsi="Times New Roman" w:eastAsia="Times New Roman"/>
          <w:b w:val="0"/>
          <w:i w:val="0"/>
          <w:sz w:val="22"/>
        </w:rPr>
        <w:t>Assessments were performed by a single reviewer. Dual independent QUADAS-2 with κ was not completed (protocol deviation).</w:t>
      </w:r>
    </w:p>
    <w:p>
      <w:pPr>
        <w:pStyle w:val="Heading3"/>
      </w:pPr>
      <w:r>
        <w:t>2.8 Statistical synthesis</w:t>
      </w:r>
    </w:p>
    <w:p>
      <w:pPr>
        <w:jc w:val="both"/>
      </w:pPr>
      <w:r>
        <w:rPr>
          <w:rFonts w:ascii="Times New Roman" w:hAnsi="Times New Roman" w:eastAsia="Times New Roman"/>
          <w:b/>
          <w:i w:val="0"/>
          <w:sz w:val="22"/>
        </w:rPr>
        <w:t>Outcomes.</w:t>
      </w:r>
      <w:r>
        <w:rPr>
          <w:rFonts w:ascii="Times New Roman" w:hAnsi="Times New Roman" w:eastAsia="Times New Roman"/>
          <w:b w:val="0"/>
          <w:i w:val="0"/>
          <w:sz w:val="22"/>
        </w:rPr>
        <w:t xml:space="preserve"> Pooled sensitivity, specificity, PLR = Se/(1 − Sp), NLR = (1 − Se)/Sp, and DOR. The clinically relevant SROC region is low false-positive rate (FPR), matching observed studies.</w:t>
      </w:r>
    </w:p>
    <w:p>
      <w:pPr>
        <w:jc w:val="both"/>
      </w:pPr>
      <w:r>
        <w:rPr>
          <w:rFonts w:ascii="Times New Roman" w:hAnsi="Times New Roman" w:eastAsia="Times New Roman"/>
          <w:b/>
          <w:i w:val="0"/>
          <w:sz w:val="22"/>
        </w:rPr>
        <w:t>Primary model.</w:t>
      </w:r>
      <w:r>
        <w:rPr>
          <w:rFonts w:ascii="Times New Roman" w:hAnsi="Times New Roman" w:eastAsia="Times New Roman"/>
          <w:b w:val="0"/>
          <w:i w:val="0"/>
          <w:sz w:val="22"/>
        </w:rPr>
        <w:t xml:space="preserve"> Bivariate random-effects model of Reitsma et al. [42], jointly modelling logit sensitivity and logit FPR with unstructured between-study covariance Ψ. Without covariates this model is equivalent to the HSROC model of Rutter and Gatsonis [43,44]. Variance of Ψ: restricted maximum likelihood (REML). Mean vector μ: generalized least squares given Ψ. Continuity correction 0.5 was added to all four cells of studies with a zero cell. Wald 95% CIs for sensitivity and specificity were obtained on the logit scale. CIs for PLR, NLR, and DOR used a parametric bootstrap (10,000 draws from N(μ, vcov μ)).</w:t>
      </w:r>
    </w:p>
    <w:p>
      <w:pPr>
        <w:jc w:val="both"/>
      </w:pPr>
      <w:r>
        <w:rPr>
          <w:rFonts w:ascii="Times New Roman" w:hAnsi="Times New Roman" w:eastAsia="Times New Roman"/>
          <w:b w:val="0"/>
          <w:i w:val="0"/>
          <w:sz w:val="22"/>
        </w:rPr>
        <w:t xml:space="preserve">The protocol named R </w:t>
      </w:r>
      <w:r>
        <w:rPr>
          <w:rFonts w:ascii="Courier New" w:hAnsi="Courier New" w:eastAsia="Courier New"/>
          <w:b w:val="0"/>
          <w:i w:val="0"/>
          <w:color w:val="222222"/>
          <w:sz w:val="18"/>
        </w:rPr>
        <w:t>mada::reitsma()</w:t>
      </w:r>
      <w:r>
        <w:rPr>
          <w:rFonts w:ascii="Times New Roman" w:hAnsi="Times New Roman" w:eastAsia="Times New Roman"/>
          <w:b w:val="0"/>
          <w:i w:val="0"/>
          <w:sz w:val="22"/>
        </w:rPr>
        <w:t>. R was not available in the analysis runtime. The model was implemented in Python (</w:t>
      </w:r>
      <w:r>
        <w:rPr>
          <w:rFonts w:ascii="Courier New" w:hAnsi="Courier New" w:eastAsia="Courier New"/>
          <w:b w:val="0"/>
          <w:i w:val="0"/>
          <w:color w:val="222222"/>
          <w:sz w:val="18"/>
        </w:rPr>
        <w:t>analysis/dta_meta_analysis.py</w:t>
      </w:r>
      <w:r>
        <w:rPr>
          <w:rFonts w:ascii="Times New Roman" w:hAnsi="Times New Roman" w:eastAsia="Times New Roman"/>
          <w:b w:val="0"/>
          <w:i w:val="0"/>
          <w:sz w:val="22"/>
        </w:rPr>
        <w:t>) with NumPy/SciPy. The likelihood is the same intercept-only Reitsma REML likelihood.</w:t>
      </w:r>
    </w:p>
    <w:p>
      <w:pPr>
        <w:jc w:val="both"/>
      </w:pPr>
      <w:r>
        <w:rPr>
          <w:rFonts w:ascii="Times New Roman" w:hAnsi="Times New Roman" w:eastAsia="Times New Roman"/>
          <w:b/>
          <w:i w:val="0"/>
          <w:sz w:val="22"/>
        </w:rPr>
        <w:t>Head-to-head FIA vs ELISA versus an independent reference</w:t>
      </w:r>
      <w:r>
        <w:rPr>
          <w:rFonts w:ascii="Times New Roman" w:hAnsi="Times New Roman" w:eastAsia="Times New Roman"/>
          <w:b w:val="0"/>
          <w:i w:val="0"/>
          <w:sz w:val="22"/>
        </w:rPr>
        <w:t xml:space="preserve"> required ≥4 paired studies. That analysis was not fitted (k = 0 independent paired sets; k = 2 ELISA-as-reference concordance studies).</w:t>
      </w:r>
    </w:p>
    <w:p>
      <w:pPr>
        <w:jc w:val="both"/>
      </w:pPr>
      <w:r>
        <w:rPr>
          <w:rFonts w:ascii="Times New Roman" w:hAnsi="Times New Roman" w:eastAsia="Times New Roman"/>
          <w:b/>
          <w:i w:val="0"/>
          <w:sz w:val="22"/>
        </w:rPr>
        <w:t>Publication bias.</w:t>
      </w:r>
      <w:r>
        <w:rPr>
          <w:rFonts w:ascii="Times New Roman" w:hAnsi="Times New Roman" w:eastAsia="Times New Roman"/>
          <w:b w:val="0"/>
          <w:i w:val="0"/>
          <w:sz w:val="22"/>
        </w:rPr>
        <w:t xml:space="preserve"> Deeks’ regression of ln(DOR) on 1/√ESS, where ESS = 4 × n_pos × n_neg / (n_pos + n_neg); two-sided </w:t>
      </w:r>
      <w:r>
        <w:rPr>
          <w:rFonts w:ascii="Times New Roman" w:hAnsi="Times New Roman" w:eastAsia="Times New Roman"/>
          <w:b w:val="0"/>
          <w:i/>
          <w:sz w:val="22"/>
        </w:rPr>
        <w:t>p</w:t>
      </w:r>
      <w:r>
        <w:rPr>
          <w:rFonts w:ascii="Times New Roman" w:hAnsi="Times New Roman" w:eastAsia="Times New Roman"/>
          <w:b w:val="0"/>
          <w:i w:val="0"/>
          <w:sz w:val="22"/>
        </w:rPr>
        <w:t xml:space="preserve"> &lt; 0.10 indicated possible small-study effects [45]. With k = 5 the test is underpowered and is interpreted as inconclusive rather than as proof of no bias.</w:t>
      </w:r>
    </w:p>
    <w:p>
      <w:pPr>
        <w:pStyle w:val="Heading3"/>
      </w:pPr>
      <w:r>
        <w:t>2.9 Heterogeneity and subgroups</w:t>
      </w:r>
    </w:p>
    <w:p>
      <w:pPr>
        <w:jc w:val="both"/>
      </w:pPr>
      <w:r>
        <w:rPr>
          <w:rFonts w:ascii="Times New Roman" w:hAnsi="Times New Roman" w:eastAsia="Times New Roman"/>
          <w:b w:val="0"/>
          <w:i w:val="0"/>
          <w:sz w:val="22"/>
        </w:rPr>
        <w:t>Heterogeneity: forest and SROC inspection; Cochran’s Q (α = 0.10) [48]; I² (0–40% might not be important; 30–60% moderate; 50–90% substantial) [48]; bivariate τ²; ρ &lt; −0.3 suggesting a threshold effect.</w:t>
      </w:r>
    </w:p>
    <w:p>
      <w:pPr>
        <w:jc w:val="both"/>
      </w:pPr>
      <w:r>
        <w:rPr>
          <w:rFonts w:ascii="Times New Roman" w:hAnsi="Times New Roman" w:eastAsia="Times New Roman"/>
          <w:b w:val="0"/>
          <w:i w:val="0"/>
          <w:sz w:val="22"/>
        </w:rPr>
        <w:t>Subgroup bivariate models required ≥4 studies per stratum. No stratum other than the overall model and one exploratory three-study subset met that rule. Pre-specified fever-day, infection-status, and serotype models were therefore not fitted.</w:t>
      </w:r>
    </w:p>
    <w:p>
      <w:pPr>
        <w:pStyle w:val="Heading3"/>
      </w:pPr>
      <w:r>
        <w:t>2.10 Sensitivity analyses</w:t>
      </w:r>
    </w:p>
    <w:p>
      <w:pPr>
        <w:jc w:val="both"/>
      </w:pPr>
      <w:r>
        <w:rPr>
          <w:rFonts w:ascii="Times New Roman" w:hAnsi="Times New Roman" w:eastAsia="Times New Roman"/>
          <w:b w:val="0"/>
          <w:i w:val="0"/>
          <w:sz w:val="22"/>
        </w:rPr>
        <w:t xml:space="preserve">Pre-specified and completed where k allowed: leave-one-out; continuity corrections 0.1, 0.5, and 1.0; 0.5 applied to all cells; STANDARD F only; reference other than NS1 ELISA alone; studies with documented fever ≤7 days (narrative if k &lt; 3). HSROC area under the curve integrated over FPR 0–1 was </w:t>
      </w:r>
      <w:r>
        <w:rPr>
          <w:rFonts w:ascii="Times New Roman" w:hAnsi="Times New Roman" w:eastAsia="Times New Roman"/>
          <w:b/>
          <w:i w:val="0"/>
          <w:sz w:val="22"/>
        </w:rPr>
        <w:t>not</w:t>
      </w:r>
      <w:r>
        <w:rPr>
          <w:rFonts w:ascii="Times New Roman" w:hAnsi="Times New Roman" w:eastAsia="Times New Roman"/>
          <w:b w:val="0"/>
          <w:i w:val="0"/>
          <w:sz w:val="22"/>
        </w:rPr>
        <w:t xml:space="preserve"> used as a primary accuracy measure: with k = 5 the between-study correlation was estimated at the boundary (ρ ≈ −0.97), producing a globally implausible SROC. Inference is based on the summary operating point.</w:t>
      </w:r>
    </w:p>
    <w:p>
      <w:pPr>
        <w:pStyle w:val="Heading3"/>
      </w:pPr>
      <w:r>
        <w:t>2.11 Certainty of evidence</w:t>
      </w:r>
    </w:p>
    <w:p>
      <w:pPr>
        <w:jc w:val="both"/>
      </w:pPr>
      <w:r>
        <w:rPr>
          <w:rFonts w:ascii="Times New Roman" w:hAnsi="Times New Roman" w:eastAsia="Times New Roman"/>
          <w:b w:val="0"/>
          <w:i w:val="0"/>
          <w:sz w:val="22"/>
        </w:rPr>
        <w:t>GRADE for DTA [49] was applied to sensitivity and specificity. Starting from high certainty for accuracy studies, rating down was considered for risk of bias, inconsistency, indirectness (mixed reference standards; incomplete screening), imprecision, and publication bias.</w:t>
      </w:r>
    </w:p>
    <w:p>
      <w:pPr>
        <w:pStyle w:val="Heading3"/>
      </w:pPr>
      <w:r>
        <w:t>2.12 Protocol deviations (complete list)</w:t>
      </w:r>
    </w:p>
    <w:p>
      <w:pPr>
        <w:pStyle w:val="ListNumber"/>
      </w:pPr>
      <w:r>
        <w:rPr>
          <w:rFonts w:ascii="Times New Roman" w:hAnsi="Times New Roman" w:eastAsia="Times New Roman"/>
          <w:b w:val="0"/>
          <w:i w:val="0"/>
          <w:sz w:val="22"/>
        </w:rPr>
        <w:t>Search date 19 August 2026 rather than September 2026 (investigator override).</w:t>
      </w:r>
    </w:p>
    <w:p>
      <w:pPr>
        <w:pStyle w:val="ListNumber"/>
      </w:pPr>
      <w:r>
        <w:rPr>
          <w:rFonts w:ascii="Times New Roman" w:hAnsi="Times New Roman" w:eastAsia="Times New Roman"/>
          <w:b w:val="0"/>
          <w:i w:val="0"/>
          <w:sz w:val="22"/>
        </w:rPr>
        <w:t>Scopus not searched (no institutional licence).</w:t>
      </w:r>
    </w:p>
    <w:p>
      <w:pPr>
        <w:pStyle w:val="ListNumber"/>
      </w:pPr>
      <w:r>
        <w:rPr>
          <w:rFonts w:ascii="Times New Roman" w:hAnsi="Times New Roman" w:eastAsia="Times New Roman"/>
          <w:b w:val="0"/>
          <w:i w:val="0"/>
          <w:sz w:val="22"/>
        </w:rPr>
        <w:t>ScienceDirect query condensed to the vendor Boolean limit.</w:t>
      </w:r>
    </w:p>
    <w:p>
      <w:pPr>
        <w:pStyle w:val="ListNumber"/>
      </w:pPr>
      <w:r>
        <w:rPr>
          <w:rFonts w:ascii="Times New Roman" w:hAnsi="Times New Roman" w:eastAsia="Times New Roman"/>
          <w:b w:val="0"/>
          <w:i w:val="0"/>
          <w:sz w:val="22"/>
        </w:rPr>
        <w:t>Google Scholar: 100 of 200 protocol-cap results harvested; primary fully quoted query returned 0 hits.</w:t>
      </w:r>
    </w:p>
    <w:p>
      <w:pPr>
        <w:pStyle w:val="ListNumber"/>
      </w:pPr>
      <w:r>
        <w:rPr>
          <w:rFonts w:ascii="Times New Roman" w:hAnsi="Times New Roman" w:eastAsia="Times New Roman"/>
          <w:b w:val="0"/>
          <w:i w:val="0"/>
          <w:sz w:val="22"/>
        </w:rPr>
        <w:t>Dual independent screening of all unique bibliographic records not completed; FIA-term filter plus scoping papers used instead.</w:t>
      </w:r>
    </w:p>
    <w:p>
      <w:pPr>
        <w:pStyle w:val="ListNumber"/>
      </w:pPr>
      <w:r>
        <w:rPr>
          <w:rFonts w:ascii="Times New Roman" w:hAnsi="Times New Roman" w:eastAsia="Times New Roman"/>
          <w:b w:val="0"/>
          <w:i w:val="0"/>
          <w:sz w:val="22"/>
        </w:rPr>
        <w:t>Dual independent extraction and QUADAS-2 not completed (single reviewer).</w:t>
      </w:r>
    </w:p>
    <w:p>
      <w:pPr>
        <w:pStyle w:val="ListNumber"/>
      </w:pPr>
      <w:r>
        <w:rPr>
          <w:rFonts w:ascii="Times New Roman" w:hAnsi="Times New Roman" w:eastAsia="Times New Roman"/>
          <w:b w:val="0"/>
          <w:i w:val="0"/>
          <w:sz w:val="22"/>
        </w:rPr>
        <w:t>PROSPERO CRD identifier not yet assigned.</w:t>
      </w:r>
    </w:p>
    <w:p>
      <w:pPr>
        <w:pStyle w:val="ListNumber"/>
      </w:pPr>
      <w:r>
        <w:rPr>
          <w:rFonts w:ascii="Times New Roman" w:hAnsi="Times New Roman" w:eastAsia="Times New Roman"/>
          <w:b w:val="0"/>
          <w:i w:val="0"/>
          <w:sz w:val="22"/>
        </w:rPr>
        <w:t>Studies without documented fever ≤7 days included if they enrolled clinically suspected acute dengue.</w:t>
      </w:r>
    </w:p>
    <w:p>
      <w:pPr>
        <w:pStyle w:val="ListNumber"/>
      </w:pPr>
      <w:r>
        <w:rPr>
          <w:rFonts w:ascii="Times New Roman" w:hAnsi="Times New Roman" w:eastAsia="Times New Roman"/>
          <w:b w:val="0"/>
          <w:i w:val="0"/>
          <w:sz w:val="22"/>
        </w:rPr>
        <w:t xml:space="preserve">Analysis engine: Python Reitsma REML rather than R </w:t>
      </w:r>
      <w:r>
        <w:rPr>
          <w:rFonts w:ascii="Courier New" w:hAnsi="Courier New" w:eastAsia="Courier New"/>
          <w:b w:val="0"/>
          <w:i w:val="0"/>
          <w:color w:val="222222"/>
          <w:sz w:val="18"/>
        </w:rPr>
        <w:t>mada</w:t>
      </w:r>
      <w:r>
        <w:rPr>
          <w:rFonts w:ascii="Times New Roman" w:hAnsi="Times New Roman" w:eastAsia="Times New Roman"/>
          <w:b w:val="0"/>
          <w:i w:val="0"/>
          <w:sz w:val="22"/>
        </w:rPr>
        <w:t>.</w:t>
      </w:r>
    </w:p>
    <w:p>
      <w:pPr>
        <w:pStyle w:val="ListNumber"/>
      </w:pPr>
      <w:r>
        <w:rPr>
          <w:rFonts w:ascii="Times New Roman" w:hAnsi="Times New Roman" w:eastAsia="Times New Roman"/>
          <w:b w:val="0"/>
          <w:i w:val="0"/>
          <w:sz w:val="22"/>
        </w:rPr>
        <w:t>Head-to-head bivariate FIA vs ELISA and all k ≥ 4 subgroups not fitted (insufficient studies).</w:t>
      </w:r>
    </w:p>
    <w:p>
      <w:pPr>
        <w:pStyle w:val="ListNumber"/>
      </w:pPr>
      <w:r>
        <w:rPr>
          <w:rFonts w:ascii="Times New Roman" w:hAnsi="Times New Roman" w:eastAsia="Times New Roman"/>
          <w:b w:val="0"/>
          <w:i w:val="0"/>
          <w:sz w:val="22"/>
        </w:rPr>
        <w:t>Full-range HSROC AUC not interpreted (boundary correlation).</w:t>
      </w:r>
    </w:p>
    <w:p>
      <w:pPr>
        <w:spacing w:before="80" w:after="80"/>
      </w:pPr>
      <w:r>
        <w:rPr>
          <w:rFonts w:ascii="Times New Roman" w:hAnsi="Times New Roman" w:eastAsia="Times New Roman"/>
          <w:b w:val="0"/>
          <w:i w:val="0"/>
          <w:color w:val="888888"/>
          <w:sz w:val="18"/>
        </w:rPr>
        <w:t>————————————————————————</w:t>
      </w:r>
    </w:p>
    <w:p>
      <w:pPr>
        <w:pStyle w:val="Heading2"/>
      </w:pPr>
      <w:r>
        <w:t>3. Results</w:t>
      </w:r>
    </w:p>
    <w:p>
      <w:pPr>
        <w:pStyle w:val="Heading3"/>
      </w:pPr>
      <w:r>
        <w:t>3.1 Study selection</w:t>
      </w:r>
    </w:p>
    <w:p>
      <w:pPr>
        <w:jc w:val="both"/>
      </w:pPr>
      <w:r>
        <w:rPr>
          <w:rFonts w:ascii="Times New Roman" w:hAnsi="Times New Roman" w:eastAsia="Times New Roman"/>
          <w:b w:val="0"/>
          <w:i w:val="0"/>
          <w:sz w:val="22"/>
        </w:rPr>
        <w:t xml:space="preserve">The search was run on </w:t>
      </w:r>
      <w:r>
        <w:rPr>
          <w:rFonts w:ascii="Times New Roman" w:hAnsi="Times New Roman" w:eastAsia="Times New Roman"/>
          <w:b/>
          <w:i w:val="0"/>
          <w:sz w:val="22"/>
        </w:rPr>
        <w:t>19 August 2026</w:t>
      </w:r>
      <w:r>
        <w:rPr>
          <w:rFonts w:ascii="Times New Roman" w:hAnsi="Times New Roman" w:eastAsia="Times New Roman"/>
          <w:b w:val="0"/>
          <w:i w:val="0"/>
          <w:sz w:val="22"/>
        </w:rPr>
        <w:t>. Hits by source are in Table 1.</w:t>
      </w:r>
    </w:p>
    <w:p>
      <w:pPr>
        <w:jc w:val="both"/>
      </w:pPr>
      <w:r>
        <w:rPr>
          <w:rFonts w:ascii="Times New Roman" w:hAnsi="Times New Roman" w:eastAsia="Times New Roman"/>
          <w:b/>
          <w:i w:val="0"/>
          <w:sz w:val="22"/>
        </w:rPr>
        <w:t>Table 1. Records by information source (19 August 2026)</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6"/>
              </w:rPr>
            </w:r>
            <w:r>
              <w:rPr>
                <w:rFonts w:ascii="Times New Roman" w:hAnsi="Times New Roman" w:eastAsia="Times New Roman"/>
                <w:b/>
                <w:i w:val="0"/>
                <w:sz w:val="16"/>
              </w:rPr>
              <w:t>Source</w:t>
            </w:r>
          </w:p>
        </w:tc>
        <w:tc>
          <w:tcPr>
            <w:tcW w:type="dxa" w:w="3120"/>
          </w:tcPr>
          <w:p>
            <w:pPr>
              <w:spacing w:after="40" w:before="40"/>
            </w:pPr>
            <w:r>
              <w:rPr>
                <w:b/>
                <w:sz w:val="16"/>
              </w:rPr>
            </w:r>
            <w:r>
              <w:rPr>
                <w:rFonts w:ascii="Times New Roman" w:hAnsi="Times New Roman" w:eastAsia="Times New Roman"/>
                <w:b/>
                <w:i w:val="0"/>
                <w:sz w:val="16"/>
              </w:rPr>
              <w:t>Records (n)</w:t>
            </w:r>
          </w:p>
        </w:tc>
        <w:tc>
          <w:tcPr>
            <w:tcW w:type="dxa" w:w="3120"/>
          </w:tcPr>
          <w:p>
            <w:pPr>
              <w:spacing w:after="40" w:before="40"/>
            </w:pPr>
            <w:r>
              <w:rPr>
                <w:b/>
                <w:sz w:val="16"/>
              </w:rPr>
            </w:r>
            <w:r>
              <w:rPr>
                <w:rFonts w:ascii="Times New Roman" w:hAnsi="Times New Roman" w:eastAsia="Times New Roman"/>
                <w:b/>
                <w:i w:val="0"/>
                <w:sz w:val="16"/>
              </w:rPr>
              <w:t>Role</w:t>
            </w:r>
          </w:p>
        </w:tc>
      </w:tr>
      <w:tr>
        <w:tc>
          <w:tcPr>
            <w:tcW w:type="dxa" w:w="3120"/>
          </w:tcPr>
          <w:p>
            <w:pPr>
              <w:spacing w:after="40" w:before="40"/>
            </w:pPr>
            <w:r>
              <w:rPr>
                <w:sz w:val="16"/>
              </w:rPr>
            </w:r>
            <w:r>
              <w:rPr>
                <w:rFonts w:ascii="Times New Roman" w:hAnsi="Times New Roman" w:eastAsia="Times New Roman"/>
                <w:b w:val="0"/>
                <w:i w:val="0"/>
                <w:sz w:val="16"/>
              </w:rPr>
              <w:t>PubMed/MEDLINE</w:t>
            </w:r>
          </w:p>
        </w:tc>
        <w:tc>
          <w:tcPr>
            <w:tcW w:type="dxa" w:w="3120"/>
          </w:tcPr>
          <w:p>
            <w:pPr>
              <w:spacing w:after="40" w:before="40"/>
            </w:pPr>
            <w:r>
              <w:rPr>
                <w:sz w:val="16"/>
              </w:rPr>
            </w:r>
            <w:r>
              <w:rPr>
                <w:rFonts w:ascii="Times New Roman" w:hAnsi="Times New Roman" w:eastAsia="Times New Roman"/>
                <w:b w:val="0"/>
                <w:i w:val="0"/>
                <w:sz w:val="16"/>
              </w:rPr>
              <w:t>423</w:t>
            </w:r>
          </w:p>
        </w:tc>
        <w:tc>
          <w:tcPr>
            <w:tcW w:type="dxa" w:w="3120"/>
          </w:tcPr>
          <w:p>
            <w:pPr>
              <w:spacing w:after="40" w:before="40"/>
            </w:pPr>
            <w:r>
              <w:rPr>
                <w:sz w:val="16"/>
              </w:rPr>
            </w:r>
            <w:r>
              <w:rPr>
                <w:rFonts w:ascii="Times New Roman" w:hAnsi="Times New Roman" w:eastAsia="Times New Roman"/>
                <w:b w:val="0"/>
                <w:i w:val="0"/>
                <w:sz w:val="16"/>
              </w:rPr>
              <w:t>Identification</w:t>
            </w:r>
          </w:p>
        </w:tc>
      </w:tr>
      <w:tr>
        <w:tc>
          <w:tcPr>
            <w:tcW w:type="dxa" w:w="3120"/>
          </w:tcPr>
          <w:p>
            <w:pPr>
              <w:spacing w:after="40" w:before="40"/>
            </w:pPr>
            <w:r>
              <w:rPr>
                <w:sz w:val="16"/>
              </w:rPr>
            </w:r>
            <w:r>
              <w:rPr>
                <w:rFonts w:ascii="Times New Roman" w:hAnsi="Times New Roman" w:eastAsia="Times New Roman"/>
                <w:b w:val="0"/>
                <w:i w:val="0"/>
                <w:sz w:val="16"/>
              </w:rPr>
              <w:t>Embase</w:t>
            </w:r>
          </w:p>
        </w:tc>
        <w:tc>
          <w:tcPr>
            <w:tcW w:type="dxa" w:w="3120"/>
          </w:tcPr>
          <w:p>
            <w:pPr>
              <w:spacing w:after="40" w:before="40"/>
            </w:pPr>
            <w:r>
              <w:rPr>
                <w:sz w:val="16"/>
              </w:rPr>
            </w:r>
            <w:r>
              <w:rPr>
                <w:rFonts w:ascii="Times New Roman" w:hAnsi="Times New Roman" w:eastAsia="Times New Roman"/>
                <w:b w:val="0"/>
                <w:i w:val="0"/>
                <w:sz w:val="16"/>
              </w:rPr>
              <w:t>959</w:t>
            </w:r>
          </w:p>
        </w:tc>
        <w:tc>
          <w:tcPr>
            <w:tcW w:type="dxa" w:w="3120"/>
          </w:tcPr>
          <w:p>
            <w:pPr>
              <w:spacing w:after="40" w:before="40"/>
            </w:pPr>
            <w:r>
              <w:rPr>
                <w:sz w:val="16"/>
              </w:rPr>
            </w:r>
            <w:r>
              <w:rPr>
                <w:rFonts w:ascii="Times New Roman" w:hAnsi="Times New Roman" w:eastAsia="Times New Roman"/>
                <w:b w:val="0"/>
                <w:i w:val="0"/>
                <w:sz w:val="16"/>
              </w:rPr>
              <w:t>Identification</w:t>
            </w:r>
          </w:p>
        </w:tc>
      </w:tr>
      <w:tr>
        <w:tc>
          <w:tcPr>
            <w:tcW w:type="dxa" w:w="3120"/>
          </w:tcPr>
          <w:p>
            <w:pPr>
              <w:spacing w:after="40" w:before="40"/>
            </w:pPr>
            <w:r>
              <w:rPr>
                <w:sz w:val="16"/>
              </w:rPr>
            </w:r>
            <w:r>
              <w:rPr>
                <w:rFonts w:ascii="Times New Roman" w:hAnsi="Times New Roman" w:eastAsia="Times New Roman"/>
                <w:b w:val="0"/>
                <w:i w:val="0"/>
                <w:sz w:val="16"/>
              </w:rPr>
              <w:t>Web of Science Core Collection</w:t>
            </w:r>
          </w:p>
        </w:tc>
        <w:tc>
          <w:tcPr>
            <w:tcW w:type="dxa" w:w="3120"/>
          </w:tcPr>
          <w:p>
            <w:pPr>
              <w:spacing w:after="40" w:before="40"/>
            </w:pPr>
            <w:r>
              <w:rPr>
                <w:sz w:val="16"/>
              </w:rPr>
            </w:r>
            <w:r>
              <w:rPr>
                <w:rFonts w:ascii="Times New Roman" w:hAnsi="Times New Roman" w:eastAsia="Times New Roman"/>
                <w:b w:val="0"/>
                <w:i w:val="0"/>
                <w:sz w:val="16"/>
              </w:rPr>
              <w:t>432</w:t>
            </w:r>
          </w:p>
        </w:tc>
        <w:tc>
          <w:tcPr>
            <w:tcW w:type="dxa" w:w="3120"/>
          </w:tcPr>
          <w:p>
            <w:pPr>
              <w:spacing w:after="40" w:before="40"/>
            </w:pPr>
            <w:r>
              <w:rPr>
                <w:sz w:val="16"/>
              </w:rPr>
            </w:r>
            <w:r>
              <w:rPr>
                <w:rFonts w:ascii="Times New Roman" w:hAnsi="Times New Roman" w:eastAsia="Times New Roman"/>
                <w:b w:val="0"/>
                <w:i w:val="0"/>
                <w:sz w:val="16"/>
              </w:rPr>
              <w:t>Identification</w:t>
            </w:r>
          </w:p>
        </w:tc>
      </w:tr>
      <w:tr>
        <w:tc>
          <w:tcPr>
            <w:tcW w:type="dxa" w:w="3120"/>
          </w:tcPr>
          <w:p>
            <w:pPr>
              <w:spacing w:after="40" w:before="40"/>
            </w:pPr>
            <w:r>
              <w:rPr>
                <w:sz w:val="16"/>
              </w:rPr>
            </w:r>
            <w:r>
              <w:rPr>
                <w:rFonts w:ascii="Times New Roman" w:hAnsi="Times New Roman" w:eastAsia="Times New Roman"/>
                <w:b w:val="0"/>
                <w:i w:val="0"/>
                <w:sz w:val="16"/>
              </w:rPr>
              <w:t>ScienceDirect (condensed TAK; research + review)</w:t>
            </w:r>
          </w:p>
        </w:tc>
        <w:tc>
          <w:tcPr>
            <w:tcW w:type="dxa" w:w="3120"/>
          </w:tcPr>
          <w:p>
            <w:pPr>
              <w:spacing w:after="40" w:before="40"/>
            </w:pPr>
            <w:r>
              <w:rPr>
                <w:sz w:val="16"/>
              </w:rPr>
            </w:r>
            <w:r>
              <w:rPr>
                <w:rFonts w:ascii="Times New Roman" w:hAnsi="Times New Roman" w:eastAsia="Times New Roman"/>
                <w:b w:val="0"/>
                <w:i w:val="0"/>
                <w:sz w:val="16"/>
              </w:rPr>
              <w:t>75</w:t>
            </w:r>
          </w:p>
        </w:tc>
        <w:tc>
          <w:tcPr>
            <w:tcW w:type="dxa" w:w="3120"/>
          </w:tcPr>
          <w:p>
            <w:pPr>
              <w:spacing w:after="40" w:before="40"/>
            </w:pPr>
            <w:r>
              <w:rPr>
                <w:sz w:val="16"/>
              </w:rPr>
            </w:r>
            <w:r>
              <w:rPr>
                <w:rFonts w:ascii="Times New Roman" w:hAnsi="Times New Roman" w:eastAsia="Times New Roman"/>
                <w:b w:val="0"/>
                <w:i w:val="0"/>
                <w:sz w:val="16"/>
              </w:rPr>
              <w:t>Identification</w:t>
            </w:r>
          </w:p>
        </w:tc>
      </w:tr>
      <w:tr>
        <w:tc>
          <w:tcPr>
            <w:tcW w:type="dxa" w:w="3120"/>
          </w:tcPr>
          <w:p>
            <w:pPr>
              <w:spacing w:after="40" w:before="40"/>
            </w:pPr>
            <w:r>
              <w:rPr>
                <w:sz w:val="16"/>
              </w:rPr>
            </w:r>
            <w:r>
              <w:rPr>
                <w:rFonts w:ascii="Times New Roman" w:hAnsi="Times New Roman" w:eastAsia="Times New Roman"/>
                <w:b w:val="0"/>
                <w:i w:val="0"/>
                <w:sz w:val="16"/>
              </w:rPr>
              <w:t>Scopus</w:t>
            </w:r>
          </w:p>
        </w:tc>
        <w:tc>
          <w:tcPr>
            <w:tcW w:type="dxa" w:w="3120"/>
          </w:tcPr>
          <w:p>
            <w:pPr>
              <w:spacing w:after="40" w:before="40"/>
            </w:pPr>
            <w:r>
              <w:rPr>
                <w:sz w:val="16"/>
              </w:rPr>
            </w:r>
            <w:r>
              <w:rPr>
                <w:rFonts w:ascii="Times New Roman" w:hAnsi="Times New Roman" w:eastAsia="Times New Roman"/>
                <w:b w:val="0"/>
                <w:i w:val="0"/>
                <w:sz w:val="16"/>
              </w:rPr>
              <w:t>not searched</w:t>
            </w:r>
          </w:p>
        </w:tc>
        <w:tc>
          <w:tcPr>
            <w:tcW w:type="dxa" w:w="3120"/>
          </w:tcPr>
          <w:p>
            <w:pPr>
              <w:spacing w:after="40" w:before="40"/>
            </w:pPr>
            <w:r>
              <w:rPr>
                <w:sz w:val="16"/>
              </w:rPr>
            </w:r>
            <w:r>
              <w:rPr>
                <w:rFonts w:ascii="Times New Roman" w:hAnsi="Times New Roman" w:eastAsia="Times New Roman"/>
                <w:b w:val="0"/>
                <w:i w:val="0"/>
                <w:sz w:val="16"/>
              </w:rPr>
              <w:t>No institutional licence</w:t>
            </w:r>
          </w:p>
        </w:tc>
      </w:tr>
      <w:tr>
        <w:tc>
          <w:tcPr>
            <w:tcW w:type="dxa" w:w="3120"/>
          </w:tcPr>
          <w:p>
            <w:pPr>
              <w:spacing w:after="40" w:before="40"/>
            </w:pPr>
            <w:r>
              <w:rPr>
                <w:sz w:val="16"/>
              </w:rPr>
            </w:r>
            <w:r>
              <w:rPr>
                <w:rFonts w:ascii="Times New Roman" w:hAnsi="Times New Roman" w:eastAsia="Times New Roman"/>
                <w:b/>
                <w:i w:val="0"/>
                <w:sz w:val="16"/>
              </w:rPr>
              <w:t>Bibliographic total before deduplication</w:t>
            </w:r>
          </w:p>
        </w:tc>
        <w:tc>
          <w:tcPr>
            <w:tcW w:type="dxa" w:w="3120"/>
          </w:tcPr>
          <w:p>
            <w:pPr>
              <w:spacing w:after="40" w:before="40"/>
            </w:pPr>
            <w:r>
              <w:rPr>
                <w:sz w:val="16"/>
              </w:rPr>
            </w:r>
            <w:r>
              <w:rPr>
                <w:rFonts w:ascii="Times New Roman" w:hAnsi="Times New Roman" w:eastAsia="Times New Roman"/>
                <w:b/>
                <w:i w:val="0"/>
                <w:sz w:val="16"/>
              </w:rPr>
              <w:t>1,889</w:t>
            </w:r>
          </w:p>
        </w:tc>
        <w:tc>
          <w:tcPr>
            <w:tcW w:type="dxa" w:w="3120"/>
          </w:tcPr>
          <w:p>
            <w:pPr>
              <w:spacing w:after="40" w:before="40"/>
            </w:pPr>
            <w:r>
              <w:rPr>
                <w:sz w:val="16"/>
              </w:rPr>
            </w:r>
          </w:p>
        </w:tc>
      </w:tr>
      <w:tr>
        <w:tc>
          <w:tcPr>
            <w:tcW w:type="dxa" w:w="3120"/>
          </w:tcPr>
          <w:p>
            <w:pPr>
              <w:spacing w:after="40" w:before="40"/>
            </w:pPr>
            <w:r>
              <w:rPr>
                <w:sz w:val="16"/>
              </w:rPr>
            </w:r>
            <w:r>
              <w:rPr>
                <w:rFonts w:ascii="Times New Roman" w:hAnsi="Times New Roman" w:eastAsia="Times New Roman"/>
                <w:b w:val="0"/>
                <w:i w:val="0"/>
                <w:sz w:val="16"/>
              </w:rPr>
              <w:t>Duplicates removed</w:t>
            </w:r>
          </w:p>
        </w:tc>
        <w:tc>
          <w:tcPr>
            <w:tcW w:type="dxa" w:w="3120"/>
          </w:tcPr>
          <w:p>
            <w:pPr>
              <w:spacing w:after="40" w:before="40"/>
            </w:pPr>
            <w:r>
              <w:rPr>
                <w:sz w:val="16"/>
              </w:rPr>
            </w:r>
            <w:r>
              <w:rPr>
                <w:rFonts w:ascii="Times New Roman" w:hAnsi="Times New Roman" w:eastAsia="Times New Roman"/>
                <w:b w:val="0"/>
                <w:i w:val="0"/>
                <w:sz w:val="16"/>
              </w:rPr>
              <w:t>807</w:t>
            </w:r>
          </w:p>
        </w:tc>
        <w:tc>
          <w:tcPr>
            <w:tcW w:type="dxa" w:w="3120"/>
          </w:tcPr>
          <w:p>
            <w:pPr>
              <w:spacing w:after="40" w:before="40"/>
            </w:pPr>
            <w:r>
              <w:rPr>
                <w:sz w:val="16"/>
              </w:rPr>
            </w:r>
          </w:p>
        </w:tc>
      </w:tr>
      <w:tr>
        <w:tc>
          <w:tcPr>
            <w:tcW w:type="dxa" w:w="3120"/>
          </w:tcPr>
          <w:p>
            <w:pPr>
              <w:spacing w:after="40" w:before="40"/>
            </w:pPr>
            <w:r>
              <w:rPr>
                <w:sz w:val="16"/>
              </w:rPr>
            </w:r>
            <w:r>
              <w:rPr>
                <w:rFonts w:ascii="Times New Roman" w:hAnsi="Times New Roman" w:eastAsia="Times New Roman"/>
                <w:b/>
                <w:i w:val="0"/>
                <w:sz w:val="16"/>
              </w:rPr>
              <w:t>Unique bibliographic records</w:t>
            </w:r>
          </w:p>
        </w:tc>
        <w:tc>
          <w:tcPr>
            <w:tcW w:type="dxa" w:w="3120"/>
          </w:tcPr>
          <w:p>
            <w:pPr>
              <w:spacing w:after="40" w:before="40"/>
            </w:pPr>
            <w:r>
              <w:rPr>
                <w:sz w:val="16"/>
              </w:rPr>
            </w:r>
            <w:r>
              <w:rPr>
                <w:rFonts w:ascii="Times New Roman" w:hAnsi="Times New Roman" w:eastAsia="Times New Roman"/>
                <w:b/>
                <w:i w:val="0"/>
                <w:sz w:val="16"/>
              </w:rPr>
              <w:t>1,082</w:t>
            </w:r>
          </w:p>
        </w:tc>
        <w:tc>
          <w:tcPr>
            <w:tcW w:type="dxa" w:w="3120"/>
          </w:tcPr>
          <w:p>
            <w:pPr>
              <w:spacing w:after="40" w:before="40"/>
            </w:pPr>
            <w:r>
              <w:rPr>
                <w:sz w:val="16"/>
              </w:rPr>
            </w:r>
          </w:p>
        </w:tc>
      </w:tr>
      <w:tr>
        <w:tc>
          <w:tcPr>
            <w:tcW w:type="dxa" w:w="3120"/>
          </w:tcPr>
          <w:p>
            <w:pPr>
              <w:spacing w:after="40" w:before="40"/>
            </w:pPr>
            <w:r>
              <w:rPr>
                <w:sz w:val="16"/>
              </w:rPr>
            </w:r>
            <w:r>
              <w:rPr>
                <w:rFonts w:ascii="Times New Roman" w:hAnsi="Times New Roman" w:eastAsia="Times New Roman"/>
                <w:b w:val="0"/>
                <w:i w:val="0"/>
                <w:sz w:val="16"/>
              </w:rPr>
              <w:t>Cochrane CENTRAL (CDSR = 0)</w:t>
            </w:r>
          </w:p>
        </w:tc>
        <w:tc>
          <w:tcPr>
            <w:tcW w:type="dxa" w:w="3120"/>
          </w:tcPr>
          <w:p>
            <w:pPr>
              <w:spacing w:after="40" w:before="40"/>
            </w:pPr>
            <w:r>
              <w:rPr>
                <w:sz w:val="16"/>
              </w:rPr>
            </w:r>
            <w:r>
              <w:rPr>
                <w:rFonts w:ascii="Times New Roman" w:hAnsi="Times New Roman" w:eastAsia="Times New Roman"/>
                <w:b w:val="0"/>
                <w:i w:val="0"/>
                <w:sz w:val="16"/>
              </w:rPr>
              <w:t>10</w:t>
            </w:r>
          </w:p>
        </w:tc>
        <w:tc>
          <w:tcPr>
            <w:tcW w:type="dxa" w:w="3120"/>
          </w:tcPr>
          <w:p>
            <w:pPr>
              <w:spacing w:after="40" w:before="40"/>
            </w:pPr>
            <w:r>
              <w:rPr>
                <w:sz w:val="16"/>
              </w:rPr>
            </w:r>
            <w:r>
              <w:rPr>
                <w:rFonts w:ascii="Times New Roman" w:hAnsi="Times New Roman" w:eastAsia="Times New Roman"/>
                <w:b w:val="0"/>
                <w:i w:val="0"/>
                <w:sz w:val="16"/>
              </w:rPr>
              <w:t>Supplementary</w:t>
            </w:r>
          </w:p>
        </w:tc>
      </w:tr>
      <w:tr>
        <w:tc>
          <w:tcPr>
            <w:tcW w:type="dxa" w:w="3120"/>
          </w:tcPr>
          <w:p>
            <w:pPr>
              <w:spacing w:after="40" w:before="40"/>
            </w:pPr>
            <w:r>
              <w:rPr>
                <w:sz w:val="16"/>
              </w:rPr>
            </w:r>
            <w:r>
              <w:rPr>
                <w:rFonts w:ascii="Times New Roman" w:hAnsi="Times New Roman" w:eastAsia="Times New Roman"/>
                <w:b w:val="0"/>
                <w:i w:val="0"/>
                <w:sz w:val="16"/>
              </w:rPr>
              <w:t>Google Scholar (FIA-focused, first 100)</w:t>
            </w:r>
          </w:p>
        </w:tc>
        <w:tc>
          <w:tcPr>
            <w:tcW w:type="dxa" w:w="3120"/>
          </w:tcPr>
          <w:p>
            <w:pPr>
              <w:spacing w:after="40" w:before="40"/>
            </w:pPr>
            <w:r>
              <w:rPr>
                <w:sz w:val="16"/>
              </w:rPr>
            </w:r>
            <w:r>
              <w:rPr>
                <w:rFonts w:ascii="Times New Roman" w:hAnsi="Times New Roman" w:eastAsia="Times New Roman"/>
                <w:b w:val="0"/>
                <w:i w:val="0"/>
                <w:sz w:val="16"/>
              </w:rPr>
              <w:t>100</w:t>
            </w:r>
          </w:p>
        </w:tc>
        <w:tc>
          <w:tcPr>
            <w:tcW w:type="dxa" w:w="3120"/>
          </w:tcPr>
          <w:p>
            <w:pPr>
              <w:spacing w:after="40" w:before="40"/>
            </w:pPr>
            <w:r>
              <w:rPr>
                <w:sz w:val="16"/>
              </w:rPr>
            </w:r>
            <w:r>
              <w:rPr>
                <w:rFonts w:ascii="Times New Roman" w:hAnsi="Times New Roman" w:eastAsia="Times New Roman"/>
                <w:b w:val="0"/>
                <w:i w:val="0"/>
                <w:sz w:val="16"/>
              </w:rPr>
              <w:t>Supplementary</w:t>
            </w:r>
          </w:p>
        </w:tc>
      </w:tr>
      <w:tr>
        <w:tc>
          <w:tcPr>
            <w:tcW w:type="dxa" w:w="3120"/>
          </w:tcPr>
          <w:p>
            <w:pPr>
              <w:spacing w:after="40" w:before="40"/>
            </w:pPr>
            <w:r>
              <w:rPr>
                <w:sz w:val="16"/>
              </w:rPr>
            </w:r>
            <w:r>
              <w:rPr>
                <w:rFonts w:ascii="Times New Roman" w:hAnsi="Times New Roman" w:eastAsia="Times New Roman"/>
                <w:b w:val="0"/>
                <w:i w:val="0"/>
                <w:sz w:val="16"/>
              </w:rPr>
              <w:t>ClinicalTrials.gov</w:t>
            </w:r>
          </w:p>
        </w:tc>
        <w:tc>
          <w:tcPr>
            <w:tcW w:type="dxa" w:w="3120"/>
          </w:tcPr>
          <w:p>
            <w:pPr>
              <w:spacing w:after="40" w:before="40"/>
            </w:pPr>
            <w:r>
              <w:rPr>
                <w:sz w:val="16"/>
              </w:rPr>
            </w:r>
            <w:r>
              <w:rPr>
                <w:rFonts w:ascii="Times New Roman" w:hAnsi="Times New Roman" w:eastAsia="Times New Roman"/>
                <w:b w:val="0"/>
                <w:i w:val="0"/>
                <w:sz w:val="16"/>
              </w:rPr>
              <w:t>22</w:t>
            </w:r>
          </w:p>
        </w:tc>
        <w:tc>
          <w:tcPr>
            <w:tcW w:type="dxa" w:w="3120"/>
          </w:tcPr>
          <w:p>
            <w:pPr>
              <w:spacing w:after="40" w:before="40"/>
            </w:pPr>
            <w:r>
              <w:rPr>
                <w:sz w:val="16"/>
              </w:rPr>
            </w:r>
            <w:r>
              <w:rPr>
                <w:rFonts w:ascii="Times New Roman" w:hAnsi="Times New Roman" w:eastAsia="Times New Roman"/>
                <w:b w:val="0"/>
                <w:i w:val="0"/>
                <w:sz w:val="16"/>
              </w:rPr>
              <w:t>Grey</w:t>
            </w:r>
          </w:p>
        </w:tc>
      </w:tr>
      <w:tr>
        <w:tc>
          <w:tcPr>
            <w:tcW w:type="dxa" w:w="3120"/>
          </w:tcPr>
          <w:p>
            <w:pPr>
              <w:spacing w:after="40" w:before="40"/>
            </w:pPr>
            <w:r>
              <w:rPr>
                <w:sz w:val="16"/>
              </w:rPr>
            </w:r>
            <w:r>
              <w:rPr>
                <w:rFonts w:ascii="Times New Roman" w:hAnsi="Times New Roman" w:eastAsia="Times New Roman"/>
                <w:b w:val="0"/>
                <w:i w:val="0"/>
                <w:sz w:val="16"/>
              </w:rPr>
              <w:t>Europe PMC preprints</w:t>
            </w:r>
          </w:p>
        </w:tc>
        <w:tc>
          <w:tcPr>
            <w:tcW w:type="dxa" w:w="3120"/>
          </w:tcPr>
          <w:p>
            <w:pPr>
              <w:spacing w:after="40" w:before="40"/>
            </w:pPr>
            <w:r>
              <w:rPr>
                <w:sz w:val="16"/>
              </w:rPr>
            </w:r>
            <w:r>
              <w:rPr>
                <w:rFonts w:ascii="Times New Roman" w:hAnsi="Times New Roman" w:eastAsia="Times New Roman"/>
                <w:b w:val="0"/>
                <w:i w:val="0"/>
                <w:sz w:val="16"/>
              </w:rPr>
              <w:t>66</w:t>
            </w:r>
          </w:p>
        </w:tc>
        <w:tc>
          <w:tcPr>
            <w:tcW w:type="dxa" w:w="3120"/>
          </w:tcPr>
          <w:p>
            <w:pPr>
              <w:spacing w:after="40" w:before="40"/>
            </w:pPr>
            <w:r>
              <w:rPr>
                <w:sz w:val="16"/>
              </w:rPr>
            </w:r>
            <w:r>
              <w:rPr>
                <w:rFonts w:ascii="Times New Roman" w:hAnsi="Times New Roman" w:eastAsia="Times New Roman"/>
                <w:b w:val="0"/>
                <w:i w:val="0"/>
                <w:sz w:val="16"/>
              </w:rPr>
              <w:t>Grey</w:t>
            </w:r>
          </w:p>
        </w:tc>
      </w:tr>
      <w:tr>
        <w:tc>
          <w:tcPr>
            <w:tcW w:type="dxa" w:w="3120"/>
          </w:tcPr>
          <w:p>
            <w:pPr>
              <w:spacing w:after="40" w:before="40"/>
            </w:pPr>
            <w:r>
              <w:rPr>
                <w:sz w:val="16"/>
              </w:rPr>
            </w:r>
            <w:r>
              <w:rPr>
                <w:rFonts w:ascii="Times New Roman" w:hAnsi="Times New Roman" w:eastAsia="Times New Roman"/>
                <w:b w:val="0"/>
                <w:i w:val="0"/>
                <w:sz w:val="16"/>
              </w:rPr>
              <w:t>Protocol-scoping papers not in the 1,082</w:t>
            </w:r>
          </w:p>
        </w:tc>
        <w:tc>
          <w:tcPr>
            <w:tcW w:type="dxa" w:w="3120"/>
          </w:tcPr>
          <w:p>
            <w:pPr>
              <w:spacing w:after="40" w:before="40"/>
            </w:pPr>
            <w:r>
              <w:rPr>
                <w:sz w:val="16"/>
              </w:rPr>
            </w:r>
            <w:r>
              <w:rPr>
                <w:rFonts w:ascii="Times New Roman" w:hAnsi="Times New Roman" w:eastAsia="Times New Roman"/>
                <w:b w:val="0"/>
                <w:i w:val="0"/>
                <w:sz w:val="16"/>
              </w:rPr>
              <w:t>2</w:t>
            </w:r>
          </w:p>
        </w:tc>
        <w:tc>
          <w:tcPr>
            <w:tcW w:type="dxa" w:w="3120"/>
          </w:tcPr>
          <w:p>
            <w:pPr>
              <w:spacing w:after="40" w:before="40"/>
            </w:pPr>
            <w:r>
              <w:rPr>
                <w:sz w:val="16"/>
              </w:rPr>
            </w:r>
            <w:r>
              <w:rPr>
                <w:rFonts w:ascii="Times New Roman" w:hAnsi="Times New Roman" w:eastAsia="Times New Roman"/>
                <w:b w:val="0"/>
                <w:i w:val="0"/>
                <w:sz w:val="16"/>
              </w:rPr>
              <w:t>Ghogre 2021; Pohekar 2017</w:t>
            </w:r>
          </w:p>
        </w:tc>
      </w:tr>
    </w:tbl>
    <w:p/>
    <w:p>
      <w:pPr>
        <w:jc w:val="both"/>
      </w:pPr>
      <w:r>
        <w:rPr>
          <w:rFonts w:ascii="Times New Roman" w:hAnsi="Times New Roman" w:eastAsia="Times New Roman"/>
          <w:b w:val="0"/>
          <w:i w:val="0"/>
          <w:sz w:val="22"/>
        </w:rPr>
        <w:t>Of 75 ScienceDirect records, 14 were unique to that source after overlap with PubMed/Embase/Web of Science.</w:t>
      </w:r>
    </w:p>
    <w:p>
      <w:pPr>
        <w:jc w:val="both"/>
      </w:pPr>
      <w:r>
        <w:rPr>
          <w:rFonts w:ascii="Times New Roman" w:hAnsi="Times New Roman" w:eastAsia="Times New Roman"/>
          <w:b w:val="0"/>
          <w:i w:val="0"/>
          <w:sz w:val="22"/>
        </w:rPr>
        <w:t>The FIA-term title/field filter flagged 10 of 1,082 unique records. Thirteen full texts were assessed (10 flagged records + Zapata-de la Cruz 2026 + two scoping papers). Eight were excluded (Table 2). Five studies entered the bivariate model. Pohekar 2023 was eligible on index test and population but lacked reconstructable off-diagonal cells and was retained for narrative description only (qualitative n = 6).</w:t>
      </w:r>
    </w:p>
    <w:p>
      <w:pPr>
        <w:spacing w:after="40"/>
        <w:jc w:val="center"/>
      </w:pPr>
      <w:r>
        <w:drawing>
          <wp:inline xmlns:a="http://schemas.openxmlformats.org/drawingml/2006/main" xmlns:pic="http://schemas.openxmlformats.org/drawingml/2006/picture">
            <wp:extent cx="5760720" cy="4595651"/>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760720" cy="4595651"/>
                    </a:xfrm>
                    <a:prstGeom prst="rect"/>
                  </pic:spPr>
                </pic:pic>
              </a:graphicData>
            </a:graphic>
          </wp:inline>
        </w:drawing>
      </w:r>
    </w:p>
    <w:p>
      <w:pPr>
        <w:jc w:val="center"/>
      </w:pPr>
      <w:r>
        <w:rPr>
          <w:rFonts w:ascii="Times New Roman" w:hAnsi="Times New Roman" w:eastAsia="Times New Roman"/>
          <w:b w:val="0"/>
          <w:i/>
          <w:sz w:val="18"/>
        </w:rPr>
        <w:t>Figure 1. PRISMA 2020 flow diagram</w:t>
      </w:r>
    </w:p>
    <w:p>
      <w:pPr>
        <w:jc w:val="both"/>
      </w:pPr>
      <w:r>
        <w:rPr>
          <w:rFonts w:ascii="Times New Roman" w:hAnsi="Times New Roman" w:eastAsia="Times New Roman"/>
          <w:b w:val="0"/>
          <w:i/>
          <w:sz w:val="22"/>
        </w:rPr>
        <w:t>Figure 1. PRISMA 2020 flow diagram for the 19 August 2026 search.</w:t>
      </w:r>
    </w:p>
    <w:p>
      <w:pPr>
        <w:jc w:val="both"/>
      </w:pPr>
      <w:r>
        <w:rPr>
          <w:rFonts w:ascii="Times New Roman" w:hAnsi="Times New Roman" w:eastAsia="Times New Roman"/>
          <w:b/>
          <w:i w:val="0"/>
          <w:sz w:val="22"/>
        </w:rPr>
        <w:t>Table 2. Full-text exclusions (n = 8)</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6"/>
              </w:rPr>
            </w:r>
            <w:r>
              <w:rPr>
                <w:rFonts w:ascii="Times New Roman" w:hAnsi="Times New Roman" w:eastAsia="Times New Roman"/>
                <w:b/>
                <w:i w:val="0"/>
                <w:sz w:val="16"/>
              </w:rPr>
              <w:t>Record</w:t>
            </w:r>
          </w:p>
        </w:tc>
        <w:tc>
          <w:tcPr>
            <w:tcW w:type="dxa" w:w="4680"/>
          </w:tcPr>
          <w:p>
            <w:pPr>
              <w:spacing w:after="40" w:before="40"/>
            </w:pPr>
            <w:r>
              <w:rPr>
                <w:b/>
                <w:sz w:val="16"/>
              </w:rPr>
            </w:r>
            <w:r>
              <w:rPr>
                <w:rFonts w:ascii="Times New Roman" w:hAnsi="Times New Roman" w:eastAsia="Times New Roman"/>
                <w:b/>
                <w:i w:val="0"/>
                <w:sz w:val="16"/>
              </w:rPr>
              <w:t>Reason</w:t>
            </w:r>
          </w:p>
        </w:tc>
      </w:tr>
      <w:tr>
        <w:tc>
          <w:tcPr>
            <w:tcW w:type="dxa" w:w="4680"/>
          </w:tcPr>
          <w:p>
            <w:pPr>
              <w:spacing w:after="40" w:before="40"/>
            </w:pPr>
            <w:r>
              <w:rPr>
                <w:sz w:val="16"/>
              </w:rPr>
            </w:r>
            <w:r>
              <w:rPr>
                <w:rFonts w:ascii="Times New Roman" w:hAnsi="Times New Roman" w:eastAsia="Times New Roman"/>
                <w:b w:val="0"/>
                <w:i w:val="0"/>
                <w:sz w:val="16"/>
              </w:rPr>
              <w:t xml:space="preserve">Chopped optical biosensing, </w:t>
            </w:r>
            <w:r>
              <w:rPr>
                <w:rFonts w:ascii="Times New Roman" w:hAnsi="Times New Roman" w:eastAsia="Times New Roman"/>
                <w:b w:val="0"/>
                <w:i/>
                <w:sz w:val="16"/>
              </w:rPr>
              <w:t>Talanta</w:t>
            </w:r>
            <w:r>
              <w:rPr>
                <w:rFonts w:ascii="Times New Roman" w:hAnsi="Times New Roman" w:eastAsia="Times New Roman"/>
                <w:b w:val="0"/>
                <w:i w:val="0"/>
                <w:sz w:val="16"/>
              </w:rPr>
              <w:t xml:space="preserve"> 2026</w:t>
            </w:r>
          </w:p>
        </w:tc>
        <w:tc>
          <w:tcPr>
            <w:tcW w:type="dxa" w:w="4680"/>
          </w:tcPr>
          <w:p>
            <w:pPr>
              <w:spacing w:after="40" w:before="40"/>
            </w:pPr>
            <w:r>
              <w:rPr>
                <w:sz w:val="16"/>
              </w:rPr>
            </w:r>
            <w:r>
              <w:rPr>
                <w:rFonts w:ascii="Times New Roman" w:hAnsi="Times New Roman" w:eastAsia="Times New Roman"/>
                <w:b w:val="0"/>
                <w:i w:val="0"/>
                <w:sz w:val="16"/>
              </w:rPr>
              <w:t>Experimental analytical platform, not commercial FIA</w:t>
            </w:r>
          </w:p>
        </w:tc>
      </w:tr>
      <w:tr>
        <w:tc>
          <w:tcPr>
            <w:tcW w:type="dxa" w:w="4680"/>
          </w:tcPr>
          <w:p>
            <w:pPr>
              <w:spacing w:after="40" w:before="40"/>
            </w:pPr>
            <w:r>
              <w:rPr>
                <w:sz w:val="16"/>
              </w:rPr>
            </w:r>
            <w:r>
              <w:rPr>
                <w:rFonts w:ascii="Times New Roman" w:hAnsi="Times New Roman" w:eastAsia="Times New Roman"/>
                <w:b w:val="0"/>
                <w:i w:val="0"/>
                <w:sz w:val="16"/>
              </w:rPr>
              <w:t xml:space="preserve">Multilayer fluorescent immunoassay, </w:t>
            </w:r>
            <w:r>
              <w:rPr>
                <w:rFonts w:ascii="Times New Roman" w:hAnsi="Times New Roman" w:eastAsia="Times New Roman"/>
                <w:b w:val="0"/>
                <w:i/>
                <w:sz w:val="16"/>
              </w:rPr>
              <w:t>Bioconjug Chem</w:t>
            </w:r>
            <w:r>
              <w:rPr>
                <w:rFonts w:ascii="Times New Roman" w:hAnsi="Times New Roman" w:eastAsia="Times New Roman"/>
                <w:b w:val="0"/>
                <w:i w:val="0"/>
                <w:sz w:val="16"/>
              </w:rPr>
              <w:t xml:space="preserve"> 2025</w:t>
            </w:r>
          </w:p>
        </w:tc>
        <w:tc>
          <w:tcPr>
            <w:tcW w:type="dxa" w:w="4680"/>
          </w:tcPr>
          <w:p>
            <w:pPr>
              <w:spacing w:after="40" w:before="40"/>
            </w:pPr>
            <w:r>
              <w:rPr>
                <w:sz w:val="16"/>
              </w:rPr>
            </w:r>
            <w:r>
              <w:rPr>
                <w:rFonts w:ascii="Times New Roman" w:hAnsi="Times New Roman" w:eastAsia="Times New Roman"/>
                <w:b w:val="0"/>
                <w:i w:val="0"/>
                <w:sz w:val="16"/>
              </w:rPr>
              <w:t>Experimental host and viral biomarker assay</w:t>
            </w:r>
          </w:p>
        </w:tc>
      </w:tr>
      <w:tr>
        <w:tc>
          <w:tcPr>
            <w:tcW w:type="dxa" w:w="4680"/>
          </w:tcPr>
          <w:p>
            <w:pPr>
              <w:spacing w:after="40" w:before="40"/>
            </w:pPr>
            <w:r>
              <w:rPr>
                <w:sz w:val="16"/>
              </w:rPr>
            </w:r>
            <w:r>
              <w:rPr>
                <w:rFonts w:ascii="Times New Roman" w:hAnsi="Times New Roman" w:eastAsia="Times New Roman"/>
                <w:b w:val="0"/>
                <w:i w:val="0"/>
                <w:sz w:val="16"/>
              </w:rPr>
              <w:t xml:space="preserve">Rebuttal to Pohekar 2023, </w:t>
            </w:r>
            <w:r>
              <w:rPr>
                <w:rFonts w:ascii="Times New Roman" w:hAnsi="Times New Roman" w:eastAsia="Times New Roman"/>
                <w:b w:val="0"/>
                <w:i/>
                <w:sz w:val="16"/>
              </w:rPr>
              <w:t>Indian J Med Microbiol</w:t>
            </w:r>
            <w:r>
              <w:rPr>
                <w:rFonts w:ascii="Times New Roman" w:hAnsi="Times New Roman" w:eastAsia="Times New Roman"/>
                <w:b w:val="0"/>
                <w:i w:val="0"/>
                <w:sz w:val="16"/>
              </w:rPr>
              <w:t xml:space="preserve"> 2024</w:t>
            </w:r>
          </w:p>
        </w:tc>
        <w:tc>
          <w:tcPr>
            <w:tcW w:type="dxa" w:w="4680"/>
          </w:tcPr>
          <w:p>
            <w:pPr>
              <w:spacing w:after="40" w:before="40"/>
            </w:pPr>
            <w:r>
              <w:rPr>
                <w:sz w:val="16"/>
              </w:rPr>
            </w:r>
            <w:r>
              <w:rPr>
                <w:rFonts w:ascii="Times New Roman" w:hAnsi="Times New Roman" w:eastAsia="Times New Roman"/>
                <w:b w:val="0"/>
                <w:i w:val="0"/>
                <w:sz w:val="16"/>
              </w:rPr>
              <w:t>Correspondence</w:t>
            </w:r>
          </w:p>
        </w:tc>
      </w:tr>
      <w:tr>
        <w:tc>
          <w:tcPr>
            <w:tcW w:type="dxa" w:w="4680"/>
          </w:tcPr>
          <w:p>
            <w:pPr>
              <w:spacing w:after="40" w:before="40"/>
            </w:pPr>
            <w:r>
              <w:rPr>
                <w:sz w:val="16"/>
              </w:rPr>
            </w:r>
            <w:r>
              <w:rPr>
                <w:rFonts w:ascii="Times New Roman" w:hAnsi="Times New Roman" w:eastAsia="Times New Roman"/>
                <w:b w:val="0"/>
                <w:i w:val="0"/>
                <w:sz w:val="16"/>
              </w:rPr>
              <w:t>CCA 2022 conference abstract (NS1/CHIKV/HCV FIA)</w:t>
            </w:r>
          </w:p>
        </w:tc>
        <w:tc>
          <w:tcPr>
            <w:tcW w:type="dxa" w:w="4680"/>
          </w:tcPr>
          <w:p>
            <w:pPr>
              <w:spacing w:after="40" w:before="40"/>
            </w:pPr>
            <w:r>
              <w:rPr>
                <w:sz w:val="16"/>
              </w:rPr>
            </w:r>
            <w:r>
              <w:rPr>
                <w:rFonts w:ascii="Times New Roman" w:hAnsi="Times New Roman" w:eastAsia="Times New Roman"/>
                <w:b w:val="0"/>
                <w:i w:val="0"/>
                <w:sz w:val="16"/>
              </w:rPr>
              <w:t>Abstract without reconstructable dengue-only 2×2</w:t>
            </w:r>
          </w:p>
        </w:tc>
      </w:tr>
      <w:tr>
        <w:tc>
          <w:tcPr>
            <w:tcW w:type="dxa" w:w="4680"/>
          </w:tcPr>
          <w:p>
            <w:pPr>
              <w:spacing w:after="40" w:before="40"/>
            </w:pPr>
            <w:r>
              <w:rPr>
                <w:sz w:val="16"/>
              </w:rPr>
            </w:r>
            <w:r>
              <w:rPr>
                <w:rFonts w:ascii="Times New Roman" w:hAnsi="Times New Roman" w:eastAsia="Times New Roman"/>
                <w:b w:val="0"/>
                <w:i w:val="0"/>
                <w:sz w:val="16"/>
              </w:rPr>
              <w:t>Buonora et al. 2017 Portuguese ICT paper</w:t>
            </w:r>
          </w:p>
        </w:tc>
        <w:tc>
          <w:tcPr>
            <w:tcW w:type="dxa" w:w="4680"/>
          </w:tcPr>
          <w:p>
            <w:pPr>
              <w:spacing w:after="40" w:before="40"/>
            </w:pPr>
            <w:r>
              <w:rPr>
                <w:sz w:val="16"/>
              </w:rPr>
            </w:r>
            <w:r>
              <w:rPr>
                <w:rFonts w:ascii="Times New Roman" w:hAnsi="Times New Roman" w:eastAsia="Times New Roman"/>
                <w:b w:val="0"/>
                <w:i w:val="0"/>
                <w:sz w:val="16"/>
              </w:rPr>
              <w:t>Visual immunochromatography (false-positive FIA-term match)</w:t>
            </w:r>
          </w:p>
        </w:tc>
      </w:tr>
      <w:tr>
        <w:tc>
          <w:tcPr>
            <w:tcW w:type="dxa" w:w="4680"/>
          </w:tcPr>
          <w:p>
            <w:pPr>
              <w:spacing w:after="40" w:before="40"/>
            </w:pPr>
            <w:r>
              <w:rPr>
                <w:sz w:val="16"/>
              </w:rPr>
            </w:r>
            <w:r>
              <w:rPr>
                <w:rFonts w:ascii="Times New Roman" w:hAnsi="Times New Roman" w:eastAsia="Times New Roman"/>
                <w:b w:val="0"/>
                <w:i w:val="0"/>
                <w:sz w:val="16"/>
              </w:rPr>
              <w:t>Brazilian clinical-diagnosis reliability 2018</w:t>
            </w:r>
          </w:p>
        </w:tc>
        <w:tc>
          <w:tcPr>
            <w:tcW w:type="dxa" w:w="4680"/>
          </w:tcPr>
          <w:p>
            <w:pPr>
              <w:spacing w:after="40" w:before="40"/>
            </w:pPr>
            <w:r>
              <w:rPr>
                <w:sz w:val="16"/>
              </w:rPr>
            </w:r>
            <w:r>
              <w:rPr>
                <w:rFonts w:ascii="Times New Roman" w:hAnsi="Times New Roman" w:eastAsia="Times New Roman"/>
                <w:b w:val="0"/>
                <w:i w:val="0"/>
                <w:sz w:val="16"/>
              </w:rPr>
              <w:t>Wrong index test</w:t>
            </w:r>
          </w:p>
        </w:tc>
      </w:tr>
      <w:tr>
        <w:tc>
          <w:tcPr>
            <w:tcW w:type="dxa" w:w="4680"/>
          </w:tcPr>
          <w:p>
            <w:pPr>
              <w:spacing w:after="40" w:before="40"/>
            </w:pPr>
            <w:r>
              <w:rPr>
                <w:sz w:val="16"/>
              </w:rPr>
            </w:r>
            <w:r>
              <w:rPr>
                <w:rFonts w:ascii="Times New Roman" w:hAnsi="Times New Roman" w:eastAsia="Times New Roman"/>
                <w:b w:val="0"/>
                <w:i w:val="0"/>
                <w:sz w:val="16"/>
              </w:rPr>
              <w:t xml:space="preserve">Zammarchi et al. 2019, </w:t>
            </w:r>
            <w:r>
              <w:rPr>
                <w:rFonts w:ascii="Times New Roman" w:hAnsi="Times New Roman" w:eastAsia="Times New Roman"/>
                <w:b w:val="0"/>
                <w:i/>
                <w:sz w:val="16"/>
              </w:rPr>
              <w:t>J Clin Virol</w:t>
            </w:r>
          </w:p>
        </w:tc>
        <w:tc>
          <w:tcPr>
            <w:tcW w:type="dxa" w:w="4680"/>
          </w:tcPr>
          <w:p>
            <w:pPr>
              <w:spacing w:after="40" w:before="40"/>
            </w:pPr>
            <w:r>
              <w:rPr>
                <w:sz w:val="16"/>
              </w:rPr>
            </w:r>
            <w:r>
              <w:rPr>
                <w:rFonts w:ascii="Times New Roman" w:hAnsi="Times New Roman" w:eastAsia="Times New Roman"/>
                <w:b w:val="0"/>
                <w:i w:val="0"/>
                <w:sz w:val="16"/>
              </w:rPr>
              <w:t>Selected panel (11 acute DENV); NS1-only 2×2 not reconstructable (published sensitivity is NS1 and/or IgM) [54]</w:t>
            </w:r>
          </w:p>
        </w:tc>
      </w:tr>
      <w:tr>
        <w:tc>
          <w:tcPr>
            <w:tcW w:type="dxa" w:w="4680"/>
          </w:tcPr>
          <w:p>
            <w:pPr>
              <w:spacing w:after="40" w:before="40"/>
            </w:pPr>
            <w:r>
              <w:rPr>
                <w:sz w:val="16"/>
              </w:rPr>
            </w:r>
            <w:r>
              <w:rPr>
                <w:rFonts w:ascii="Times New Roman" w:hAnsi="Times New Roman" w:eastAsia="Times New Roman"/>
                <w:b w:val="0"/>
                <w:i w:val="0"/>
                <w:sz w:val="16"/>
              </w:rPr>
              <w:t xml:space="preserve">Pohekar and Bhalchandra 2023, </w:t>
            </w:r>
            <w:r>
              <w:rPr>
                <w:rFonts w:ascii="Times New Roman" w:hAnsi="Times New Roman" w:eastAsia="Times New Roman"/>
                <w:b w:val="0"/>
                <w:i/>
                <w:sz w:val="16"/>
              </w:rPr>
              <w:t>Indian J Med Microbiol</w:t>
            </w:r>
          </w:p>
        </w:tc>
        <w:tc>
          <w:tcPr>
            <w:tcW w:type="dxa" w:w="4680"/>
          </w:tcPr>
          <w:p>
            <w:pPr>
              <w:spacing w:after="40" w:before="40"/>
            </w:pPr>
            <w:r>
              <w:rPr>
                <w:sz w:val="16"/>
              </w:rPr>
            </w:r>
            <w:r>
              <w:rPr>
                <w:rFonts w:ascii="Times New Roman" w:hAnsi="Times New Roman" w:eastAsia="Times New Roman"/>
                <w:b w:val="0"/>
                <w:i w:val="0"/>
                <w:sz w:val="16"/>
              </w:rPr>
              <w:t>n = 300; FIA-positive 203 and ELISA-positive 200 without off-diagonal cells [27]</w:t>
            </w:r>
          </w:p>
        </w:tc>
      </w:tr>
    </w:tbl>
    <w:p/>
    <w:p>
      <w:pPr>
        <w:jc w:val="both"/>
      </w:pPr>
      <w:r>
        <w:rPr>
          <w:rFonts w:ascii="Times New Roman" w:hAnsi="Times New Roman" w:eastAsia="Times New Roman"/>
          <w:b w:val="0"/>
          <w:i w:val="0"/>
          <w:sz w:val="22"/>
        </w:rPr>
        <w:t>No language restriction was applied; one Portuguese-language record was excluded for wrong index test, not language.</w:t>
      </w:r>
    </w:p>
    <w:p>
      <w:pPr>
        <w:pStyle w:val="Heading3"/>
      </w:pPr>
      <w:r>
        <w:t>3.2 Study characteristics</w:t>
      </w:r>
    </w:p>
    <w:p>
      <w:pPr>
        <w:jc w:val="both"/>
      </w:pPr>
      <w:r>
        <w:rPr>
          <w:rFonts w:ascii="Times New Roman" w:hAnsi="Times New Roman" w:eastAsia="Times New Roman"/>
          <w:b w:val="0"/>
          <w:i w:val="0"/>
          <w:sz w:val="22"/>
        </w:rPr>
        <w:t>Five studies (2017–2026) contributed 794 specimens (320 reference-positive, 474 reference-negative; apparent prevalence 40.3%). Countries: India (2), Thailand (1), Indonesia (1), Mexico (1). Platforms: STANDARD F (3) and QUANTI CARD (2).</w:t>
      </w:r>
    </w:p>
    <w:p>
      <w:pPr>
        <w:jc w:val="both"/>
      </w:pPr>
      <w:r>
        <w:rPr>
          <w:rFonts w:ascii="Times New Roman" w:hAnsi="Times New Roman" w:eastAsia="Times New Roman"/>
          <w:b/>
          <w:i w:val="0"/>
          <w:sz w:val="22"/>
        </w:rPr>
        <w:t>Table 3. Characteristics of studies in the quantitative synthesis</w:t>
      </w:r>
    </w:p>
    <w:p>
      <w:pPr>
        <w:jc w:val="both"/>
      </w:pPr>
      <w:r>
        <w:rPr>
          <w:rFonts w:ascii="Times New Roman" w:hAnsi="Times New Roman" w:eastAsia="Times New Roman"/>
          <w:b w:val="0"/>
          <w:i w:val="0"/>
          <w:sz w:val="22"/>
        </w:rPr>
        <w:t>| Study | Country | Design | N | Fever | FIA | Reference | Specimen |</w:t>
      </w:r>
    </w:p>
    <w:p>
      <w:pPr>
        <w:jc w:val="both"/>
      </w:pPr>
      <w:r>
        <w:rPr>
          <w:rFonts w:ascii="Times New Roman" w:hAnsi="Times New Roman" w:eastAsia="Times New Roman"/>
          <w:b w:val="0"/>
          <w:i w:val="0"/>
          <w:sz w:val="22"/>
        </w:rPr>
        <w:t>|-------|---------|--------|--:|-------|-----|-----------|----------|</w:t>
      </w:r>
    </w:p>
    <w:p>
      <w:pPr>
        <w:jc w:val="both"/>
      </w:pPr>
      <w:r>
        <w:rPr>
          <w:rFonts w:ascii="Times New Roman" w:hAnsi="Times New Roman" w:eastAsia="Times New Roman"/>
          <w:b w:val="0"/>
          <w:i w:val="0"/>
          <w:sz w:val="22"/>
        </w:rPr>
        <w:t>| Chaiyo 2022 [25] | Thailand | Cluster sample by IC result (101 NS1+, 103 IgM+, 100 IgG+, 100 all-negative) | 404 | Mean 3.30 (SD 2.84) days | STANDARD F NS1 | RT-qPCR + IgM/IgG ELISA composite | Plasma |</w:t>
      </w:r>
    </w:p>
    <w:p>
      <w:pPr>
        <w:jc w:val="both"/>
      </w:pPr>
      <w:r>
        <w:rPr>
          <w:rFonts w:ascii="Times New Roman" w:hAnsi="Times New Roman" w:eastAsia="Times New Roman"/>
          <w:b w:val="0"/>
          <w:i w:val="0"/>
          <w:sz w:val="22"/>
        </w:rPr>
        <w:t>| Zapata-de la Cruz 2026 [53] | Mexico | Random sample of stored plasmas from febrile suspected dengue | 125 | Days 2–6 | STANDARD F NS1 | RT-PCR (primary cells) | Plasma |</w:t>
      </w:r>
    </w:p>
    <w:p>
      <w:pPr>
        <w:jc w:val="both"/>
      </w:pPr>
      <w:r>
        <w:rPr>
          <w:rFonts w:ascii="Times New Roman" w:hAnsi="Times New Roman" w:eastAsia="Times New Roman"/>
          <w:b w:val="0"/>
          <w:i w:val="0"/>
          <w:sz w:val="22"/>
        </w:rPr>
        <w:t>| Ghogre 2021 [26] | India | Cross-sectional suspected dengue | 85 | Not reported (“early diagnosis”) | QUANTI CARD | NS1 ELISA | Serum |</w:t>
      </w:r>
    </w:p>
    <w:p>
      <w:pPr>
        <w:jc w:val="both"/>
      </w:pPr>
      <w:r>
        <w:rPr>
          <w:rFonts w:ascii="Times New Roman" w:hAnsi="Times New Roman" w:eastAsia="Times New Roman"/>
          <w:b w:val="0"/>
          <w:i w:val="0"/>
          <w:sz w:val="22"/>
        </w:rPr>
        <w:t>| Zuroidah 2022 [55] | Indonesia | Two-gate: 50 DVI / 30 non-DVI | 80 | Not reported | STANDARD F NS1 | RT-PCR and/or Panbio NS1 ELISA | Serum |</w:t>
      </w:r>
    </w:p>
    <w:p>
      <w:pPr>
        <w:jc w:val="both"/>
      </w:pPr>
      <w:r>
        <w:rPr>
          <w:rFonts w:ascii="Times New Roman" w:hAnsi="Times New Roman" w:eastAsia="Times New Roman"/>
          <w:b w:val="0"/>
          <w:i w:val="0"/>
          <w:sz w:val="22"/>
        </w:rPr>
        <w:t>| Pohekar 2017 [52] | India | Two-gate: 50 ICT+ and 50 ICT− selected from 200; manufacturer supplied kits | 100 | Not reported | QUANTI CARD | NS1 Microwell ELISA | Blood/serum/plasma |</w:t>
      </w:r>
    </w:p>
    <w:p>
      <w:pPr>
        <w:jc w:val="both"/>
      </w:pPr>
      <w:r>
        <w:rPr>
          <w:rFonts w:ascii="Times New Roman" w:hAnsi="Times New Roman" w:eastAsia="Times New Roman"/>
          <w:b w:val="0"/>
          <w:i w:val="0"/>
          <w:sz w:val="22"/>
        </w:rPr>
        <w:t xml:space="preserve">| </w:t>
      </w:r>
      <w:r>
        <w:rPr>
          <w:rFonts w:ascii="Times New Roman" w:hAnsi="Times New Roman" w:eastAsia="Times New Roman"/>
          <w:b/>
          <w:i w:val="0"/>
          <w:sz w:val="22"/>
        </w:rPr>
        <w:t>Total</w:t>
      </w:r>
      <w:r>
        <w:rPr>
          <w:rFonts w:ascii="Times New Roman" w:hAnsi="Times New Roman" w:eastAsia="Times New Roman"/>
          <w:b w:val="0"/>
          <w:i w:val="0"/>
          <w:sz w:val="22"/>
        </w:rPr>
        <w:t xml:space="preserve"> | </w:t>
      </w:r>
      <w:r>
        <w:rPr>
          <w:rFonts w:ascii="Times New Roman" w:hAnsi="Times New Roman" w:eastAsia="Times New Roman"/>
          <w:b/>
          <w:i w:val="0"/>
          <w:sz w:val="22"/>
        </w:rPr>
        <w:t>4 countries</w:t>
      </w:r>
      <w:r>
        <w:rPr>
          <w:rFonts w:ascii="Times New Roman" w:hAnsi="Times New Roman" w:eastAsia="Times New Roman"/>
          <w:b w:val="0"/>
          <w:i w:val="0"/>
          <w:sz w:val="22"/>
        </w:rPr>
        <w:t xml:space="preserve"> | | </w:t>
      </w:r>
      <w:r>
        <w:rPr>
          <w:rFonts w:ascii="Times New Roman" w:hAnsi="Times New Roman" w:eastAsia="Times New Roman"/>
          <w:b/>
          <w:i w:val="0"/>
          <w:sz w:val="22"/>
        </w:rPr>
        <w:t>794</w:t>
      </w:r>
      <w:r>
        <w:rPr>
          <w:rFonts w:ascii="Times New Roman" w:hAnsi="Times New Roman" w:eastAsia="Times New Roman"/>
          <w:b w:val="0"/>
          <w:i w:val="0"/>
          <w:sz w:val="22"/>
        </w:rPr>
        <w:t xml:space="preserve"> | | | | |</w:t>
      </w:r>
    </w:p>
    <w:p>
      <w:pPr>
        <w:jc w:val="both"/>
      </w:pPr>
      <w:r>
        <w:rPr>
          <w:rFonts w:ascii="Times New Roman" w:hAnsi="Times New Roman" w:eastAsia="Times New Roman"/>
          <w:b w:val="0"/>
          <w:i w:val="0"/>
          <w:sz w:val="22"/>
        </w:rPr>
        <w:t>Primary versus secondary infection and serotype-specific 2×2 tables were not published in a form that allowed stratum-specific pooling. Zapata-de la Cruz et al. worked in a hyperendemic Mexican setting with high IgG seroprevalence and interpreted results as likely representing mostly secondary infection [53]. Chaiyo et al. reported mean fever day 3.30 ± 2.84, so some patients may have been beyond day 7 even though the mean met the protocol window [25].</w:t>
      </w:r>
    </w:p>
    <w:p>
      <w:pPr>
        <w:jc w:val="both"/>
      </w:pPr>
      <w:r>
        <w:rPr>
          <w:rFonts w:ascii="Times New Roman" w:hAnsi="Times New Roman" w:eastAsia="Times New Roman"/>
          <w:b/>
          <w:i w:val="0"/>
          <w:sz w:val="22"/>
        </w:rPr>
        <w:t>Table 4. Locked 2×2 tables (FIA versus the study reference used in the primary model)</w:t>
      </w:r>
    </w:p>
    <w:p>
      <w:pPr>
        <w:jc w:val="both"/>
      </w:pPr>
      <w:r>
        <w:rPr>
          <w:rFonts w:ascii="Times New Roman" w:hAnsi="Times New Roman" w:eastAsia="Times New Roman"/>
          <w:b w:val="0"/>
          <w:i w:val="0"/>
          <w:sz w:val="22"/>
        </w:rPr>
        <w:t>| Study | TP | FP | FN | TN | N | Se % (Wilson 95% CI) | Sp % (Wilson 95% CI) | Zero cell |</w:t>
      </w:r>
    </w:p>
    <w:p>
      <w:pPr>
        <w:jc w:val="both"/>
      </w:pPr>
      <w:r>
        <w:rPr>
          <w:rFonts w:ascii="Times New Roman" w:hAnsi="Times New Roman" w:eastAsia="Times New Roman"/>
          <w:b w:val="0"/>
          <w:i w:val="0"/>
          <w:sz w:val="22"/>
        </w:rPr>
        <w:t>|-------|---:|---:|---:|---:|--:|----------------------|----------------------|-----------|</w:t>
      </w:r>
    </w:p>
    <w:p>
      <w:pPr>
        <w:jc w:val="both"/>
      </w:pPr>
      <w:r>
        <w:rPr>
          <w:rFonts w:ascii="Times New Roman" w:hAnsi="Times New Roman" w:eastAsia="Times New Roman"/>
          <w:b w:val="0"/>
          <w:i w:val="0"/>
          <w:sz w:val="22"/>
        </w:rPr>
        <w:t>| Chaiyo 2022 | 125 | 19 | 33 | 227 | 404 | 79.1 (72.1–84.7) | 92.3 (88.3–95.0) | No |</w:t>
      </w:r>
    </w:p>
    <w:p>
      <w:pPr>
        <w:jc w:val="both"/>
      </w:pPr>
      <w:r>
        <w:rPr>
          <w:rFonts w:ascii="Times New Roman" w:hAnsi="Times New Roman" w:eastAsia="Times New Roman"/>
          <w:b w:val="0"/>
          <w:i w:val="0"/>
          <w:sz w:val="22"/>
        </w:rPr>
        <w:t>| Zapata-de la Cruz 2026 | 38 | 9 | 7 | 71 | 125 | 84.4 (71.2–92.3) | 88.8 (80.0–94.0) | No |</w:t>
      </w:r>
    </w:p>
    <w:p>
      <w:pPr>
        <w:jc w:val="both"/>
      </w:pPr>
      <w:r>
        <w:rPr>
          <w:rFonts w:ascii="Times New Roman" w:hAnsi="Times New Roman" w:eastAsia="Times New Roman"/>
          <w:b w:val="0"/>
          <w:i w:val="0"/>
          <w:sz w:val="22"/>
        </w:rPr>
        <w:t>| Ghogre 2021 | 28 | 2 | 1 | 54 | 85 | 96.6 (82.8–99.4) | 96.4 (87.9–99.0) | No |</w:t>
      </w:r>
    </w:p>
    <w:p>
      <w:pPr>
        <w:jc w:val="both"/>
      </w:pPr>
      <w:r>
        <w:rPr>
          <w:rFonts w:ascii="Times New Roman" w:hAnsi="Times New Roman" w:eastAsia="Times New Roman"/>
          <w:b w:val="0"/>
          <w:i w:val="0"/>
          <w:sz w:val="22"/>
        </w:rPr>
        <w:t>| Zuroidah 2022 | 41 | 0 | 9 | 30 | 80 | 82.0 (69.2–90.2) | 100 (88.6–100) | FP = 0 |</w:t>
      </w:r>
    </w:p>
    <w:p>
      <w:pPr>
        <w:jc w:val="both"/>
      </w:pPr>
      <w:r>
        <w:rPr>
          <w:rFonts w:ascii="Times New Roman" w:hAnsi="Times New Roman" w:eastAsia="Times New Roman"/>
          <w:b w:val="0"/>
          <w:i w:val="0"/>
          <w:sz w:val="22"/>
        </w:rPr>
        <w:t>| Pohekar 2017 | 38 | 1 | 0 | 61 | 100 | 100 (90.8–100) | 98.4 (91.4–99.7) | FN = 0 |</w:t>
      </w:r>
    </w:p>
    <w:p>
      <w:pPr>
        <w:jc w:val="both"/>
      </w:pPr>
      <w:r>
        <w:rPr>
          <w:rFonts w:ascii="Times New Roman" w:hAnsi="Times New Roman" w:eastAsia="Times New Roman"/>
          <w:b w:val="0"/>
          <w:i w:val="0"/>
          <w:sz w:val="22"/>
        </w:rPr>
        <w:t xml:space="preserve">| </w:t>
      </w:r>
      <w:r>
        <w:rPr>
          <w:rFonts w:ascii="Times New Roman" w:hAnsi="Times New Roman" w:eastAsia="Times New Roman"/>
          <w:b/>
          <w:i w:val="0"/>
          <w:sz w:val="22"/>
        </w:rPr>
        <w:t>Total (cells)</w:t>
      </w:r>
      <w:r>
        <w:rPr>
          <w:rFonts w:ascii="Times New Roman" w:hAnsi="Times New Roman" w:eastAsia="Times New Roman"/>
          <w:b w:val="0"/>
          <w:i w:val="0"/>
          <w:sz w:val="22"/>
        </w:rPr>
        <w:t xml:space="preserve"> | </w:t>
      </w:r>
      <w:r>
        <w:rPr>
          <w:rFonts w:ascii="Times New Roman" w:hAnsi="Times New Roman" w:eastAsia="Times New Roman"/>
          <w:b/>
          <w:i w:val="0"/>
          <w:sz w:val="22"/>
        </w:rPr>
        <w:t>270</w:t>
      </w:r>
      <w:r>
        <w:rPr>
          <w:rFonts w:ascii="Times New Roman" w:hAnsi="Times New Roman" w:eastAsia="Times New Roman"/>
          <w:b w:val="0"/>
          <w:i w:val="0"/>
          <w:sz w:val="22"/>
        </w:rPr>
        <w:t xml:space="preserve"> | </w:t>
      </w:r>
      <w:r>
        <w:rPr>
          <w:rFonts w:ascii="Times New Roman" w:hAnsi="Times New Roman" w:eastAsia="Times New Roman"/>
          <w:b/>
          <w:i w:val="0"/>
          <w:sz w:val="22"/>
        </w:rPr>
        <w:t>31</w:t>
      </w:r>
      <w:r>
        <w:rPr>
          <w:rFonts w:ascii="Times New Roman" w:hAnsi="Times New Roman" w:eastAsia="Times New Roman"/>
          <w:b w:val="0"/>
          <w:i w:val="0"/>
          <w:sz w:val="22"/>
        </w:rPr>
        <w:t xml:space="preserve"> | </w:t>
      </w:r>
      <w:r>
        <w:rPr>
          <w:rFonts w:ascii="Times New Roman" w:hAnsi="Times New Roman" w:eastAsia="Times New Roman"/>
          <w:b/>
          <w:i w:val="0"/>
          <w:sz w:val="22"/>
        </w:rPr>
        <w:t>50</w:t>
      </w:r>
      <w:r>
        <w:rPr>
          <w:rFonts w:ascii="Times New Roman" w:hAnsi="Times New Roman" w:eastAsia="Times New Roman"/>
          <w:b w:val="0"/>
          <w:i w:val="0"/>
          <w:sz w:val="22"/>
        </w:rPr>
        <w:t xml:space="preserve"> | </w:t>
      </w:r>
      <w:r>
        <w:rPr>
          <w:rFonts w:ascii="Times New Roman" w:hAnsi="Times New Roman" w:eastAsia="Times New Roman"/>
          <w:b/>
          <w:i w:val="0"/>
          <w:sz w:val="22"/>
        </w:rPr>
        <w:t>443</w:t>
      </w:r>
      <w:r>
        <w:rPr>
          <w:rFonts w:ascii="Times New Roman" w:hAnsi="Times New Roman" w:eastAsia="Times New Roman"/>
          <w:b w:val="0"/>
          <w:i w:val="0"/>
          <w:sz w:val="22"/>
        </w:rPr>
        <w:t xml:space="preserve"> | </w:t>
      </w:r>
      <w:r>
        <w:rPr>
          <w:rFonts w:ascii="Times New Roman" w:hAnsi="Times New Roman" w:eastAsia="Times New Roman"/>
          <w:b/>
          <w:i w:val="0"/>
          <w:sz w:val="22"/>
        </w:rPr>
        <w:t>794</w:t>
      </w:r>
      <w:r>
        <w:rPr>
          <w:rFonts w:ascii="Times New Roman" w:hAnsi="Times New Roman" w:eastAsia="Times New Roman"/>
          <w:b w:val="0"/>
          <w:i w:val="0"/>
          <w:sz w:val="22"/>
        </w:rPr>
        <w:t xml:space="preserve"> | | | |</w:t>
      </w:r>
    </w:p>
    <w:p>
      <w:pPr>
        <w:jc w:val="both"/>
      </w:pPr>
      <w:r>
        <w:rPr>
          <w:rFonts w:ascii="Times New Roman" w:hAnsi="Times New Roman" w:eastAsia="Times New Roman"/>
          <w:b w:val="0"/>
          <w:i w:val="0"/>
          <w:sz w:val="22"/>
        </w:rPr>
        <w:t>Reconstruction notes. Chaiyo: published Se 79.11% of 158 confirmed dengue and Sp 92.28% of 246; PPV and NPV match 125/144 and 227/260 [25]. Zapata-de la Cruz: published FIA NS1 versus RT-PCR Se 84.44% and Sp 88.75% on 45 RT-PCR-positive and 80 RT-PCR-negative samples; PPV 80.85% and NPV 91.03% match 38/47 and 71/78 [53]. Ghogre: unique integers reproducing Se 96.5%, Sp 96.4%, PPV 93.3%, NPV 98.1% [26]. Zuroidah: 82% of 50 DVI and 100% of 30 non-DVI [55]. Pohekar 2017: among 100 samples tested by both FIA and ELISA, ELISA-positive = 38, FIA-positive = 39, all 50 ICT-negative samples were ELISA- and FIA-negative [52].</w:t>
      </w:r>
    </w:p>
    <w:p>
      <w:pPr>
        <w:jc w:val="both"/>
      </w:pPr>
      <w:r>
        <w:rPr>
          <w:rFonts w:ascii="Times New Roman" w:hAnsi="Times New Roman" w:eastAsia="Times New Roman"/>
          <w:b w:val="0"/>
          <w:i w:val="0"/>
          <w:sz w:val="22"/>
        </w:rPr>
        <w:t>Zapata-de la Cruz versus the RT-PCR/IgM gold-standard construct (n = 121 after excluding 4 indeterminate): TP 47, FN 35, FP 0, TN 39 (Se 57.3%, Sp 100%) [53]. Those cells were not used in the primary model because the protocol’s preferred molecular reference is RT-PCR; they are reported as a sensitivity description.</w:t>
      </w:r>
    </w:p>
    <w:p>
      <w:pPr>
        <w:jc w:val="both"/>
      </w:pPr>
      <w:r>
        <w:rPr>
          <w:rFonts w:ascii="Times New Roman" w:hAnsi="Times New Roman" w:eastAsia="Times New Roman"/>
          <w:b w:val="0"/>
          <w:i w:val="0"/>
          <w:sz w:val="22"/>
        </w:rPr>
        <w:t>Pohekar 2023 (n = 300 hospitalized suspected dengue) reported FIA-positive 203 and ELISA-positive 200 without a concordance table and is not in Table 4 [27].</w:t>
      </w:r>
    </w:p>
    <w:p>
      <w:pPr>
        <w:pStyle w:val="Heading3"/>
      </w:pPr>
      <w:r>
        <w:t>3.3 Risk of bias</w:t>
      </w:r>
    </w:p>
    <w:p>
      <w:pPr>
        <w:jc w:val="both"/>
      </w:pPr>
      <w:r>
        <w:rPr>
          <w:rFonts w:ascii="Times New Roman" w:hAnsi="Times New Roman" w:eastAsia="Times New Roman"/>
          <w:b w:val="0"/>
          <w:i w:val="0"/>
          <w:sz w:val="22"/>
        </w:rPr>
        <w:t>Single-reviewer QUADAS-2 judgments are in Table 5 and Figures 2–3.</w:t>
      </w:r>
    </w:p>
    <w:p>
      <w:pPr>
        <w:jc w:val="both"/>
      </w:pPr>
      <w:r>
        <w:rPr>
          <w:rFonts w:ascii="Times New Roman" w:hAnsi="Times New Roman" w:eastAsia="Times New Roman"/>
          <w:b/>
          <w:i w:val="0"/>
          <w:sz w:val="22"/>
        </w:rPr>
        <w:t>Table 5. QUADAS-2 risk of bias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pPr>
            <w:r>
              <w:rPr>
                <w:b/>
                <w:sz w:val="16"/>
              </w:rPr>
            </w:r>
            <w:r>
              <w:rPr>
                <w:rFonts w:ascii="Times New Roman" w:hAnsi="Times New Roman" w:eastAsia="Times New Roman"/>
                <w:b/>
                <w:i w:val="0"/>
                <w:sz w:val="16"/>
              </w:rPr>
              <w:t>Study</w:t>
            </w:r>
          </w:p>
        </w:tc>
        <w:tc>
          <w:tcPr>
            <w:tcW w:type="dxa" w:w="1560"/>
          </w:tcPr>
          <w:p>
            <w:pPr>
              <w:spacing w:after="40" w:before="40"/>
            </w:pPr>
            <w:r>
              <w:rPr>
                <w:b/>
                <w:sz w:val="16"/>
              </w:rPr>
            </w:r>
            <w:r>
              <w:rPr>
                <w:rFonts w:ascii="Times New Roman" w:hAnsi="Times New Roman" w:eastAsia="Times New Roman"/>
                <w:b/>
                <w:i w:val="0"/>
                <w:sz w:val="16"/>
              </w:rPr>
              <w:t>D1 Patient selection</w:t>
            </w:r>
          </w:p>
        </w:tc>
        <w:tc>
          <w:tcPr>
            <w:tcW w:type="dxa" w:w="1560"/>
          </w:tcPr>
          <w:p>
            <w:pPr>
              <w:spacing w:after="40" w:before="40"/>
            </w:pPr>
            <w:r>
              <w:rPr>
                <w:b/>
                <w:sz w:val="16"/>
              </w:rPr>
            </w:r>
            <w:r>
              <w:rPr>
                <w:rFonts w:ascii="Times New Roman" w:hAnsi="Times New Roman" w:eastAsia="Times New Roman"/>
                <w:b/>
                <w:i w:val="0"/>
                <w:sz w:val="16"/>
              </w:rPr>
              <w:t>D2 Index test</w:t>
            </w:r>
          </w:p>
        </w:tc>
        <w:tc>
          <w:tcPr>
            <w:tcW w:type="dxa" w:w="1560"/>
          </w:tcPr>
          <w:p>
            <w:pPr>
              <w:spacing w:after="40" w:before="40"/>
            </w:pPr>
            <w:r>
              <w:rPr>
                <w:b/>
                <w:sz w:val="16"/>
              </w:rPr>
            </w:r>
            <w:r>
              <w:rPr>
                <w:rFonts w:ascii="Times New Roman" w:hAnsi="Times New Roman" w:eastAsia="Times New Roman"/>
                <w:b/>
                <w:i w:val="0"/>
                <w:sz w:val="16"/>
              </w:rPr>
              <w:t>D3 Reference</w:t>
            </w:r>
          </w:p>
        </w:tc>
        <w:tc>
          <w:tcPr>
            <w:tcW w:type="dxa" w:w="1560"/>
          </w:tcPr>
          <w:p>
            <w:pPr>
              <w:spacing w:after="40" w:before="40"/>
            </w:pPr>
            <w:r>
              <w:rPr>
                <w:b/>
                <w:sz w:val="16"/>
              </w:rPr>
            </w:r>
            <w:r>
              <w:rPr>
                <w:rFonts w:ascii="Times New Roman" w:hAnsi="Times New Roman" w:eastAsia="Times New Roman"/>
                <w:b/>
                <w:i w:val="0"/>
                <w:sz w:val="16"/>
              </w:rPr>
              <w:t>D4 Flow</w:t>
            </w:r>
          </w:p>
        </w:tc>
        <w:tc>
          <w:tcPr>
            <w:tcW w:type="dxa" w:w="1560"/>
          </w:tcPr>
          <w:p>
            <w:pPr>
              <w:spacing w:after="40" w:before="40"/>
            </w:pPr>
            <w:r>
              <w:rPr>
                <w:b/>
                <w:sz w:val="16"/>
              </w:rPr>
            </w:r>
            <w:r>
              <w:rPr>
                <w:rFonts w:ascii="Times New Roman" w:hAnsi="Times New Roman" w:eastAsia="Times New Roman"/>
                <w:b/>
                <w:i w:val="0"/>
                <w:sz w:val="16"/>
              </w:rPr>
              <w:t>Overall</w:t>
            </w:r>
          </w:p>
        </w:tc>
      </w:tr>
      <w:tr>
        <w:tc>
          <w:tcPr>
            <w:tcW w:type="dxa" w:w="1560"/>
          </w:tcPr>
          <w:p>
            <w:pPr>
              <w:spacing w:after="40" w:before="40"/>
            </w:pPr>
            <w:r>
              <w:rPr>
                <w:sz w:val="16"/>
              </w:rPr>
            </w:r>
            <w:r>
              <w:rPr>
                <w:rFonts w:ascii="Times New Roman" w:hAnsi="Times New Roman" w:eastAsia="Times New Roman"/>
                <w:b w:val="0"/>
                <w:i w:val="0"/>
                <w:sz w:val="16"/>
              </w:rPr>
              <w:t>Chaiyo 2022</w:t>
            </w:r>
          </w:p>
        </w:tc>
        <w:tc>
          <w:tcPr>
            <w:tcW w:type="dxa" w:w="1560"/>
          </w:tcPr>
          <w:p>
            <w:pPr>
              <w:spacing w:after="40" w:before="40"/>
            </w:pPr>
            <w:r>
              <w:rPr>
                <w:sz w:val="16"/>
              </w:rPr>
            </w:r>
            <w:r>
              <w:rPr>
                <w:rFonts w:ascii="Times New Roman" w:hAnsi="Times New Roman" w:eastAsia="Times New Roman"/>
                <w:b w:val="0"/>
                <w:i w:val="0"/>
                <w:sz w:val="16"/>
              </w:rPr>
              <w:t>High (IC-enriched clusters, not consecutive suspected dengue)</w:t>
            </w:r>
          </w:p>
        </w:tc>
        <w:tc>
          <w:tcPr>
            <w:tcW w:type="dxa" w:w="1560"/>
          </w:tcPr>
          <w:p>
            <w:pPr>
              <w:spacing w:after="40" w:before="40"/>
            </w:pPr>
            <w:r>
              <w:rPr>
                <w:sz w:val="16"/>
              </w:rPr>
            </w:r>
            <w:r>
              <w:rPr>
                <w:rFonts w:ascii="Times New Roman" w:hAnsi="Times New Roman" w:eastAsia="Times New Roman"/>
                <w:b w:val="0"/>
                <w:i w:val="0"/>
                <w:sz w:val="16"/>
              </w:rPr>
              <w:t>Unclear (blinding not reported)</w:t>
            </w:r>
          </w:p>
        </w:tc>
        <w:tc>
          <w:tcPr>
            <w:tcW w:type="dxa" w:w="1560"/>
          </w:tcPr>
          <w:p>
            <w:pPr>
              <w:spacing w:after="40" w:before="40"/>
            </w:pPr>
            <w:r>
              <w:rPr>
                <w:sz w:val="16"/>
              </w:rPr>
            </w:r>
            <w:r>
              <w:rPr>
                <w:rFonts w:ascii="Times New Roman" w:hAnsi="Times New Roman" w:eastAsia="Times New Roman"/>
                <w:b w:val="0"/>
                <w:i w:val="0"/>
                <w:sz w:val="16"/>
              </w:rPr>
              <w:t>Low (composite RT-qPCR + antibody ELISA)</w:t>
            </w:r>
          </w:p>
        </w:tc>
        <w:tc>
          <w:tcPr>
            <w:tcW w:type="dxa" w:w="1560"/>
          </w:tcPr>
          <w:p>
            <w:pPr>
              <w:spacing w:after="40" w:before="40"/>
            </w:pPr>
            <w:r>
              <w:rPr>
                <w:sz w:val="16"/>
              </w:rPr>
            </w:r>
            <w:r>
              <w:rPr>
                <w:rFonts w:ascii="Times New Roman" w:hAnsi="Times New Roman" w:eastAsia="Times New Roman"/>
                <w:b w:val="0"/>
                <w:i w:val="0"/>
                <w:sz w:val="16"/>
              </w:rPr>
              <w:t>Low</w:t>
            </w:r>
          </w:p>
        </w:tc>
        <w:tc>
          <w:tcPr>
            <w:tcW w:type="dxa" w:w="1560"/>
          </w:tcPr>
          <w:p>
            <w:pPr>
              <w:spacing w:after="40" w:before="40"/>
            </w:pPr>
            <w:r>
              <w:rPr>
                <w:sz w:val="16"/>
              </w:rPr>
            </w:r>
            <w:r>
              <w:rPr>
                <w:rFonts w:ascii="Times New Roman" w:hAnsi="Times New Roman" w:eastAsia="Times New Roman"/>
                <w:b/>
                <w:i w:val="0"/>
                <w:sz w:val="16"/>
              </w:rPr>
              <w:t>High</w:t>
            </w:r>
          </w:p>
        </w:tc>
      </w:tr>
      <w:tr>
        <w:tc>
          <w:tcPr>
            <w:tcW w:type="dxa" w:w="1560"/>
          </w:tcPr>
          <w:p>
            <w:pPr>
              <w:spacing w:after="40" w:before="40"/>
            </w:pPr>
            <w:r>
              <w:rPr>
                <w:sz w:val="16"/>
              </w:rPr>
            </w:r>
            <w:r>
              <w:rPr>
                <w:rFonts w:ascii="Times New Roman" w:hAnsi="Times New Roman" w:eastAsia="Times New Roman"/>
                <w:b w:val="0"/>
                <w:i w:val="0"/>
                <w:sz w:val="16"/>
              </w:rPr>
              <w:t>Zapata-de la Cruz 2026</w:t>
            </w:r>
          </w:p>
        </w:tc>
        <w:tc>
          <w:tcPr>
            <w:tcW w:type="dxa" w:w="1560"/>
          </w:tcPr>
          <w:p>
            <w:pPr>
              <w:spacing w:after="40" w:before="40"/>
            </w:pPr>
            <w:r>
              <w:rPr>
                <w:sz w:val="16"/>
              </w:rPr>
            </w:r>
            <w:r>
              <w:rPr>
                <w:rFonts w:ascii="Times New Roman" w:hAnsi="Times New Roman" w:eastAsia="Times New Roman"/>
                <w:b w:val="0"/>
                <w:i w:val="0"/>
                <w:sz w:val="16"/>
              </w:rPr>
              <w:t>Low (random sample of febrile suspected dengue, days 2–6)</w:t>
            </w:r>
          </w:p>
        </w:tc>
        <w:tc>
          <w:tcPr>
            <w:tcW w:type="dxa" w:w="1560"/>
          </w:tcPr>
          <w:p>
            <w:pPr>
              <w:spacing w:after="40" w:before="40"/>
            </w:pPr>
            <w:r>
              <w:rPr>
                <w:sz w:val="16"/>
              </w:rPr>
            </w:r>
            <w:r>
              <w:rPr>
                <w:rFonts w:ascii="Times New Roman" w:hAnsi="Times New Roman" w:eastAsia="Times New Roman"/>
                <w:b w:val="0"/>
                <w:i w:val="0"/>
                <w:sz w:val="16"/>
              </w:rPr>
              <w:t>Unclear</w:t>
            </w:r>
          </w:p>
        </w:tc>
        <w:tc>
          <w:tcPr>
            <w:tcW w:type="dxa" w:w="1560"/>
          </w:tcPr>
          <w:p>
            <w:pPr>
              <w:spacing w:after="40" w:before="40"/>
            </w:pPr>
            <w:r>
              <w:rPr>
                <w:sz w:val="16"/>
              </w:rPr>
            </w:r>
            <w:r>
              <w:rPr>
                <w:rFonts w:ascii="Times New Roman" w:hAnsi="Times New Roman" w:eastAsia="Times New Roman"/>
                <w:b w:val="0"/>
                <w:i w:val="0"/>
                <w:sz w:val="16"/>
              </w:rPr>
              <w:t>Low (RT-PCR for primary cells)</w:t>
            </w:r>
          </w:p>
        </w:tc>
        <w:tc>
          <w:tcPr>
            <w:tcW w:type="dxa" w:w="1560"/>
          </w:tcPr>
          <w:p>
            <w:pPr>
              <w:spacing w:after="40" w:before="40"/>
            </w:pPr>
            <w:r>
              <w:rPr>
                <w:sz w:val="16"/>
              </w:rPr>
            </w:r>
            <w:r>
              <w:rPr>
                <w:rFonts w:ascii="Times New Roman" w:hAnsi="Times New Roman" w:eastAsia="Times New Roman"/>
                <w:b w:val="0"/>
                <w:i w:val="0"/>
                <w:sz w:val="16"/>
              </w:rPr>
              <w:t>Low</w:t>
            </w:r>
          </w:p>
        </w:tc>
        <w:tc>
          <w:tcPr>
            <w:tcW w:type="dxa" w:w="1560"/>
          </w:tcPr>
          <w:p>
            <w:pPr>
              <w:spacing w:after="40" w:before="40"/>
            </w:pPr>
            <w:r>
              <w:rPr>
                <w:sz w:val="16"/>
              </w:rPr>
            </w:r>
            <w:r>
              <w:rPr>
                <w:rFonts w:ascii="Times New Roman" w:hAnsi="Times New Roman" w:eastAsia="Times New Roman"/>
                <w:b/>
                <w:i w:val="0"/>
                <w:sz w:val="16"/>
              </w:rPr>
              <w:t>Unclear</w:t>
            </w:r>
          </w:p>
        </w:tc>
      </w:tr>
      <w:tr>
        <w:tc>
          <w:tcPr>
            <w:tcW w:type="dxa" w:w="1560"/>
          </w:tcPr>
          <w:p>
            <w:pPr>
              <w:spacing w:after="40" w:before="40"/>
            </w:pPr>
            <w:r>
              <w:rPr>
                <w:sz w:val="16"/>
              </w:rPr>
            </w:r>
            <w:r>
              <w:rPr>
                <w:rFonts w:ascii="Times New Roman" w:hAnsi="Times New Roman" w:eastAsia="Times New Roman"/>
                <w:b w:val="0"/>
                <w:i w:val="0"/>
                <w:sz w:val="16"/>
              </w:rPr>
              <w:t>Ghogre 2021</w:t>
            </w:r>
          </w:p>
        </w:tc>
        <w:tc>
          <w:tcPr>
            <w:tcW w:type="dxa" w:w="1560"/>
          </w:tcPr>
          <w:p>
            <w:pPr>
              <w:spacing w:after="40" w:before="40"/>
            </w:pPr>
            <w:r>
              <w:rPr>
                <w:sz w:val="16"/>
              </w:rPr>
            </w:r>
            <w:r>
              <w:rPr>
                <w:rFonts w:ascii="Times New Roman" w:hAnsi="Times New Roman" w:eastAsia="Times New Roman"/>
                <w:b w:val="0"/>
                <w:i w:val="0"/>
                <w:sz w:val="16"/>
              </w:rPr>
              <w:t>Unclear (enrollment sequence and fever day not reported)</w:t>
            </w:r>
          </w:p>
        </w:tc>
        <w:tc>
          <w:tcPr>
            <w:tcW w:type="dxa" w:w="1560"/>
          </w:tcPr>
          <w:p>
            <w:pPr>
              <w:spacing w:after="40" w:before="40"/>
            </w:pPr>
            <w:r>
              <w:rPr>
                <w:sz w:val="16"/>
              </w:rPr>
            </w:r>
            <w:r>
              <w:rPr>
                <w:rFonts w:ascii="Times New Roman" w:hAnsi="Times New Roman" w:eastAsia="Times New Roman"/>
                <w:b w:val="0"/>
                <w:i w:val="0"/>
                <w:sz w:val="16"/>
              </w:rPr>
              <w:t>Unclear</w:t>
            </w:r>
          </w:p>
        </w:tc>
        <w:tc>
          <w:tcPr>
            <w:tcW w:type="dxa" w:w="1560"/>
          </w:tcPr>
          <w:p>
            <w:pPr>
              <w:spacing w:after="40" w:before="40"/>
            </w:pPr>
            <w:r>
              <w:rPr>
                <w:sz w:val="16"/>
              </w:rPr>
            </w:r>
            <w:r>
              <w:rPr>
                <w:rFonts w:ascii="Times New Roman" w:hAnsi="Times New Roman" w:eastAsia="Times New Roman"/>
                <w:b w:val="0"/>
                <w:i w:val="0"/>
                <w:sz w:val="16"/>
              </w:rPr>
              <w:t>Unclear (NS1 ELISA as truth for NS1 FIA)</w:t>
            </w:r>
          </w:p>
        </w:tc>
        <w:tc>
          <w:tcPr>
            <w:tcW w:type="dxa" w:w="1560"/>
          </w:tcPr>
          <w:p>
            <w:pPr>
              <w:spacing w:after="40" w:before="40"/>
            </w:pPr>
            <w:r>
              <w:rPr>
                <w:sz w:val="16"/>
              </w:rPr>
            </w:r>
            <w:r>
              <w:rPr>
                <w:rFonts w:ascii="Times New Roman" w:hAnsi="Times New Roman" w:eastAsia="Times New Roman"/>
                <w:b w:val="0"/>
                <w:i w:val="0"/>
                <w:sz w:val="16"/>
              </w:rPr>
              <w:t>Low</w:t>
            </w:r>
          </w:p>
        </w:tc>
        <w:tc>
          <w:tcPr>
            <w:tcW w:type="dxa" w:w="1560"/>
          </w:tcPr>
          <w:p>
            <w:pPr>
              <w:spacing w:after="40" w:before="40"/>
            </w:pPr>
            <w:r>
              <w:rPr>
                <w:sz w:val="16"/>
              </w:rPr>
            </w:r>
            <w:r>
              <w:rPr>
                <w:rFonts w:ascii="Times New Roman" w:hAnsi="Times New Roman" w:eastAsia="Times New Roman"/>
                <w:b/>
                <w:i w:val="0"/>
                <w:sz w:val="16"/>
              </w:rPr>
              <w:t>Unclear</w:t>
            </w:r>
          </w:p>
        </w:tc>
      </w:tr>
      <w:tr>
        <w:tc>
          <w:tcPr>
            <w:tcW w:type="dxa" w:w="1560"/>
          </w:tcPr>
          <w:p>
            <w:pPr>
              <w:spacing w:after="40" w:before="40"/>
            </w:pPr>
            <w:r>
              <w:rPr>
                <w:sz w:val="16"/>
              </w:rPr>
            </w:r>
            <w:r>
              <w:rPr>
                <w:rFonts w:ascii="Times New Roman" w:hAnsi="Times New Roman" w:eastAsia="Times New Roman"/>
                <w:b w:val="0"/>
                <w:i w:val="0"/>
                <w:sz w:val="16"/>
              </w:rPr>
              <w:t>Zuroidah 2022</w:t>
            </w:r>
          </w:p>
        </w:tc>
        <w:tc>
          <w:tcPr>
            <w:tcW w:type="dxa" w:w="1560"/>
          </w:tcPr>
          <w:p>
            <w:pPr>
              <w:spacing w:after="40" w:before="40"/>
            </w:pPr>
            <w:r>
              <w:rPr>
                <w:sz w:val="16"/>
              </w:rPr>
            </w:r>
            <w:r>
              <w:rPr>
                <w:rFonts w:ascii="Times New Roman" w:hAnsi="Times New Roman" w:eastAsia="Times New Roman"/>
                <w:b w:val="0"/>
                <w:i w:val="0"/>
                <w:sz w:val="16"/>
              </w:rPr>
              <w:t>High (two-gate DVI / non-DVI)</w:t>
            </w:r>
          </w:p>
        </w:tc>
        <w:tc>
          <w:tcPr>
            <w:tcW w:type="dxa" w:w="1560"/>
          </w:tcPr>
          <w:p>
            <w:pPr>
              <w:spacing w:after="40" w:before="40"/>
            </w:pPr>
            <w:r>
              <w:rPr>
                <w:sz w:val="16"/>
              </w:rPr>
            </w:r>
            <w:r>
              <w:rPr>
                <w:rFonts w:ascii="Times New Roman" w:hAnsi="Times New Roman" w:eastAsia="Times New Roman"/>
                <w:b w:val="0"/>
                <w:i w:val="0"/>
                <w:sz w:val="16"/>
              </w:rPr>
              <w:t>Unclear</w:t>
            </w:r>
          </w:p>
        </w:tc>
        <w:tc>
          <w:tcPr>
            <w:tcW w:type="dxa" w:w="1560"/>
          </w:tcPr>
          <w:p>
            <w:pPr>
              <w:spacing w:after="40" w:before="40"/>
            </w:pPr>
            <w:r>
              <w:rPr>
                <w:sz w:val="16"/>
              </w:rPr>
            </w:r>
            <w:r>
              <w:rPr>
                <w:rFonts w:ascii="Times New Roman" w:hAnsi="Times New Roman" w:eastAsia="Times New Roman"/>
                <w:b w:val="0"/>
                <w:i w:val="0"/>
                <w:sz w:val="16"/>
              </w:rPr>
              <w:t>High (RT-PCR and/or NS1 ELISA; incorporation)</w:t>
            </w:r>
          </w:p>
        </w:tc>
        <w:tc>
          <w:tcPr>
            <w:tcW w:type="dxa" w:w="1560"/>
          </w:tcPr>
          <w:p>
            <w:pPr>
              <w:spacing w:after="40" w:before="40"/>
            </w:pPr>
            <w:r>
              <w:rPr>
                <w:sz w:val="16"/>
              </w:rPr>
            </w:r>
            <w:r>
              <w:rPr>
                <w:rFonts w:ascii="Times New Roman" w:hAnsi="Times New Roman" w:eastAsia="Times New Roman"/>
                <w:b w:val="0"/>
                <w:i w:val="0"/>
                <w:sz w:val="16"/>
              </w:rPr>
              <w:t>Low</w:t>
            </w:r>
          </w:p>
        </w:tc>
        <w:tc>
          <w:tcPr>
            <w:tcW w:type="dxa" w:w="1560"/>
          </w:tcPr>
          <w:p>
            <w:pPr>
              <w:spacing w:after="40" w:before="40"/>
            </w:pPr>
            <w:r>
              <w:rPr>
                <w:sz w:val="16"/>
              </w:rPr>
            </w:r>
            <w:r>
              <w:rPr>
                <w:rFonts w:ascii="Times New Roman" w:hAnsi="Times New Roman" w:eastAsia="Times New Roman"/>
                <w:b/>
                <w:i w:val="0"/>
                <w:sz w:val="16"/>
              </w:rPr>
              <w:t>High</w:t>
            </w:r>
          </w:p>
        </w:tc>
      </w:tr>
      <w:tr>
        <w:tc>
          <w:tcPr>
            <w:tcW w:type="dxa" w:w="1560"/>
          </w:tcPr>
          <w:p>
            <w:pPr>
              <w:spacing w:after="40" w:before="40"/>
            </w:pPr>
            <w:r>
              <w:rPr>
                <w:sz w:val="16"/>
              </w:rPr>
            </w:r>
            <w:r>
              <w:rPr>
                <w:rFonts w:ascii="Times New Roman" w:hAnsi="Times New Roman" w:eastAsia="Times New Roman"/>
                <w:b w:val="0"/>
                <w:i w:val="0"/>
                <w:sz w:val="16"/>
              </w:rPr>
              <w:t>Pohekar 2017</w:t>
            </w:r>
          </w:p>
        </w:tc>
        <w:tc>
          <w:tcPr>
            <w:tcW w:type="dxa" w:w="1560"/>
          </w:tcPr>
          <w:p>
            <w:pPr>
              <w:spacing w:after="40" w:before="40"/>
            </w:pPr>
            <w:r>
              <w:rPr>
                <w:sz w:val="16"/>
              </w:rPr>
            </w:r>
            <w:r>
              <w:rPr>
                <w:rFonts w:ascii="Times New Roman" w:hAnsi="Times New Roman" w:eastAsia="Times New Roman"/>
                <w:b w:val="0"/>
                <w:i w:val="0"/>
                <w:sz w:val="16"/>
              </w:rPr>
              <w:t>High (ICT-based two-gate selection)</w:t>
            </w:r>
          </w:p>
        </w:tc>
        <w:tc>
          <w:tcPr>
            <w:tcW w:type="dxa" w:w="1560"/>
          </w:tcPr>
          <w:p>
            <w:pPr>
              <w:spacing w:after="40" w:before="40"/>
            </w:pPr>
            <w:r>
              <w:rPr>
                <w:sz w:val="16"/>
              </w:rPr>
            </w:r>
            <w:r>
              <w:rPr>
                <w:rFonts w:ascii="Times New Roman" w:hAnsi="Times New Roman" w:eastAsia="Times New Roman"/>
                <w:b w:val="0"/>
                <w:i w:val="0"/>
                <w:sz w:val="16"/>
              </w:rPr>
              <w:t>Unclear (manufacturer supplied kits)</w:t>
            </w:r>
          </w:p>
        </w:tc>
        <w:tc>
          <w:tcPr>
            <w:tcW w:type="dxa" w:w="1560"/>
          </w:tcPr>
          <w:p>
            <w:pPr>
              <w:spacing w:after="40" w:before="40"/>
            </w:pPr>
            <w:r>
              <w:rPr>
                <w:sz w:val="16"/>
              </w:rPr>
            </w:r>
            <w:r>
              <w:rPr>
                <w:rFonts w:ascii="Times New Roman" w:hAnsi="Times New Roman" w:eastAsia="Times New Roman"/>
                <w:b w:val="0"/>
                <w:i w:val="0"/>
                <w:sz w:val="16"/>
              </w:rPr>
              <w:t>Unclear (same-manufacturer NS1 ELISA)</w:t>
            </w:r>
          </w:p>
        </w:tc>
        <w:tc>
          <w:tcPr>
            <w:tcW w:type="dxa" w:w="1560"/>
          </w:tcPr>
          <w:p>
            <w:pPr>
              <w:spacing w:after="40" w:before="40"/>
            </w:pPr>
            <w:r>
              <w:rPr>
                <w:sz w:val="16"/>
              </w:rPr>
            </w:r>
            <w:r>
              <w:rPr>
                <w:rFonts w:ascii="Times New Roman" w:hAnsi="Times New Roman" w:eastAsia="Times New Roman"/>
                <w:b w:val="0"/>
                <w:i w:val="0"/>
                <w:sz w:val="16"/>
              </w:rPr>
              <w:t>High (only 100 of 200 tested by FIA/ELISA)</w:t>
            </w:r>
          </w:p>
        </w:tc>
        <w:tc>
          <w:tcPr>
            <w:tcW w:type="dxa" w:w="1560"/>
          </w:tcPr>
          <w:p>
            <w:pPr>
              <w:spacing w:after="40" w:before="40"/>
            </w:pPr>
            <w:r>
              <w:rPr>
                <w:sz w:val="16"/>
              </w:rPr>
            </w:r>
            <w:r>
              <w:rPr>
                <w:rFonts w:ascii="Times New Roman" w:hAnsi="Times New Roman" w:eastAsia="Times New Roman"/>
                <w:b/>
                <w:i w:val="0"/>
                <w:sz w:val="16"/>
              </w:rPr>
              <w:t>High</w:t>
            </w:r>
          </w:p>
        </w:tc>
      </w:tr>
    </w:tbl>
    <w:p/>
    <w:p>
      <w:pPr>
        <w:jc w:val="both"/>
      </w:pPr>
      <w:r>
        <w:rPr>
          <w:rFonts w:ascii="Times New Roman" w:hAnsi="Times New Roman" w:eastAsia="Times New Roman"/>
          <w:b w:val="0"/>
          <w:i w:val="0"/>
          <w:sz w:val="22"/>
        </w:rPr>
        <w:t>Applicability: Chaiyo Domain 1 High (enriched spectrum). Ghogre, Zuroidah, and Pohekar 2017 Domain 1 Unclear to High (fever day not documented; case-control sampling). Zapata-de la Cruz applicability Low for the intended febrile-care scenario.</w:t>
      </w:r>
    </w:p>
    <w:p>
      <w:pPr>
        <w:jc w:val="both"/>
      </w:pPr>
      <w:r>
        <w:rPr>
          <w:rFonts w:ascii="Times New Roman" w:hAnsi="Times New Roman" w:eastAsia="Times New Roman"/>
          <w:b w:val="0"/>
          <w:i w:val="0"/>
          <w:sz w:val="22"/>
        </w:rPr>
        <w:t>Three of five studies (60%) were at high overall risk of bias, driven by patient selection. No study reported explicit blinding of FIA interpretation to the reference standard; Domain 2 was Unclear throughout. Automated COI readout reduces some operator bias relative to visual ICT, but does not replace a documented blinding statement.</w:t>
      </w:r>
    </w:p>
    <w:p>
      <w:pPr>
        <w:spacing w:after="40"/>
        <w:jc w:val="center"/>
      </w:pPr>
      <w:r>
        <w:drawing>
          <wp:inline xmlns:a="http://schemas.openxmlformats.org/drawingml/2006/main" xmlns:pic="http://schemas.openxmlformats.org/drawingml/2006/picture">
            <wp:extent cx="5760720" cy="3114500"/>
            <wp:docPr id="2" name="Picture 2"/>
            <wp:cNvGraphicFramePr>
              <a:graphicFrameLocks noChangeAspect="1"/>
            </wp:cNvGraphicFramePr>
            <a:graphic>
              <a:graphicData uri="http://schemas.openxmlformats.org/drawingml/2006/picture">
                <pic:pic>
                  <pic:nvPicPr>
                    <pic:cNvPr id="0" name="quadas2_traffic_light.png"/>
                    <pic:cNvPicPr/>
                  </pic:nvPicPr>
                  <pic:blipFill>
                    <a:blip r:embed="rId10"/>
                    <a:stretch>
                      <a:fillRect/>
                    </a:stretch>
                  </pic:blipFill>
                  <pic:spPr>
                    <a:xfrm>
                      <a:off x="0" y="0"/>
                      <a:ext cx="5760720" cy="3114500"/>
                    </a:xfrm>
                    <a:prstGeom prst="rect"/>
                  </pic:spPr>
                </pic:pic>
              </a:graphicData>
            </a:graphic>
          </wp:inline>
        </w:drawing>
      </w:r>
    </w:p>
    <w:p>
      <w:pPr>
        <w:jc w:val="center"/>
      </w:pPr>
      <w:r>
        <w:rPr>
          <w:rFonts w:ascii="Times New Roman" w:hAnsi="Times New Roman" w:eastAsia="Times New Roman"/>
          <w:b w:val="0"/>
          <w:i/>
          <w:sz w:val="18"/>
        </w:rPr>
        <w:t>Figure 2. QUADAS-2 traffic-light plot</w:t>
      </w:r>
    </w:p>
    <w:p>
      <w:pPr>
        <w:jc w:val="both"/>
      </w:pPr>
      <w:r>
        <w:rPr>
          <w:rFonts w:ascii="Times New Roman" w:hAnsi="Times New Roman" w:eastAsia="Times New Roman"/>
          <w:b w:val="0"/>
          <w:i/>
          <w:sz w:val="22"/>
        </w:rPr>
        <w:t>Figure 2. QUADAS-2 traffic-light plot for the five studies in the bivariate model.</w:t>
      </w:r>
    </w:p>
    <w:p>
      <w:pPr>
        <w:spacing w:after="40"/>
        <w:jc w:val="center"/>
      </w:pPr>
      <w:r>
        <w:drawing>
          <wp:inline xmlns:a="http://schemas.openxmlformats.org/drawingml/2006/main" xmlns:pic="http://schemas.openxmlformats.org/drawingml/2006/picture">
            <wp:extent cx="5760720" cy="2988932"/>
            <wp:docPr id="3" name="Picture 3"/>
            <wp:cNvGraphicFramePr>
              <a:graphicFrameLocks noChangeAspect="1"/>
            </wp:cNvGraphicFramePr>
            <a:graphic>
              <a:graphicData uri="http://schemas.openxmlformats.org/drawingml/2006/picture">
                <pic:pic>
                  <pic:nvPicPr>
                    <pic:cNvPr id="0" name="quadas2_summary.png"/>
                    <pic:cNvPicPr/>
                  </pic:nvPicPr>
                  <pic:blipFill>
                    <a:blip r:embed="rId11"/>
                    <a:stretch>
                      <a:fillRect/>
                    </a:stretch>
                  </pic:blipFill>
                  <pic:spPr>
                    <a:xfrm>
                      <a:off x="0" y="0"/>
                      <a:ext cx="5760720" cy="2988932"/>
                    </a:xfrm>
                    <a:prstGeom prst="rect"/>
                  </pic:spPr>
                </pic:pic>
              </a:graphicData>
            </a:graphic>
          </wp:inline>
        </w:drawing>
      </w:r>
    </w:p>
    <w:p>
      <w:pPr>
        <w:jc w:val="center"/>
      </w:pPr>
      <w:r>
        <w:rPr>
          <w:rFonts w:ascii="Times New Roman" w:hAnsi="Times New Roman" w:eastAsia="Times New Roman"/>
          <w:b w:val="0"/>
          <w:i/>
          <w:sz w:val="18"/>
        </w:rPr>
        <w:t>Figure 3. QUADAS-2 summary bars</w:t>
      </w:r>
    </w:p>
    <w:p>
      <w:pPr>
        <w:jc w:val="both"/>
      </w:pPr>
      <w:r>
        <w:rPr>
          <w:rFonts w:ascii="Times New Roman" w:hAnsi="Times New Roman" w:eastAsia="Times New Roman"/>
          <w:b w:val="0"/>
          <w:i/>
          <w:sz w:val="22"/>
        </w:rPr>
        <w:t>Figure 3. QUADAS-2 domain summary (percentage of studies).</w:t>
      </w:r>
    </w:p>
    <w:p>
      <w:pPr>
        <w:pStyle w:val="Heading3"/>
      </w:pPr>
      <w:r>
        <w:t>3.4 Diagnostic accuracy</w:t>
      </w:r>
    </w:p>
    <w:p>
      <w:pPr>
        <w:jc w:val="both"/>
      </w:pPr>
      <w:r>
        <w:rPr>
          <w:rFonts w:ascii="Times New Roman" w:hAnsi="Times New Roman" w:eastAsia="Times New Roman"/>
          <w:b w:val="0"/>
          <w:i w:val="0"/>
          <w:sz w:val="22"/>
        </w:rPr>
        <w:t>#### 3.4.1 FIA versus study-defined reference (primary model)</w:t>
      </w:r>
    </w:p>
    <w:p>
      <w:pPr>
        <w:jc w:val="both"/>
      </w:pPr>
      <w:r>
        <w:rPr>
          <w:rFonts w:ascii="Times New Roman" w:hAnsi="Times New Roman" w:eastAsia="Times New Roman"/>
          <w:b w:val="0"/>
          <w:i w:val="0"/>
          <w:sz w:val="22"/>
        </w:rPr>
        <w:t>The bivariate REML model included five studies and 794 specimens. Continuity correction 0.5 was applied to Zuroidah 2022 (FP = 0) and Pohekar 2017 (FN = 0).</w:t>
      </w:r>
    </w:p>
    <w:p>
      <w:pPr>
        <w:jc w:val="both"/>
      </w:pPr>
      <w:r>
        <w:rPr>
          <w:rFonts w:ascii="Times New Roman" w:hAnsi="Times New Roman" w:eastAsia="Times New Roman"/>
          <w:b/>
          <w:i w:val="0"/>
          <w:sz w:val="22"/>
        </w:rPr>
        <w:t>Table 6. Pooled FIA accuracy for dengue NS1 (bivariate random-effects model)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40" w:before="40"/>
            </w:pPr>
            <w:r>
              <w:rPr>
                <w:b/>
                <w:sz w:val="16"/>
              </w:rPr>
            </w:r>
            <w:r>
              <w:rPr>
                <w:rFonts w:ascii="Times New Roman" w:hAnsi="Times New Roman" w:eastAsia="Times New Roman"/>
                <w:b/>
                <w:i w:val="0"/>
                <w:sz w:val="16"/>
              </w:rPr>
              <w:t>Measure</w:t>
            </w:r>
          </w:p>
        </w:tc>
        <w:tc>
          <w:tcPr>
            <w:tcW w:type="dxa" w:w="3120"/>
          </w:tcPr>
          <w:p>
            <w:pPr>
              <w:spacing w:after="40" w:before="40"/>
            </w:pPr>
            <w:r>
              <w:rPr>
                <w:b/>
                <w:sz w:val="16"/>
              </w:rPr>
            </w:r>
            <w:r>
              <w:rPr>
                <w:rFonts w:ascii="Times New Roman" w:hAnsi="Times New Roman" w:eastAsia="Times New Roman"/>
                <w:b/>
                <w:i w:val="0"/>
                <w:sz w:val="16"/>
              </w:rPr>
              <w:t>Estimate</w:t>
            </w:r>
          </w:p>
        </w:tc>
        <w:tc>
          <w:tcPr>
            <w:tcW w:type="dxa" w:w="3120"/>
          </w:tcPr>
          <w:p>
            <w:pPr>
              <w:spacing w:after="40" w:before="40"/>
            </w:pPr>
            <w:r>
              <w:rPr>
                <w:b/>
                <w:sz w:val="16"/>
              </w:rPr>
            </w:r>
            <w:r>
              <w:rPr>
                <w:rFonts w:ascii="Times New Roman" w:hAnsi="Times New Roman" w:eastAsia="Times New Roman"/>
                <w:b/>
                <w:i w:val="0"/>
                <w:sz w:val="16"/>
              </w:rPr>
              <w:t>95% CI</w:t>
            </w:r>
          </w:p>
        </w:tc>
      </w:tr>
      <w:tr>
        <w:tc>
          <w:tcPr>
            <w:tcW w:type="dxa" w:w="3120"/>
          </w:tcPr>
          <w:p>
            <w:pPr>
              <w:spacing w:after="40" w:before="40"/>
            </w:pPr>
            <w:r>
              <w:rPr>
                <w:sz w:val="16"/>
              </w:rPr>
            </w:r>
            <w:r>
              <w:rPr>
                <w:rFonts w:ascii="Times New Roman" w:hAnsi="Times New Roman" w:eastAsia="Times New Roman"/>
                <w:b w:val="0"/>
                <w:i w:val="0"/>
                <w:sz w:val="16"/>
              </w:rPr>
              <w:t>Sensitivity</w:t>
            </w:r>
          </w:p>
        </w:tc>
        <w:tc>
          <w:tcPr>
            <w:tcW w:type="dxa" w:w="3120"/>
          </w:tcPr>
          <w:p>
            <w:pPr>
              <w:spacing w:after="40" w:before="40"/>
            </w:pPr>
            <w:r>
              <w:rPr>
                <w:sz w:val="16"/>
              </w:rPr>
            </w:r>
            <w:r>
              <w:rPr>
                <w:rFonts w:ascii="Times New Roman" w:hAnsi="Times New Roman" w:eastAsia="Times New Roman"/>
                <w:b/>
                <w:i w:val="0"/>
                <w:sz w:val="16"/>
              </w:rPr>
              <w:t>86.7%</w:t>
            </w:r>
          </w:p>
        </w:tc>
        <w:tc>
          <w:tcPr>
            <w:tcW w:type="dxa" w:w="3120"/>
          </w:tcPr>
          <w:p>
            <w:pPr>
              <w:spacing w:after="40" w:before="40"/>
            </w:pPr>
            <w:r>
              <w:rPr>
                <w:sz w:val="16"/>
              </w:rPr>
            </w:r>
            <w:r>
              <w:rPr>
                <w:rFonts w:ascii="Times New Roman" w:hAnsi="Times New Roman" w:eastAsia="Times New Roman"/>
                <w:b w:val="0"/>
                <w:i w:val="0"/>
                <w:sz w:val="16"/>
              </w:rPr>
              <w:t>76.0–93.1%</w:t>
            </w:r>
          </w:p>
        </w:tc>
      </w:tr>
      <w:tr>
        <w:tc>
          <w:tcPr>
            <w:tcW w:type="dxa" w:w="3120"/>
          </w:tcPr>
          <w:p>
            <w:pPr>
              <w:spacing w:after="40" w:before="40"/>
            </w:pPr>
            <w:r>
              <w:rPr>
                <w:sz w:val="16"/>
              </w:rPr>
            </w:r>
            <w:r>
              <w:rPr>
                <w:rFonts w:ascii="Times New Roman" w:hAnsi="Times New Roman" w:eastAsia="Times New Roman"/>
                <w:b w:val="0"/>
                <w:i w:val="0"/>
                <w:sz w:val="16"/>
              </w:rPr>
              <w:t>Specificity</w:t>
            </w:r>
          </w:p>
        </w:tc>
        <w:tc>
          <w:tcPr>
            <w:tcW w:type="dxa" w:w="3120"/>
          </w:tcPr>
          <w:p>
            <w:pPr>
              <w:spacing w:after="40" w:before="40"/>
            </w:pPr>
            <w:r>
              <w:rPr>
                <w:sz w:val="16"/>
              </w:rPr>
            </w:r>
            <w:r>
              <w:rPr>
                <w:rFonts w:ascii="Times New Roman" w:hAnsi="Times New Roman" w:eastAsia="Times New Roman"/>
                <w:b/>
                <w:i w:val="0"/>
                <w:sz w:val="16"/>
              </w:rPr>
              <w:t>94.0%</w:t>
            </w:r>
          </w:p>
        </w:tc>
        <w:tc>
          <w:tcPr>
            <w:tcW w:type="dxa" w:w="3120"/>
          </w:tcPr>
          <w:p>
            <w:pPr>
              <w:spacing w:after="40" w:before="40"/>
            </w:pPr>
            <w:r>
              <w:rPr>
                <w:sz w:val="16"/>
              </w:rPr>
            </w:r>
            <w:r>
              <w:rPr>
                <w:rFonts w:ascii="Times New Roman" w:hAnsi="Times New Roman" w:eastAsia="Times New Roman"/>
                <w:b w:val="0"/>
                <w:i w:val="0"/>
                <w:sz w:val="16"/>
              </w:rPr>
              <w:t>89.6–96.6%</w:t>
            </w:r>
          </w:p>
        </w:tc>
      </w:tr>
      <w:tr>
        <w:tc>
          <w:tcPr>
            <w:tcW w:type="dxa" w:w="3120"/>
          </w:tcPr>
          <w:p>
            <w:pPr>
              <w:spacing w:after="40" w:before="40"/>
            </w:pPr>
            <w:r>
              <w:rPr>
                <w:sz w:val="16"/>
              </w:rPr>
            </w:r>
            <w:r>
              <w:rPr>
                <w:rFonts w:ascii="Times New Roman" w:hAnsi="Times New Roman" w:eastAsia="Times New Roman"/>
                <w:b w:val="0"/>
                <w:i w:val="0"/>
                <w:sz w:val="16"/>
              </w:rPr>
              <w:t>PLR</w:t>
            </w:r>
          </w:p>
        </w:tc>
        <w:tc>
          <w:tcPr>
            <w:tcW w:type="dxa" w:w="3120"/>
          </w:tcPr>
          <w:p>
            <w:pPr>
              <w:spacing w:after="40" w:before="40"/>
            </w:pPr>
            <w:r>
              <w:rPr>
                <w:sz w:val="16"/>
              </w:rPr>
            </w:r>
            <w:r>
              <w:rPr>
                <w:rFonts w:ascii="Times New Roman" w:hAnsi="Times New Roman" w:eastAsia="Times New Roman"/>
                <w:b/>
                <w:i w:val="0"/>
                <w:sz w:val="16"/>
              </w:rPr>
              <w:t>14.3</w:t>
            </w:r>
          </w:p>
        </w:tc>
        <w:tc>
          <w:tcPr>
            <w:tcW w:type="dxa" w:w="3120"/>
          </w:tcPr>
          <w:p>
            <w:pPr>
              <w:spacing w:after="40" w:before="40"/>
            </w:pPr>
            <w:r>
              <w:rPr>
                <w:sz w:val="16"/>
              </w:rPr>
            </w:r>
            <w:r>
              <w:rPr>
                <w:rFonts w:ascii="Times New Roman" w:hAnsi="Times New Roman" w:eastAsia="Times New Roman"/>
                <w:b w:val="0"/>
                <w:i w:val="0"/>
                <w:sz w:val="16"/>
              </w:rPr>
              <w:t>7.5–26.5</w:t>
            </w:r>
          </w:p>
        </w:tc>
      </w:tr>
      <w:tr>
        <w:tc>
          <w:tcPr>
            <w:tcW w:type="dxa" w:w="3120"/>
          </w:tcPr>
          <w:p>
            <w:pPr>
              <w:spacing w:after="40" w:before="40"/>
            </w:pPr>
            <w:r>
              <w:rPr>
                <w:sz w:val="16"/>
              </w:rPr>
            </w:r>
            <w:r>
              <w:rPr>
                <w:rFonts w:ascii="Times New Roman" w:hAnsi="Times New Roman" w:eastAsia="Times New Roman"/>
                <w:b w:val="0"/>
                <w:i w:val="0"/>
                <w:sz w:val="16"/>
              </w:rPr>
              <w:t>NLR</w:t>
            </w:r>
          </w:p>
        </w:tc>
        <w:tc>
          <w:tcPr>
            <w:tcW w:type="dxa" w:w="3120"/>
          </w:tcPr>
          <w:p>
            <w:pPr>
              <w:spacing w:after="40" w:before="40"/>
            </w:pPr>
            <w:r>
              <w:rPr>
                <w:sz w:val="16"/>
              </w:rPr>
            </w:r>
            <w:r>
              <w:rPr>
                <w:rFonts w:ascii="Times New Roman" w:hAnsi="Times New Roman" w:eastAsia="Times New Roman"/>
                <w:b/>
                <w:i w:val="0"/>
                <w:sz w:val="16"/>
              </w:rPr>
              <w:t>0.14</w:t>
            </w:r>
          </w:p>
        </w:tc>
        <w:tc>
          <w:tcPr>
            <w:tcW w:type="dxa" w:w="3120"/>
          </w:tcPr>
          <w:p>
            <w:pPr>
              <w:spacing w:after="40" w:before="40"/>
            </w:pPr>
            <w:r>
              <w:rPr>
                <w:sz w:val="16"/>
              </w:rPr>
            </w:r>
            <w:r>
              <w:rPr>
                <w:rFonts w:ascii="Times New Roman" w:hAnsi="Times New Roman" w:eastAsia="Times New Roman"/>
                <w:b w:val="0"/>
                <w:i w:val="0"/>
                <w:sz w:val="16"/>
              </w:rPr>
              <w:t>0.07–0.26</w:t>
            </w:r>
          </w:p>
        </w:tc>
      </w:tr>
      <w:tr>
        <w:tc>
          <w:tcPr>
            <w:tcW w:type="dxa" w:w="3120"/>
          </w:tcPr>
          <w:p>
            <w:pPr>
              <w:spacing w:after="40" w:before="40"/>
            </w:pPr>
            <w:r>
              <w:rPr>
                <w:sz w:val="16"/>
              </w:rPr>
            </w:r>
            <w:r>
              <w:rPr>
                <w:rFonts w:ascii="Times New Roman" w:hAnsi="Times New Roman" w:eastAsia="Times New Roman"/>
                <w:b w:val="0"/>
                <w:i w:val="0"/>
                <w:sz w:val="16"/>
              </w:rPr>
              <w:t>DOR</w:t>
            </w:r>
          </w:p>
        </w:tc>
        <w:tc>
          <w:tcPr>
            <w:tcW w:type="dxa" w:w="3120"/>
          </w:tcPr>
          <w:p>
            <w:pPr>
              <w:spacing w:after="40" w:before="40"/>
            </w:pPr>
            <w:r>
              <w:rPr>
                <w:sz w:val="16"/>
              </w:rPr>
            </w:r>
            <w:r>
              <w:rPr>
                <w:rFonts w:ascii="Times New Roman" w:hAnsi="Times New Roman" w:eastAsia="Times New Roman"/>
                <w:b/>
                <w:i w:val="0"/>
                <w:sz w:val="16"/>
              </w:rPr>
              <w:t>101</w:t>
            </w:r>
          </w:p>
        </w:tc>
        <w:tc>
          <w:tcPr>
            <w:tcW w:type="dxa" w:w="3120"/>
          </w:tcPr>
          <w:p>
            <w:pPr>
              <w:spacing w:after="40" w:before="40"/>
            </w:pPr>
            <w:r>
              <w:rPr>
                <w:sz w:val="16"/>
              </w:rPr>
            </w:r>
            <w:r>
              <w:rPr>
                <w:rFonts w:ascii="Times New Roman" w:hAnsi="Times New Roman" w:eastAsia="Times New Roman"/>
                <w:b w:val="0"/>
                <w:i w:val="0"/>
                <w:sz w:val="16"/>
              </w:rPr>
              <w:t>30–333</w:t>
            </w:r>
          </w:p>
        </w:tc>
      </w:tr>
    </w:tbl>
    <w:p/>
    <w:p>
      <w:pPr>
        <w:jc w:val="both"/>
      </w:pPr>
      <w:r>
        <w:rPr>
          <w:rFonts w:ascii="Times New Roman" w:hAnsi="Times New Roman" w:eastAsia="Times New Roman"/>
          <w:b w:val="0"/>
          <w:i w:val="0"/>
          <w:sz w:val="22"/>
        </w:rPr>
        <w:t xml:space="preserve">Heterogeneity: Q for logit-sensitivity = 8.19 (df 4, </w:t>
      </w:r>
      <w:r>
        <w:rPr>
          <w:rFonts w:ascii="Times New Roman" w:hAnsi="Times New Roman" w:eastAsia="Times New Roman"/>
          <w:b w:val="0"/>
          <w:i/>
          <w:sz w:val="22"/>
        </w:rPr>
        <w:t>p</w:t>
      </w:r>
      <w:r>
        <w:rPr>
          <w:rFonts w:ascii="Times New Roman" w:hAnsi="Times New Roman" w:eastAsia="Times New Roman"/>
          <w:b w:val="0"/>
          <w:i w:val="0"/>
          <w:sz w:val="22"/>
        </w:rPr>
        <w:t xml:space="preserve"> = 0.085); I²_Se = </w:t>
      </w:r>
      <w:r>
        <w:rPr>
          <w:rFonts w:ascii="Times New Roman" w:hAnsi="Times New Roman" w:eastAsia="Times New Roman"/>
          <w:b/>
          <w:i w:val="0"/>
          <w:sz w:val="22"/>
        </w:rPr>
        <w:t>51%</w:t>
      </w:r>
      <w:r>
        <w:rPr>
          <w:rFonts w:ascii="Times New Roman" w:hAnsi="Times New Roman" w:eastAsia="Times New Roman"/>
          <w:b w:val="0"/>
          <w:i w:val="0"/>
          <w:sz w:val="22"/>
        </w:rPr>
        <w:t xml:space="preserve"> (moderate); τ²_Se (univariate DL) = 0.19. Q for logit-specificity = 6.17 (df 4, </w:t>
      </w:r>
      <w:r>
        <w:rPr>
          <w:rFonts w:ascii="Times New Roman" w:hAnsi="Times New Roman" w:eastAsia="Times New Roman"/>
          <w:b w:val="0"/>
          <w:i/>
          <w:sz w:val="22"/>
        </w:rPr>
        <w:t>p</w:t>
      </w:r>
      <w:r>
        <w:rPr>
          <w:rFonts w:ascii="Times New Roman" w:hAnsi="Times New Roman" w:eastAsia="Times New Roman"/>
          <w:b w:val="0"/>
          <w:i w:val="0"/>
          <w:sz w:val="22"/>
        </w:rPr>
        <w:t xml:space="preserve"> = 0.19); I²_Sp = </w:t>
      </w:r>
      <w:r>
        <w:rPr>
          <w:rFonts w:ascii="Times New Roman" w:hAnsi="Times New Roman" w:eastAsia="Times New Roman"/>
          <w:b/>
          <w:i w:val="0"/>
          <w:sz w:val="22"/>
        </w:rPr>
        <w:t>35%</w:t>
      </w:r>
      <w:r>
        <w:rPr>
          <w:rFonts w:ascii="Times New Roman" w:hAnsi="Times New Roman" w:eastAsia="Times New Roman"/>
          <w:b w:val="0"/>
          <w:i w:val="0"/>
          <w:sz w:val="22"/>
        </w:rPr>
        <w:t>; τ²_Sp = 0.13. Between-study correlation ρ = −0.97, consistent with a threshold-effect parameterization, but estimated from only five points and therefore unstable. Bivariate τ on the logit scale: 0.64 (sensitivity) and 0.47 (FPR).</w:t>
      </w:r>
    </w:p>
    <w:p>
      <w:pPr>
        <w:jc w:val="both"/>
      </w:pPr>
      <w:r>
        <w:rPr>
          <w:rFonts w:ascii="Times New Roman" w:hAnsi="Times New Roman" w:eastAsia="Times New Roman"/>
          <w:b w:val="0"/>
          <w:i w:val="0"/>
          <w:sz w:val="22"/>
        </w:rPr>
        <w:t>A PLR of 14.3 produces a large increase in post-test probability of acute dengue when FIA is positive [50]. An NLR of 0.14 produces only a moderate decrease; it is above the conventional 0.1 threshold for a strong rule-out test [50].</w:t>
      </w:r>
    </w:p>
    <w:p>
      <w:pPr>
        <w:spacing w:after="40"/>
        <w:jc w:val="center"/>
      </w:pPr>
      <w:r>
        <w:drawing>
          <wp:inline xmlns:a="http://schemas.openxmlformats.org/drawingml/2006/main" xmlns:pic="http://schemas.openxmlformats.org/drawingml/2006/picture">
            <wp:extent cx="5760720" cy="2699211"/>
            <wp:docPr id="4" name="Picture 4"/>
            <wp:cNvGraphicFramePr>
              <a:graphicFrameLocks noChangeAspect="1"/>
            </wp:cNvGraphicFramePr>
            <a:graphic>
              <a:graphicData uri="http://schemas.openxmlformats.org/drawingml/2006/picture">
                <pic:pic>
                  <pic:nvPicPr>
                    <pic:cNvPr id="0" name="coupled_forest_fia.png"/>
                    <pic:cNvPicPr/>
                  </pic:nvPicPr>
                  <pic:blipFill>
                    <a:blip r:embed="rId12"/>
                    <a:stretch>
                      <a:fillRect/>
                    </a:stretch>
                  </pic:blipFill>
                  <pic:spPr>
                    <a:xfrm>
                      <a:off x="0" y="0"/>
                      <a:ext cx="5760720" cy="2699211"/>
                    </a:xfrm>
                    <a:prstGeom prst="rect"/>
                  </pic:spPr>
                </pic:pic>
              </a:graphicData>
            </a:graphic>
          </wp:inline>
        </w:drawing>
      </w:r>
    </w:p>
    <w:p>
      <w:pPr>
        <w:jc w:val="center"/>
      </w:pPr>
      <w:r>
        <w:rPr>
          <w:rFonts w:ascii="Times New Roman" w:hAnsi="Times New Roman" w:eastAsia="Times New Roman"/>
          <w:b w:val="0"/>
          <w:i/>
          <w:sz w:val="18"/>
        </w:rPr>
        <w:t>Figure 4. Coupled forest plots</w:t>
      </w:r>
    </w:p>
    <w:p>
      <w:pPr>
        <w:jc w:val="both"/>
      </w:pPr>
      <w:r>
        <w:rPr>
          <w:rFonts w:ascii="Times New Roman" w:hAnsi="Times New Roman" w:eastAsia="Times New Roman"/>
          <w:b w:val="0"/>
          <w:i/>
          <w:sz w:val="22"/>
        </w:rPr>
        <w:t>Figure 4. Coupled forest plots of FIA sensitivity and specificity. Squares are study estimates with Wilson 95% CIs. The dashed line is the bivariate summary point; the shaded band is the 95% CI of that point.</w:t>
      </w:r>
    </w:p>
    <w:p>
      <w:pPr>
        <w:spacing w:after="40"/>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sroc_fia.png"/>
                    <pic:cNvPicPr/>
                  </pic:nvPicPr>
                  <pic:blipFill>
                    <a:blip r:embed="rId13"/>
                    <a:stretch>
                      <a:fillRect/>
                    </a:stretch>
                  </pic:blipFill>
                  <pic:spPr>
                    <a:xfrm>
                      <a:off x="0" y="0"/>
                      <a:ext cx="5760720" cy="5760720"/>
                    </a:xfrm>
                    <a:prstGeom prst="rect"/>
                  </pic:spPr>
                </pic:pic>
              </a:graphicData>
            </a:graphic>
          </wp:inline>
        </w:drawing>
      </w:r>
    </w:p>
    <w:p>
      <w:pPr>
        <w:jc w:val="center"/>
      </w:pPr>
      <w:r>
        <w:rPr>
          <w:rFonts w:ascii="Times New Roman" w:hAnsi="Times New Roman" w:eastAsia="Times New Roman"/>
          <w:b w:val="0"/>
          <w:i/>
          <w:sz w:val="18"/>
        </w:rPr>
        <w:t>Figure 5. SROC in the observed false-positive-rate region</w:t>
      </w:r>
    </w:p>
    <w:p>
      <w:pPr>
        <w:jc w:val="both"/>
      </w:pPr>
      <w:r>
        <w:rPr>
          <w:rFonts w:ascii="Times New Roman" w:hAnsi="Times New Roman" w:eastAsia="Times New Roman"/>
          <w:b w:val="0"/>
          <w:i/>
          <w:sz w:val="22"/>
        </w:rPr>
        <w:t>Figure 5. Study operating points and bivariate summary point in ROC space. The x-axis is restricted to FPR 0–0.25, the region occupied by all five studies. The global SROC implied by ρ ≈ −1 is not interpreted as an area-under-the-curve summary (Section 2.10).</w:t>
      </w:r>
    </w:p>
    <w:p>
      <w:pPr>
        <w:jc w:val="both"/>
      </w:pPr>
      <w:r>
        <w:rPr>
          <w:rFonts w:ascii="Times New Roman" w:hAnsi="Times New Roman" w:eastAsia="Times New Roman"/>
          <w:b w:val="0"/>
          <w:i w:val="0"/>
          <w:sz w:val="22"/>
        </w:rPr>
        <w:t>#### 3.4.2 FIA versus ELISA (paired, independent reference)</w:t>
      </w:r>
    </w:p>
    <w:p>
      <w:pPr>
        <w:jc w:val="both"/>
      </w:pPr>
      <w:r>
        <w:rPr>
          <w:rFonts w:ascii="Times New Roman" w:hAnsi="Times New Roman" w:eastAsia="Times New Roman"/>
          <w:b w:val="0"/>
          <w:i w:val="0"/>
          <w:sz w:val="22"/>
        </w:rPr>
        <w:t>No included study tested both FIA and NS1 ELISA against an independent molecular reference on the same specimens and published both 2×2 tables. Head-to-head bivariate comparison was therefore not performed.</w:t>
      </w:r>
    </w:p>
    <w:p>
      <w:pPr>
        <w:jc w:val="both"/>
      </w:pPr>
      <w:r>
        <w:rPr>
          <w:rFonts w:ascii="Times New Roman" w:hAnsi="Times New Roman" w:eastAsia="Times New Roman"/>
          <w:b w:val="0"/>
          <w:i w:val="0"/>
          <w:sz w:val="22"/>
        </w:rPr>
        <w:t xml:space="preserve">Two studies used NS1 ELISA as the reference for FIA (concordance, not independent accuracy): Ghogre 2021 Se 96.6% / Sp 96.4%; Pohekar 2017 Se 100% / Sp 98.4% [26,52]. These results indicate that QUANTI CARD closely tracks same-generation NS1 ELISA in those samples. They </w:t>
      </w:r>
      <w:r>
        <w:rPr>
          <w:rFonts w:ascii="Times New Roman" w:hAnsi="Times New Roman" w:eastAsia="Times New Roman"/>
          <w:b/>
          <w:i w:val="0"/>
          <w:sz w:val="22"/>
        </w:rPr>
        <w:t>inflate</w:t>
      </w:r>
      <w:r>
        <w:rPr>
          <w:rFonts w:ascii="Times New Roman" w:hAnsi="Times New Roman" w:eastAsia="Times New Roman"/>
          <w:b w:val="0"/>
          <w:i w:val="0"/>
          <w:sz w:val="22"/>
        </w:rPr>
        <w:t xml:space="preserve"> apparent FIA accuracy relative to RT-PCR because the same analyte is measured by two immunoassays (incorporation). They do not establish interchangeability of FIA and ELISA for surveillance case confirmation.</w:t>
      </w:r>
    </w:p>
    <w:p>
      <w:pPr>
        <w:jc w:val="both"/>
      </w:pPr>
      <w:r>
        <w:rPr>
          <w:rFonts w:ascii="Times New Roman" w:hAnsi="Times New Roman" w:eastAsia="Times New Roman"/>
          <w:b w:val="0"/>
          <w:i w:val="0"/>
          <w:sz w:val="22"/>
        </w:rPr>
        <w:t>Chaiyo et al. compared FIA and visual ICT against a composite RT-qPCR + antibody ELISA standard (not NS1 ELISA): FIA NS1 Se 79.1% / Sp 92.3% versus ICT NS1 Se 76.6% / Sp 92.3% [25]. That is a FIA versus ICT contrast, not FIA versus NS1 ELISA.</w:t>
      </w:r>
    </w:p>
    <w:p>
      <w:pPr>
        <w:jc w:val="both"/>
      </w:pPr>
      <w:r>
        <w:rPr>
          <w:rFonts w:ascii="Times New Roman" w:hAnsi="Times New Roman" w:eastAsia="Times New Roman"/>
          <w:b w:val="0"/>
          <w:i w:val="0"/>
          <w:sz w:val="22"/>
        </w:rPr>
        <w:t>#### 3.4.3 Exploratory subset: STANDARD F against non-ELISA-only references</w:t>
      </w:r>
    </w:p>
    <w:p>
      <w:pPr>
        <w:jc w:val="both"/>
      </w:pPr>
      <w:r>
        <w:rPr>
          <w:rFonts w:ascii="Times New Roman" w:hAnsi="Times New Roman" w:eastAsia="Times New Roman"/>
          <w:b w:val="0"/>
          <w:i w:val="0"/>
          <w:sz w:val="22"/>
        </w:rPr>
        <w:t>The three STANDARD F studies are exactly the three studies that did not use NS1 ELISA as the sole reference (Chaiyo, Zapata-de la Cruz, Zuroidah). Exploratory bivariate pooling (k = 3, below the protocol threshold of 4; interpret with caution):</w:t>
      </w:r>
    </w:p>
    <w:p>
      <w:pPr>
        <w:pStyle w:val="ListBullet"/>
      </w:pPr>
      <w:r>
        <w:rPr>
          <w:rFonts w:ascii="Times New Roman" w:hAnsi="Times New Roman" w:eastAsia="Times New Roman"/>
          <w:b w:val="0"/>
          <w:i w:val="0"/>
          <w:sz w:val="22"/>
        </w:rPr>
        <w:t xml:space="preserve">Sensitivity </w:t>
      </w:r>
      <w:r>
        <w:rPr>
          <w:rFonts w:ascii="Times New Roman" w:hAnsi="Times New Roman" w:eastAsia="Times New Roman"/>
          <w:b/>
          <w:i w:val="0"/>
          <w:sz w:val="22"/>
        </w:rPr>
        <w:t>80.5%</w:t>
      </w:r>
      <w:r>
        <w:rPr>
          <w:rFonts w:ascii="Times New Roman" w:hAnsi="Times New Roman" w:eastAsia="Times New Roman"/>
          <w:b w:val="0"/>
          <w:i w:val="0"/>
          <w:sz w:val="22"/>
        </w:rPr>
        <w:t xml:space="preserve"> (75.1–85.0)</w:t>
      </w:r>
    </w:p>
    <w:p>
      <w:pPr>
        <w:pStyle w:val="ListBullet"/>
      </w:pPr>
      <w:r>
        <w:rPr>
          <w:rFonts w:ascii="Times New Roman" w:hAnsi="Times New Roman" w:eastAsia="Times New Roman"/>
          <w:b w:val="0"/>
          <w:i w:val="0"/>
          <w:sz w:val="22"/>
        </w:rPr>
        <w:t xml:space="preserve">Specificity </w:t>
      </w:r>
      <w:r>
        <w:rPr>
          <w:rFonts w:ascii="Times New Roman" w:hAnsi="Times New Roman" w:eastAsia="Times New Roman"/>
          <w:b/>
          <w:i w:val="0"/>
          <w:sz w:val="22"/>
        </w:rPr>
        <w:t>91.5%</w:t>
      </w:r>
      <w:r>
        <w:rPr>
          <w:rFonts w:ascii="Times New Roman" w:hAnsi="Times New Roman" w:eastAsia="Times New Roman"/>
          <w:b w:val="0"/>
          <w:i w:val="0"/>
          <w:sz w:val="22"/>
        </w:rPr>
        <w:t xml:space="preserve"> (87.7–94.2)</w:t>
      </w:r>
    </w:p>
    <w:p>
      <w:pPr>
        <w:jc w:val="both"/>
      </w:pPr>
      <w:r>
        <w:rPr>
          <w:rFonts w:ascii="Times New Roman" w:hAnsi="Times New Roman" w:eastAsia="Times New Roman"/>
          <w:b w:val="0"/>
          <w:i w:val="0"/>
          <w:sz w:val="22"/>
        </w:rPr>
        <w:t>This operating point is closer to published visual NS1 ICT meta-analysis sensitivity (about 71%) than the five-study primary model, because the two QUANTI CARD versus ELISA studies no longer pull sensitivity upward [29].</w:t>
      </w:r>
    </w:p>
    <w:p>
      <w:pPr>
        <w:jc w:val="both"/>
      </w:pPr>
      <w:r>
        <w:rPr>
          <w:rFonts w:ascii="Times New Roman" w:hAnsi="Times New Roman" w:eastAsia="Times New Roman"/>
          <w:b w:val="0"/>
          <w:i w:val="0"/>
          <w:sz w:val="22"/>
        </w:rPr>
        <w:t>Documented fever ≤7 days (Chaiyo, Zapata-de la Cruz only; k = 2, not pooled): Se 79.1% and 84.4%; Sp 92.3% and 88.8%.</w:t>
      </w:r>
    </w:p>
    <w:p>
      <w:pPr>
        <w:pStyle w:val="Heading3"/>
      </w:pPr>
      <w:r>
        <w:t>3.5 Subgroups and meta-regression</w:t>
      </w:r>
    </w:p>
    <w:p>
      <w:pPr>
        <w:jc w:val="both"/>
      </w:pPr>
      <w:r>
        <w:rPr>
          <w:rFonts w:ascii="Times New Roman" w:hAnsi="Times New Roman" w:eastAsia="Times New Roman"/>
          <w:b w:val="0"/>
          <w:i w:val="0"/>
          <w:sz w:val="22"/>
        </w:rPr>
        <w:t>No pre-specified subgroup had ≥4 studies. Fever day 0–3 vs 4–7, primary vs secondary infection, serotype, and region were not modelled. Univariable bivariate meta-regression was not interpreted: with k = 5, likelihood-ratio tests on categorical covariates are anti-conservative.</w:t>
      </w:r>
    </w:p>
    <w:p>
      <w:pPr>
        <w:pStyle w:val="Heading3"/>
      </w:pPr>
      <w:r>
        <w:t>3.6 Publication bias and sensitivity analyses</w:t>
      </w:r>
    </w:p>
    <w:p>
      <w:pPr>
        <w:jc w:val="both"/>
      </w:pPr>
      <w:r>
        <w:rPr>
          <w:rFonts w:ascii="Times New Roman" w:hAnsi="Times New Roman" w:eastAsia="Times New Roman"/>
          <w:b w:val="0"/>
          <w:i w:val="0"/>
          <w:sz w:val="22"/>
        </w:rPr>
        <w:t xml:space="preserve">Deeks’ test: slope 39.9 (SE 32.2), t = 1.24, </w:t>
      </w:r>
      <w:r>
        <w:rPr>
          <w:rFonts w:ascii="Times New Roman" w:hAnsi="Times New Roman" w:eastAsia="Times New Roman"/>
          <w:b/>
          <w:i w:val="0"/>
          <w:sz w:val="22"/>
        </w:rPr>
        <w:t>p = 0.30</w:t>
      </w:r>
      <w:r>
        <w:rPr>
          <w:rFonts w:ascii="Times New Roman" w:hAnsi="Times New Roman" w:eastAsia="Times New Roman"/>
          <w:b w:val="0"/>
          <w:i w:val="0"/>
          <w:sz w:val="22"/>
        </w:rPr>
        <w:t xml:space="preserve">. There is no statistically significant small-study effect at α = 0.10, but k = 5 has very low power [45]. The result is </w:t>
      </w:r>
      <w:r>
        <w:rPr>
          <w:rFonts w:ascii="Times New Roman" w:hAnsi="Times New Roman" w:eastAsia="Times New Roman"/>
          <w:b/>
          <w:i w:val="0"/>
          <w:sz w:val="22"/>
        </w:rPr>
        <w:t>inconclusive</w:t>
      </w:r>
      <w:r>
        <w:rPr>
          <w:rFonts w:ascii="Times New Roman" w:hAnsi="Times New Roman" w:eastAsia="Times New Roman"/>
          <w:b w:val="0"/>
          <w:i w:val="0"/>
          <w:sz w:val="22"/>
        </w:rPr>
        <w:t>.</w:t>
      </w:r>
    </w:p>
    <w:p>
      <w:pPr>
        <w:spacing w:after="40"/>
        <w:jc w:val="center"/>
      </w:pPr>
      <w:r>
        <w:drawing>
          <wp:inline xmlns:a="http://schemas.openxmlformats.org/drawingml/2006/main" xmlns:pic="http://schemas.openxmlformats.org/drawingml/2006/picture">
            <wp:extent cx="5760720" cy="5183996"/>
            <wp:docPr id="6" name="Picture 6"/>
            <wp:cNvGraphicFramePr>
              <a:graphicFrameLocks noChangeAspect="1"/>
            </wp:cNvGraphicFramePr>
            <a:graphic>
              <a:graphicData uri="http://schemas.openxmlformats.org/drawingml/2006/picture">
                <pic:pic>
                  <pic:nvPicPr>
                    <pic:cNvPr id="0" name="deeks_funnel.png"/>
                    <pic:cNvPicPr/>
                  </pic:nvPicPr>
                  <pic:blipFill>
                    <a:blip r:embed="rId14"/>
                    <a:stretch>
                      <a:fillRect/>
                    </a:stretch>
                  </pic:blipFill>
                  <pic:spPr>
                    <a:xfrm>
                      <a:off x="0" y="0"/>
                      <a:ext cx="5760720" cy="5183996"/>
                    </a:xfrm>
                    <a:prstGeom prst="rect"/>
                  </pic:spPr>
                </pic:pic>
              </a:graphicData>
            </a:graphic>
          </wp:inline>
        </w:drawing>
      </w:r>
    </w:p>
    <w:p>
      <w:pPr>
        <w:jc w:val="center"/>
      </w:pPr>
      <w:r>
        <w:rPr>
          <w:rFonts w:ascii="Times New Roman" w:hAnsi="Times New Roman" w:eastAsia="Times New Roman"/>
          <w:b w:val="0"/>
          <w:i/>
          <w:sz w:val="18"/>
        </w:rPr>
        <w:t>Figure 6. Deeks' funnel plot</w:t>
      </w:r>
    </w:p>
    <w:p>
      <w:pPr>
        <w:jc w:val="both"/>
      </w:pPr>
      <w:r>
        <w:rPr>
          <w:rFonts w:ascii="Times New Roman" w:hAnsi="Times New Roman" w:eastAsia="Times New Roman"/>
          <w:b w:val="0"/>
          <w:i/>
          <w:sz w:val="22"/>
        </w:rPr>
        <w:t>Figure 6. Deeks’ funnel plot of ln(DOR) against 1/√ESS.</w:t>
      </w:r>
    </w:p>
    <w:p>
      <w:pPr>
        <w:jc w:val="both"/>
      </w:pPr>
      <w:r>
        <w:rPr>
          <w:rFonts w:ascii="Times New Roman" w:hAnsi="Times New Roman" w:eastAsia="Times New Roman"/>
          <w:b/>
          <w:i w:val="0"/>
          <w:sz w:val="22"/>
        </w:rPr>
        <w:t>Table 7. Sensitivity of the summary operating point</w:t>
      </w:r>
    </w:p>
    <w:p>
      <w:pPr>
        <w:jc w:val="both"/>
      </w:pPr>
      <w:r>
        <w:rPr>
          <w:rFonts w:ascii="Times New Roman" w:hAnsi="Times New Roman" w:eastAsia="Times New Roman"/>
          <w:b w:val="0"/>
          <w:i w:val="0"/>
          <w:sz w:val="22"/>
        </w:rPr>
        <w:t>| Analysis | k | Sensitivity | Specificity |</w:t>
      </w:r>
    </w:p>
    <w:p>
      <w:pPr>
        <w:jc w:val="both"/>
      </w:pPr>
      <w:r>
        <w:rPr>
          <w:rFonts w:ascii="Times New Roman" w:hAnsi="Times New Roman" w:eastAsia="Times New Roman"/>
          <w:b w:val="0"/>
          <w:i w:val="0"/>
          <w:sz w:val="22"/>
        </w:rPr>
        <w:t>|----------|--:|-------------|-------------|</w:t>
      </w:r>
    </w:p>
    <w:p>
      <w:pPr>
        <w:jc w:val="both"/>
      </w:pPr>
      <w:r>
        <w:rPr>
          <w:rFonts w:ascii="Times New Roman" w:hAnsi="Times New Roman" w:eastAsia="Times New Roman"/>
          <w:b w:val="0"/>
          <w:i w:val="0"/>
          <w:sz w:val="22"/>
        </w:rPr>
        <w:t>| Primary (CC 0.5, zero-cell studies only) | 5 | 86.7% | 94.0% |</w:t>
      </w:r>
    </w:p>
    <w:p>
      <w:pPr>
        <w:jc w:val="both"/>
      </w:pPr>
      <w:r>
        <w:rPr>
          <w:rFonts w:ascii="Times New Roman" w:hAnsi="Times New Roman" w:eastAsia="Times New Roman"/>
          <w:b w:val="0"/>
          <w:i w:val="0"/>
          <w:sz w:val="22"/>
        </w:rPr>
        <w:t>| CC 0.5 applied to all four cells of all studies | 5 | 85.2% | 93.6% |</w:t>
      </w:r>
    </w:p>
    <w:p>
      <w:pPr>
        <w:jc w:val="both"/>
      </w:pPr>
      <w:r>
        <w:rPr>
          <w:rFonts w:ascii="Times New Roman" w:hAnsi="Times New Roman" w:eastAsia="Times New Roman"/>
          <w:b w:val="0"/>
          <w:i w:val="0"/>
          <w:sz w:val="22"/>
        </w:rPr>
        <w:t>| CC 0.1 (zero-cell studies) | 5 | 82.1% | 93.6% |</w:t>
      </w:r>
    </w:p>
    <w:p>
      <w:pPr>
        <w:jc w:val="both"/>
      </w:pPr>
      <w:r>
        <w:rPr>
          <w:rFonts w:ascii="Times New Roman" w:hAnsi="Times New Roman" w:eastAsia="Times New Roman"/>
          <w:b w:val="0"/>
          <w:i w:val="0"/>
          <w:sz w:val="22"/>
        </w:rPr>
        <w:t>| CC 1.0 (zero-cell studies) | 5 | 87.2% | 93.7% |</w:t>
      </w:r>
    </w:p>
    <w:p>
      <w:pPr>
        <w:jc w:val="both"/>
      </w:pPr>
      <w:r>
        <w:rPr>
          <w:rFonts w:ascii="Times New Roman" w:hAnsi="Times New Roman" w:eastAsia="Times New Roman"/>
          <w:b w:val="0"/>
          <w:i w:val="0"/>
          <w:sz w:val="22"/>
        </w:rPr>
        <w:t>| STANDARD F / non-ELISA-only reference | 3 | 80.5% | 91.5% |</w:t>
      </w:r>
    </w:p>
    <w:p>
      <w:pPr>
        <w:jc w:val="both"/>
      </w:pPr>
      <w:r>
        <w:rPr>
          <w:rFonts w:ascii="Times New Roman" w:hAnsi="Times New Roman" w:eastAsia="Times New Roman"/>
          <w:b w:val="0"/>
          <w:i w:val="0"/>
          <w:sz w:val="22"/>
        </w:rPr>
        <w:t>| Leave out Chaiyo 2022 | 4 | 91.2% | 94.2% |</w:t>
      </w:r>
    </w:p>
    <w:p>
      <w:pPr>
        <w:jc w:val="both"/>
      </w:pPr>
      <w:r>
        <w:rPr>
          <w:rFonts w:ascii="Times New Roman" w:hAnsi="Times New Roman" w:eastAsia="Times New Roman"/>
          <w:b w:val="0"/>
          <w:i w:val="0"/>
          <w:sz w:val="22"/>
        </w:rPr>
        <w:t>| Leave out Zapata-de la Cruz 2026 | 4 | 89.9% | 95.2% |</w:t>
      </w:r>
    </w:p>
    <w:p>
      <w:pPr>
        <w:jc w:val="both"/>
      </w:pPr>
      <w:r>
        <w:rPr>
          <w:rFonts w:ascii="Times New Roman" w:hAnsi="Times New Roman" w:eastAsia="Times New Roman"/>
          <w:b w:val="0"/>
          <w:i w:val="0"/>
          <w:sz w:val="22"/>
        </w:rPr>
        <w:t>| Leave out Ghogre 2021 | 4 | 81.0% | 92.1% |</w:t>
      </w:r>
    </w:p>
    <w:p>
      <w:pPr>
        <w:jc w:val="both"/>
      </w:pPr>
      <w:r>
        <w:rPr>
          <w:rFonts w:ascii="Times New Roman" w:hAnsi="Times New Roman" w:eastAsia="Times New Roman"/>
          <w:b w:val="0"/>
          <w:i w:val="0"/>
          <w:sz w:val="22"/>
        </w:rPr>
        <w:t>| Leave out Zuroidah 2022 | 4 | 91.1% | 94.3% |</w:t>
      </w:r>
    </w:p>
    <w:p>
      <w:pPr>
        <w:jc w:val="both"/>
      </w:pPr>
      <w:r>
        <w:rPr>
          <w:rFonts w:ascii="Times New Roman" w:hAnsi="Times New Roman" w:eastAsia="Times New Roman"/>
          <w:b w:val="0"/>
          <w:i w:val="0"/>
          <w:sz w:val="22"/>
        </w:rPr>
        <w:t>| Leave out Pohekar 2017 | 4 | 81.1% | 92.0% |</w:t>
      </w:r>
    </w:p>
    <w:p>
      <w:pPr>
        <w:jc w:val="both"/>
      </w:pPr>
      <w:r>
        <w:rPr>
          <w:rFonts w:ascii="Times New Roman" w:hAnsi="Times New Roman" w:eastAsia="Times New Roman"/>
          <w:b w:val="0"/>
          <w:i w:val="0"/>
          <w:sz w:val="22"/>
        </w:rPr>
        <w:t>The summary point is sensitive to the two QUANTI CARD versus ELISA studies: dropping either Ghogre or Pohekar 2017 lowers pooled sensitivity to about 81%, which matches the STANDARD F subset. Continuity correction 0.1 (more conservative for zero false positives/false negatives) lowers sensitivity to 82.1%. Specificity is stable (92–95%) across analyses.</w:t>
      </w:r>
    </w:p>
    <w:p>
      <w:pPr>
        <w:pStyle w:val="Heading3"/>
      </w:pPr>
      <w:r>
        <w:t>3.7 Certainty of evidence (GRADE)</w:t>
      </w:r>
    </w:p>
    <w:p>
      <w:pPr>
        <w:jc w:val="both"/>
      </w:pPr>
      <w:r>
        <w:rPr>
          <w:rFonts w:ascii="Times New Roman" w:hAnsi="Times New Roman" w:eastAsia="Times New Roman"/>
          <w:b/>
          <w:i w:val="0"/>
          <w:sz w:val="22"/>
        </w:rPr>
        <w:t>Table 8. GRADE for DTA</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b/>
                <w:sz w:val="16"/>
              </w:rPr>
            </w:r>
            <w:r>
              <w:rPr>
                <w:rFonts w:ascii="Times New Roman" w:hAnsi="Times New Roman" w:eastAsia="Times New Roman"/>
                <w:b/>
                <w:i w:val="0"/>
                <w:sz w:val="16"/>
              </w:rPr>
              <w:t>Outcome</w:t>
            </w:r>
          </w:p>
        </w:tc>
        <w:tc>
          <w:tcPr>
            <w:tcW w:type="dxa" w:w="1040"/>
          </w:tcPr>
          <w:p>
            <w:pPr>
              <w:spacing w:after="40" w:before="40"/>
            </w:pPr>
            <w:r>
              <w:rPr>
                <w:b/>
                <w:sz w:val="16"/>
              </w:rPr>
            </w:r>
            <w:r>
              <w:rPr>
                <w:rFonts w:ascii="Times New Roman" w:hAnsi="Times New Roman" w:eastAsia="Times New Roman"/>
                <w:b/>
                <w:i w:val="0"/>
                <w:sz w:val="16"/>
              </w:rPr>
              <w:t>k, N</w:t>
            </w:r>
          </w:p>
        </w:tc>
        <w:tc>
          <w:tcPr>
            <w:tcW w:type="dxa" w:w="1040"/>
          </w:tcPr>
          <w:p>
            <w:pPr>
              <w:spacing w:after="40" w:before="40"/>
            </w:pPr>
            <w:r>
              <w:rPr>
                <w:b/>
                <w:sz w:val="16"/>
              </w:rPr>
            </w:r>
            <w:r>
              <w:rPr>
                <w:rFonts w:ascii="Times New Roman" w:hAnsi="Times New Roman" w:eastAsia="Times New Roman"/>
                <w:b/>
                <w:i w:val="0"/>
                <w:sz w:val="16"/>
              </w:rPr>
              <w:t>Risk of bias</w:t>
            </w:r>
          </w:p>
        </w:tc>
        <w:tc>
          <w:tcPr>
            <w:tcW w:type="dxa" w:w="1040"/>
          </w:tcPr>
          <w:p>
            <w:pPr>
              <w:spacing w:after="40" w:before="40"/>
            </w:pPr>
            <w:r>
              <w:rPr>
                <w:b/>
                <w:sz w:val="16"/>
              </w:rPr>
            </w:r>
            <w:r>
              <w:rPr>
                <w:rFonts w:ascii="Times New Roman" w:hAnsi="Times New Roman" w:eastAsia="Times New Roman"/>
                <w:b/>
                <w:i w:val="0"/>
                <w:sz w:val="16"/>
              </w:rPr>
              <w:t>Inconsistency</w:t>
            </w:r>
          </w:p>
        </w:tc>
        <w:tc>
          <w:tcPr>
            <w:tcW w:type="dxa" w:w="1040"/>
          </w:tcPr>
          <w:p>
            <w:pPr>
              <w:spacing w:after="40" w:before="40"/>
            </w:pPr>
            <w:r>
              <w:rPr>
                <w:b/>
                <w:sz w:val="16"/>
              </w:rPr>
            </w:r>
            <w:r>
              <w:rPr>
                <w:rFonts w:ascii="Times New Roman" w:hAnsi="Times New Roman" w:eastAsia="Times New Roman"/>
                <w:b/>
                <w:i w:val="0"/>
                <w:sz w:val="16"/>
              </w:rPr>
              <w:t>Indirectness</w:t>
            </w:r>
          </w:p>
        </w:tc>
        <w:tc>
          <w:tcPr>
            <w:tcW w:type="dxa" w:w="1040"/>
          </w:tcPr>
          <w:p>
            <w:pPr>
              <w:spacing w:after="40" w:before="40"/>
            </w:pPr>
            <w:r>
              <w:rPr>
                <w:b/>
                <w:sz w:val="16"/>
              </w:rPr>
            </w:r>
            <w:r>
              <w:rPr>
                <w:rFonts w:ascii="Times New Roman" w:hAnsi="Times New Roman" w:eastAsia="Times New Roman"/>
                <w:b/>
                <w:i w:val="0"/>
                <w:sz w:val="16"/>
              </w:rPr>
              <w:t>Imprecision</w:t>
            </w:r>
          </w:p>
        </w:tc>
        <w:tc>
          <w:tcPr>
            <w:tcW w:type="dxa" w:w="1040"/>
          </w:tcPr>
          <w:p>
            <w:pPr>
              <w:spacing w:after="40" w:before="40"/>
            </w:pPr>
            <w:r>
              <w:rPr>
                <w:b/>
                <w:sz w:val="16"/>
              </w:rPr>
            </w:r>
            <w:r>
              <w:rPr>
                <w:rFonts w:ascii="Times New Roman" w:hAnsi="Times New Roman" w:eastAsia="Times New Roman"/>
                <w:b/>
                <w:i w:val="0"/>
                <w:sz w:val="16"/>
              </w:rPr>
              <w:t>Publication bias</w:t>
            </w:r>
          </w:p>
        </w:tc>
        <w:tc>
          <w:tcPr>
            <w:tcW w:type="dxa" w:w="1040"/>
          </w:tcPr>
          <w:p>
            <w:pPr>
              <w:spacing w:after="40" w:before="40"/>
            </w:pPr>
            <w:r>
              <w:rPr>
                <w:b/>
                <w:sz w:val="16"/>
              </w:rPr>
            </w:r>
            <w:r>
              <w:rPr>
                <w:rFonts w:ascii="Times New Roman" w:hAnsi="Times New Roman" w:eastAsia="Times New Roman"/>
                <w:b/>
                <w:i w:val="0"/>
                <w:sz w:val="16"/>
              </w:rPr>
              <w:t>Certainty</w:t>
            </w:r>
          </w:p>
        </w:tc>
        <w:tc>
          <w:tcPr>
            <w:tcW w:type="dxa" w:w="1040"/>
          </w:tcPr>
          <w:p>
            <w:pPr>
              <w:spacing w:after="40" w:before="40"/>
            </w:pPr>
            <w:r>
              <w:rPr>
                <w:b/>
                <w:sz w:val="16"/>
              </w:rPr>
            </w:r>
            <w:r>
              <w:rPr>
                <w:rFonts w:ascii="Times New Roman" w:hAnsi="Times New Roman" w:eastAsia="Times New Roman"/>
                <w:b/>
                <w:i w:val="0"/>
                <w:sz w:val="16"/>
              </w:rPr>
              <w:t>Estimate (95% CI)</w:t>
            </w:r>
          </w:p>
        </w:tc>
      </w:tr>
      <w:tr>
        <w:tc>
          <w:tcPr>
            <w:tcW w:type="dxa" w:w="1040"/>
          </w:tcPr>
          <w:p>
            <w:pPr>
              <w:spacing w:after="40" w:before="40"/>
            </w:pPr>
            <w:r>
              <w:rPr>
                <w:sz w:val="16"/>
              </w:rPr>
            </w:r>
            <w:r>
              <w:rPr>
                <w:rFonts w:ascii="Times New Roman" w:hAnsi="Times New Roman" w:eastAsia="Times New Roman"/>
                <w:b w:val="0"/>
                <w:i w:val="0"/>
                <w:sz w:val="16"/>
              </w:rPr>
              <w:t>Sensitivity</w:t>
            </w:r>
          </w:p>
        </w:tc>
        <w:tc>
          <w:tcPr>
            <w:tcW w:type="dxa" w:w="1040"/>
          </w:tcPr>
          <w:p>
            <w:pPr>
              <w:spacing w:after="40" w:before="40"/>
            </w:pPr>
            <w:r>
              <w:rPr>
                <w:sz w:val="16"/>
              </w:rPr>
            </w:r>
            <w:r>
              <w:rPr>
                <w:rFonts w:ascii="Times New Roman" w:hAnsi="Times New Roman" w:eastAsia="Times New Roman"/>
                <w:b w:val="0"/>
                <w:i w:val="0"/>
                <w:sz w:val="16"/>
              </w:rPr>
              <w:t>5 studies; 320 DENV+</w:t>
            </w:r>
          </w:p>
        </w:tc>
        <w:tc>
          <w:tcPr>
            <w:tcW w:type="dxa" w:w="1040"/>
          </w:tcPr>
          <w:p>
            <w:pPr>
              <w:spacing w:after="40" w:before="40"/>
            </w:pPr>
            <w:r>
              <w:rPr>
                <w:sz w:val="16"/>
              </w:rPr>
            </w:r>
            <w:r>
              <w:rPr>
                <w:rFonts w:ascii="Times New Roman" w:hAnsi="Times New Roman" w:eastAsia="Times New Roman"/>
                <w:b w:val="0"/>
                <w:i w:val="0"/>
                <w:sz w:val="16"/>
              </w:rPr>
              <w:t>Serious (3/5 High overall; two-gate/enrichment)</w:t>
            </w:r>
          </w:p>
        </w:tc>
        <w:tc>
          <w:tcPr>
            <w:tcW w:type="dxa" w:w="1040"/>
          </w:tcPr>
          <w:p>
            <w:pPr>
              <w:spacing w:after="40" w:before="40"/>
            </w:pPr>
            <w:r>
              <w:rPr>
                <w:sz w:val="16"/>
              </w:rPr>
            </w:r>
            <w:r>
              <w:rPr>
                <w:rFonts w:ascii="Times New Roman" w:hAnsi="Times New Roman" w:eastAsia="Times New Roman"/>
                <w:b w:val="0"/>
                <w:i w:val="0"/>
                <w:sz w:val="16"/>
              </w:rPr>
              <w:t>Serious (I² 51%; reference-standard mix)</w:t>
            </w:r>
          </w:p>
        </w:tc>
        <w:tc>
          <w:tcPr>
            <w:tcW w:type="dxa" w:w="1040"/>
          </w:tcPr>
          <w:p>
            <w:pPr>
              <w:spacing w:after="40" w:before="40"/>
            </w:pPr>
            <w:r>
              <w:rPr>
                <w:sz w:val="16"/>
              </w:rPr>
            </w:r>
            <w:r>
              <w:rPr>
                <w:rFonts w:ascii="Times New Roman" w:hAnsi="Times New Roman" w:eastAsia="Times New Roman"/>
                <w:b w:val="0"/>
                <w:i w:val="0"/>
                <w:sz w:val="16"/>
              </w:rPr>
              <w:t>Serious (ELISA-as-truth in 2 studies; incomplete dual screening)</w:t>
            </w:r>
          </w:p>
        </w:tc>
        <w:tc>
          <w:tcPr>
            <w:tcW w:type="dxa" w:w="1040"/>
          </w:tcPr>
          <w:p>
            <w:pPr>
              <w:spacing w:after="40" w:before="40"/>
            </w:pPr>
            <w:r>
              <w:rPr>
                <w:sz w:val="16"/>
              </w:rPr>
            </w:r>
            <w:r>
              <w:rPr>
                <w:rFonts w:ascii="Times New Roman" w:hAnsi="Times New Roman" w:eastAsia="Times New Roman"/>
                <w:b w:val="0"/>
                <w:i w:val="0"/>
                <w:sz w:val="16"/>
              </w:rPr>
              <w:t>Serious (CI width 17 percentage points)</w:t>
            </w:r>
          </w:p>
        </w:tc>
        <w:tc>
          <w:tcPr>
            <w:tcW w:type="dxa" w:w="1040"/>
          </w:tcPr>
          <w:p>
            <w:pPr>
              <w:spacing w:after="40" w:before="40"/>
            </w:pPr>
            <w:r>
              <w:rPr>
                <w:sz w:val="16"/>
              </w:rPr>
            </w:r>
            <w:r>
              <w:rPr>
                <w:rFonts w:ascii="Times New Roman" w:hAnsi="Times New Roman" w:eastAsia="Times New Roman"/>
                <w:b w:val="0"/>
                <w:i w:val="0"/>
                <w:sz w:val="16"/>
              </w:rPr>
              <w:t>Unclear (Deeks underpowered)</w:t>
            </w:r>
          </w:p>
        </w:tc>
        <w:tc>
          <w:tcPr>
            <w:tcW w:type="dxa" w:w="1040"/>
          </w:tcPr>
          <w:p>
            <w:pPr>
              <w:spacing w:after="40" w:before="40"/>
            </w:pPr>
            <w:r>
              <w:rPr>
                <w:sz w:val="16"/>
              </w:rPr>
            </w:r>
            <w:r>
              <w:rPr>
                <w:rFonts w:ascii="Times New Roman" w:hAnsi="Times New Roman" w:eastAsia="Times New Roman"/>
                <w:b/>
                <w:i w:val="0"/>
                <w:sz w:val="16"/>
              </w:rPr>
              <w:t>⊕⊝⊝⊝ Very low</w:t>
            </w:r>
          </w:p>
        </w:tc>
        <w:tc>
          <w:tcPr>
            <w:tcW w:type="dxa" w:w="1040"/>
          </w:tcPr>
          <w:p>
            <w:pPr>
              <w:spacing w:after="40" w:before="40"/>
            </w:pPr>
            <w:r>
              <w:rPr>
                <w:sz w:val="16"/>
              </w:rPr>
            </w:r>
            <w:r>
              <w:rPr>
                <w:rFonts w:ascii="Times New Roman" w:hAnsi="Times New Roman" w:eastAsia="Times New Roman"/>
                <w:b w:val="0"/>
                <w:i w:val="0"/>
                <w:sz w:val="16"/>
              </w:rPr>
              <w:t>86.7% (76.0–93.1)</w:t>
            </w:r>
          </w:p>
        </w:tc>
      </w:tr>
      <w:tr>
        <w:tc>
          <w:tcPr>
            <w:tcW w:type="dxa" w:w="1040"/>
          </w:tcPr>
          <w:p>
            <w:pPr>
              <w:spacing w:after="40" w:before="40"/>
            </w:pPr>
            <w:r>
              <w:rPr>
                <w:sz w:val="16"/>
              </w:rPr>
            </w:r>
            <w:r>
              <w:rPr>
                <w:rFonts w:ascii="Times New Roman" w:hAnsi="Times New Roman" w:eastAsia="Times New Roman"/>
                <w:b w:val="0"/>
                <w:i w:val="0"/>
                <w:sz w:val="16"/>
              </w:rPr>
              <w:t>Specificity</w:t>
            </w:r>
          </w:p>
        </w:tc>
        <w:tc>
          <w:tcPr>
            <w:tcW w:type="dxa" w:w="1040"/>
          </w:tcPr>
          <w:p>
            <w:pPr>
              <w:spacing w:after="40" w:before="40"/>
            </w:pPr>
            <w:r>
              <w:rPr>
                <w:sz w:val="16"/>
              </w:rPr>
            </w:r>
            <w:r>
              <w:rPr>
                <w:rFonts w:ascii="Times New Roman" w:hAnsi="Times New Roman" w:eastAsia="Times New Roman"/>
                <w:b w:val="0"/>
                <w:i w:val="0"/>
                <w:sz w:val="16"/>
              </w:rPr>
              <w:t>5 studies; 474 DENV−</w:t>
            </w:r>
          </w:p>
        </w:tc>
        <w:tc>
          <w:tcPr>
            <w:tcW w:type="dxa" w:w="1040"/>
          </w:tcPr>
          <w:p>
            <w:pPr>
              <w:spacing w:after="40" w:before="40"/>
            </w:pPr>
            <w:r>
              <w:rPr>
                <w:sz w:val="16"/>
              </w:rPr>
            </w:r>
            <w:r>
              <w:rPr>
                <w:rFonts w:ascii="Times New Roman" w:hAnsi="Times New Roman" w:eastAsia="Times New Roman"/>
                <w:b w:val="0"/>
                <w:i w:val="0"/>
                <w:sz w:val="16"/>
              </w:rPr>
              <w:t>Serious</w:t>
            </w:r>
          </w:p>
        </w:tc>
        <w:tc>
          <w:tcPr>
            <w:tcW w:type="dxa" w:w="1040"/>
          </w:tcPr>
          <w:p>
            <w:pPr>
              <w:spacing w:after="40" w:before="40"/>
            </w:pPr>
            <w:r>
              <w:rPr>
                <w:sz w:val="16"/>
              </w:rPr>
            </w:r>
            <w:r>
              <w:rPr>
                <w:rFonts w:ascii="Times New Roman" w:hAnsi="Times New Roman" w:eastAsia="Times New Roman"/>
                <w:b w:val="0"/>
                <w:i w:val="0"/>
                <w:sz w:val="16"/>
              </w:rPr>
              <w:t>Not serious (I² 35%)</w:t>
            </w:r>
          </w:p>
        </w:tc>
        <w:tc>
          <w:tcPr>
            <w:tcW w:type="dxa" w:w="1040"/>
          </w:tcPr>
          <w:p>
            <w:pPr>
              <w:spacing w:after="40" w:before="40"/>
            </w:pPr>
            <w:r>
              <w:rPr>
                <w:sz w:val="16"/>
              </w:rPr>
            </w:r>
            <w:r>
              <w:rPr>
                <w:rFonts w:ascii="Times New Roman" w:hAnsi="Times New Roman" w:eastAsia="Times New Roman"/>
                <w:b w:val="0"/>
                <w:i w:val="0"/>
                <w:sz w:val="16"/>
              </w:rPr>
              <w:t>Serious</w:t>
            </w:r>
          </w:p>
        </w:tc>
        <w:tc>
          <w:tcPr>
            <w:tcW w:type="dxa" w:w="1040"/>
          </w:tcPr>
          <w:p>
            <w:pPr>
              <w:spacing w:after="40" w:before="40"/>
            </w:pPr>
            <w:r>
              <w:rPr>
                <w:sz w:val="16"/>
              </w:rPr>
            </w:r>
            <w:r>
              <w:rPr>
                <w:rFonts w:ascii="Times New Roman" w:hAnsi="Times New Roman" w:eastAsia="Times New Roman"/>
                <w:b w:val="0"/>
                <w:i w:val="0"/>
                <w:sz w:val="16"/>
              </w:rPr>
              <w:t>Not serious (CI width 7 percentage points)</w:t>
            </w:r>
          </w:p>
        </w:tc>
        <w:tc>
          <w:tcPr>
            <w:tcW w:type="dxa" w:w="1040"/>
          </w:tcPr>
          <w:p>
            <w:pPr>
              <w:spacing w:after="40" w:before="40"/>
            </w:pPr>
            <w:r>
              <w:rPr>
                <w:sz w:val="16"/>
              </w:rPr>
            </w:r>
            <w:r>
              <w:rPr>
                <w:rFonts w:ascii="Times New Roman" w:hAnsi="Times New Roman" w:eastAsia="Times New Roman"/>
                <w:b w:val="0"/>
                <w:i w:val="0"/>
                <w:sz w:val="16"/>
              </w:rPr>
              <w:t>Unclear</w:t>
            </w:r>
          </w:p>
        </w:tc>
        <w:tc>
          <w:tcPr>
            <w:tcW w:type="dxa" w:w="1040"/>
          </w:tcPr>
          <w:p>
            <w:pPr>
              <w:spacing w:after="40" w:before="40"/>
            </w:pPr>
            <w:r>
              <w:rPr>
                <w:sz w:val="16"/>
              </w:rPr>
            </w:r>
            <w:r>
              <w:rPr>
                <w:rFonts w:ascii="Times New Roman" w:hAnsi="Times New Roman" w:eastAsia="Times New Roman"/>
                <w:b/>
                <w:i w:val="0"/>
                <w:sz w:val="16"/>
              </w:rPr>
              <w:t>⊕⊕⊝⊝ Low</w:t>
            </w:r>
          </w:p>
        </w:tc>
        <w:tc>
          <w:tcPr>
            <w:tcW w:type="dxa" w:w="1040"/>
          </w:tcPr>
          <w:p>
            <w:pPr>
              <w:spacing w:after="40" w:before="40"/>
            </w:pPr>
            <w:r>
              <w:rPr>
                <w:sz w:val="16"/>
              </w:rPr>
            </w:r>
            <w:r>
              <w:rPr>
                <w:rFonts w:ascii="Times New Roman" w:hAnsi="Times New Roman" w:eastAsia="Times New Roman"/>
                <w:b w:val="0"/>
                <w:i w:val="0"/>
                <w:sz w:val="16"/>
              </w:rPr>
              <w:t>94.0% (89.6–96.6)</w:t>
            </w:r>
          </w:p>
        </w:tc>
      </w:tr>
    </w:tbl>
    <w:p/>
    <w:p>
      <w:pPr>
        <w:jc w:val="both"/>
      </w:pPr>
      <w:r>
        <w:rPr>
          <w:rFonts w:ascii="Times New Roman" w:hAnsi="Times New Roman" w:eastAsia="Times New Roman"/>
          <w:b w:val="0"/>
          <w:i w:val="0"/>
          <w:sz w:val="22"/>
        </w:rPr>
        <w:t>The primary pooled sensitivity should not be quoted in guidelines without the STANDARD F / non-ELISA subset (80.5%) and the GRADE rating.</w:t>
      </w:r>
    </w:p>
    <w:p>
      <w:pPr>
        <w:pStyle w:val="Heading3"/>
      </w:pPr>
      <w:r>
        <w:t>3.8 Principal numerical findings</w:t>
      </w:r>
    </w:p>
    <w:p>
      <w:pPr>
        <w:jc w:val="both"/>
      </w:pPr>
      <w:r>
        <w:rPr>
          <w:rFonts w:ascii="Times New Roman" w:hAnsi="Times New Roman" w:eastAsia="Times New Roman"/>
          <w:b w:val="0"/>
          <w:i w:val="0"/>
          <w:sz w:val="22"/>
        </w:rPr>
        <w:t>In five commercial FIA evaluations (794 specimens) identified from a 19 August 2026 search of 1,889 bibliographic records, FIA for dengue NS1 showed pooled sensitivity 86.7% (76.0–93.1) and specificity 94.0% (89.6–96.6), with PLR 14.3 and NLR 0.14. When analysis was restricted to STANDARD F against RT-PCR or composite standards (k = 3), sensitivity was 80.5% and specificity 91.5%. Concordance with NS1 ELISA (k = 2) was high but does not estimate accuracy versus molecular diagnosis. Heterogeneity of sensitivity was moderate. Three of five studies were at high risk of bias. Dual independent screening of the ELISA-dominant unique set was not done. Certainty is very low for sensitivity and low for specificity.</w:t>
      </w:r>
    </w:p>
    <w:p>
      <w:pPr>
        <w:spacing w:before="80" w:after="80"/>
      </w:pPr>
      <w:r>
        <w:rPr>
          <w:rFonts w:ascii="Times New Roman" w:hAnsi="Times New Roman" w:eastAsia="Times New Roman"/>
          <w:b w:val="0"/>
          <w:i w:val="0"/>
          <w:color w:val="888888"/>
          <w:sz w:val="18"/>
        </w:rPr>
        <w:t>————————————————————————</w:t>
      </w:r>
    </w:p>
    <w:p>
      <w:pPr>
        <w:pStyle w:val="Heading2"/>
      </w:pPr>
      <w:r>
        <w:t>4. Discussion</w:t>
      </w:r>
    </w:p>
    <w:p>
      <w:pPr>
        <w:pStyle w:val="Heading3"/>
      </w:pPr>
      <w:r>
        <w:t>4.1 Principal findings in context</w:t>
      </w:r>
    </w:p>
    <w:p>
      <w:pPr>
        <w:jc w:val="both"/>
      </w:pPr>
      <w:r>
        <w:rPr>
          <w:rFonts w:ascii="Times New Roman" w:hAnsi="Times New Roman" w:eastAsia="Times New Roman"/>
          <w:b w:val="0"/>
          <w:i w:val="0"/>
          <w:sz w:val="22"/>
        </w:rPr>
        <w:t>This review is, to our knowledge, the first DTA synthesis to isolate commercial reader-based FIA for dengue NS1 rather than pooling it with visual ICT. The five-study summary point (Se 86.7%, Sp 94.0%, PLR 14.3) looks, at first glance, as if FIA closes much of the gap between visual NS1 ICT (Haider et al.: Se 71.0%, Sp 94.7%) and NS1 ELISA [18,29]. That reading is too optimistic.</w:t>
      </w:r>
    </w:p>
    <w:p>
      <w:pPr>
        <w:jc w:val="both"/>
      </w:pPr>
      <w:r>
        <w:rPr>
          <w:rFonts w:ascii="Times New Roman" w:hAnsi="Times New Roman" w:eastAsia="Times New Roman"/>
          <w:b w:val="0"/>
          <w:i w:val="0"/>
          <w:sz w:val="22"/>
        </w:rPr>
        <w:t>Two of five studies judged FIA against NS1 ELISA. Their near-perfect sensitivity is what one expects when two antigen immunoassays are compared with each other, especially when kits are supplied by the same manufacturer [52]. Removing those studies drops pooled sensitivity to 80.5% — still above Haider’s visual ICT point estimate, but with a confidence interval (75.1–85.0) that does not exclude modest superiority and does not support replacing ELISA.</w:t>
      </w:r>
    </w:p>
    <w:p>
      <w:pPr>
        <w:jc w:val="both"/>
      </w:pPr>
      <w:r>
        <w:rPr>
          <w:rFonts w:ascii="Times New Roman" w:hAnsi="Times New Roman" w:eastAsia="Times New Roman"/>
          <w:b w:val="0"/>
          <w:i w:val="0"/>
          <w:sz w:val="22"/>
        </w:rPr>
        <w:t>Chaiyo et al. provide the fairest within-study ICT comparison: on the same 404 plasmas, STANDARD F NS1 was only 2.5 percentage points more sensitive than visual ICT, with identical specificity [25]. Zapata-de la Cruz et al. found STANDARD F NS1 versus RT-PCR sensitivity 84.4% and specificity 88.8% in a hyperendemic Mexican sample collected on fever days 2–6, likely enriched for secondary infection [53]. Versus a RT-PCR/IgM construct, FIA sensitivity fell to 57.3% because IgM-positive, RNA-negative illness is outside the NS1-only detection window [53]. That contrast is clinically important: NS1 FIA cannot be asked to detect the same case definition as a combined molecular–serological algorithm.</w:t>
      </w:r>
    </w:p>
    <w:p>
      <w:pPr>
        <w:jc w:val="both"/>
      </w:pPr>
      <w:r>
        <w:rPr>
          <w:rFonts w:ascii="Times New Roman" w:hAnsi="Times New Roman" w:eastAsia="Times New Roman"/>
          <w:b w:val="0"/>
          <w:i w:val="0"/>
          <w:sz w:val="22"/>
        </w:rPr>
        <w:t xml:space="preserve">A PLR of 14.3 supports </w:t>
      </w:r>
      <w:r>
        <w:rPr>
          <w:rFonts w:ascii="Times New Roman" w:hAnsi="Times New Roman" w:eastAsia="Times New Roman"/>
          <w:b/>
          <w:i w:val="0"/>
          <w:sz w:val="22"/>
        </w:rPr>
        <w:t>rule-in</w:t>
      </w:r>
      <w:r>
        <w:rPr>
          <w:rFonts w:ascii="Times New Roman" w:hAnsi="Times New Roman" w:eastAsia="Times New Roman"/>
          <w:b w:val="0"/>
          <w:i w:val="0"/>
          <w:sz w:val="22"/>
        </w:rPr>
        <w:t xml:space="preserve"> in triage when prior probability is already moderate to high, as in outbreak clinics [50]. An NLR of 0.14 does </w:t>
      </w:r>
      <w:r>
        <w:rPr>
          <w:rFonts w:ascii="Times New Roman" w:hAnsi="Times New Roman" w:eastAsia="Times New Roman"/>
          <w:b/>
          <w:i w:val="0"/>
          <w:sz w:val="22"/>
        </w:rPr>
        <w:t>not</w:t>
      </w:r>
      <w:r>
        <w:rPr>
          <w:rFonts w:ascii="Times New Roman" w:hAnsi="Times New Roman" w:eastAsia="Times New Roman"/>
          <w:b w:val="0"/>
          <w:i w:val="0"/>
          <w:sz w:val="22"/>
        </w:rPr>
        <w:t xml:space="preserve"> allow a negative FIA to stop a dengue work-up, particularly after day 3, in secondary infection, or when warning signs are present [2,12,14].</w:t>
      </w:r>
    </w:p>
    <w:p>
      <w:pPr>
        <w:pStyle w:val="Heading3"/>
      </w:pPr>
      <w:r>
        <w:t>4.2 Clinical and operational implications</w:t>
      </w:r>
    </w:p>
    <w:p>
      <w:pPr>
        <w:jc w:val="both"/>
      </w:pPr>
      <w:r>
        <w:rPr>
          <w:rFonts w:ascii="Times New Roman" w:hAnsi="Times New Roman" w:eastAsia="Times New Roman"/>
          <w:b w:val="0"/>
          <w:i w:val="0"/>
          <w:sz w:val="22"/>
        </w:rPr>
        <w:t xml:space="preserve">WHO 2009 dengue guidance ties risk stratification to the period around defervescence, typically days 3–7 [2]. ELISA batching plus transport commonly yields 24–48 hours to an actionable result [15,22]. FIA in 5–15 minutes changes </w:t>
      </w:r>
      <w:r>
        <w:rPr>
          <w:rFonts w:ascii="Times New Roman" w:hAnsi="Times New Roman" w:eastAsia="Times New Roman"/>
          <w:b w:val="0"/>
          <w:i/>
          <w:sz w:val="22"/>
        </w:rPr>
        <w:t>when</w:t>
      </w:r>
      <w:r>
        <w:rPr>
          <w:rFonts w:ascii="Times New Roman" w:hAnsi="Times New Roman" w:eastAsia="Times New Roman"/>
          <w:b w:val="0"/>
          <w:i w:val="0"/>
          <w:sz w:val="22"/>
        </w:rPr>
        <w:t xml:space="preserve"> a positive NS1 result can inform fluid management and admission, not only </w:t>
      </w:r>
      <w:r>
        <w:rPr>
          <w:rFonts w:ascii="Times New Roman" w:hAnsi="Times New Roman" w:eastAsia="Times New Roman"/>
          <w:b w:val="0"/>
          <w:i/>
          <w:sz w:val="22"/>
        </w:rPr>
        <w:t>whether</w:t>
      </w:r>
      <w:r>
        <w:rPr>
          <w:rFonts w:ascii="Times New Roman" w:hAnsi="Times New Roman" w:eastAsia="Times New Roman"/>
          <w:b w:val="0"/>
          <w:i w:val="0"/>
          <w:sz w:val="22"/>
        </w:rPr>
        <w:t xml:space="preserve"> the assay is analytically accurate [23,25].</w:t>
      </w:r>
    </w:p>
    <w:p>
      <w:pPr>
        <w:jc w:val="both"/>
      </w:pPr>
      <w:r>
        <w:rPr>
          <w:rFonts w:ascii="Times New Roman" w:hAnsi="Times New Roman" w:eastAsia="Times New Roman"/>
          <w:b/>
          <w:i w:val="0"/>
          <w:sz w:val="22"/>
        </w:rPr>
        <w:t>Proposed placement (given these data, not as a WHO recommendation):</w:t>
      </w:r>
    </w:p>
    <w:p>
      <w:pPr>
        <w:pStyle w:val="ListNumber"/>
      </w:pPr>
      <w:r>
        <w:rPr>
          <w:rFonts w:ascii="Times New Roman" w:hAnsi="Times New Roman" w:eastAsia="Times New Roman"/>
          <w:b/>
          <w:i w:val="0"/>
          <w:sz w:val="22"/>
        </w:rPr>
        <w:t>Days 0–3, suspected dengue, setting with a maintained reader:</w:t>
      </w:r>
      <w:r>
        <w:rPr>
          <w:rFonts w:ascii="Times New Roman" w:hAnsi="Times New Roman" w:eastAsia="Times New Roman"/>
          <w:b w:val="0"/>
          <w:i w:val="0"/>
          <w:sz w:val="22"/>
        </w:rPr>
        <w:t xml:space="preserve"> FIA NS1 as a same-encounter rule-in test. Positive → dengue-protocol monitoring; confirm with ELISA or RT-PCR when capacity allows (surveillance and serotyping).</w:t>
      </w:r>
    </w:p>
    <w:p>
      <w:pPr>
        <w:pStyle w:val="ListNumber"/>
      </w:pPr>
      <w:r>
        <w:rPr>
          <w:rFonts w:ascii="Times New Roman" w:hAnsi="Times New Roman" w:eastAsia="Times New Roman"/>
          <w:b/>
          <w:i w:val="0"/>
          <w:sz w:val="22"/>
        </w:rPr>
        <w:t>Days 4–7 or suspected secondary infection:</w:t>
      </w:r>
      <w:r>
        <w:rPr>
          <w:rFonts w:ascii="Times New Roman" w:hAnsi="Times New Roman" w:eastAsia="Times New Roman"/>
          <w:b w:val="0"/>
          <w:i w:val="0"/>
          <w:sz w:val="22"/>
        </w:rPr>
        <w:t xml:space="preserve"> FIA NS1 plus IgM (and IgG if immune status is needed). Negative dual testing → RT-PCR or paired serology; do not exclude dengue on NS1 alone [28,29].</w:t>
      </w:r>
    </w:p>
    <w:p>
      <w:pPr>
        <w:pStyle w:val="ListNumber"/>
      </w:pPr>
      <w:r>
        <w:rPr>
          <w:rFonts w:ascii="Times New Roman" w:hAnsi="Times New Roman" w:eastAsia="Times New Roman"/>
          <w:b/>
          <w:i w:val="0"/>
          <w:sz w:val="22"/>
        </w:rPr>
        <w:t>Severe dengue, ICU, or public-health confirmation:</w:t>
      </w:r>
      <w:r>
        <w:rPr>
          <w:rFonts w:ascii="Times New Roman" w:hAnsi="Times New Roman" w:eastAsia="Times New Roman"/>
          <w:b w:val="0"/>
          <w:i w:val="0"/>
          <w:sz w:val="22"/>
        </w:rPr>
        <w:t xml:space="preserve"> RT-PCR and/or NS1 ELISA remain the reference. FIA has not been shown to replace molecular diagnosis or serotype identification [20,53].</w:t>
      </w:r>
    </w:p>
    <w:p>
      <w:pPr>
        <w:pStyle w:val="ListNumber"/>
      </w:pPr>
      <w:r>
        <w:rPr>
          <w:rFonts w:ascii="Times New Roman" w:hAnsi="Times New Roman" w:eastAsia="Times New Roman"/>
          <w:b/>
          <w:i w:val="0"/>
          <w:sz w:val="22"/>
        </w:rPr>
        <w:t>Negative FIA, high clinical probability:</w:t>
      </w:r>
      <w:r>
        <w:rPr>
          <w:rFonts w:ascii="Times New Roman" w:hAnsi="Times New Roman" w:eastAsia="Times New Roman"/>
          <w:b w:val="0"/>
          <w:i w:val="0"/>
          <w:sz w:val="22"/>
        </w:rPr>
        <w:t xml:space="preserve"> never used as a stop test.</w:t>
      </w:r>
    </w:p>
    <w:p>
      <w:pPr>
        <w:jc w:val="both"/>
      </w:pPr>
      <w:r>
        <w:rPr>
          <w:rFonts w:ascii="Times New Roman" w:hAnsi="Times New Roman" w:eastAsia="Times New Roman"/>
          <w:b w:val="0"/>
          <w:i w:val="0"/>
          <w:sz w:val="22"/>
        </w:rPr>
        <w:t xml:space="preserve">FIA still requires electricity or a charged analyzer, a functioning reader, and a cartridge supply chain. It is </w:t>
      </w:r>
      <w:r>
        <w:rPr>
          <w:rFonts w:ascii="Times New Roman" w:hAnsi="Times New Roman" w:eastAsia="Times New Roman"/>
          <w:b/>
          <w:i w:val="0"/>
          <w:sz w:val="22"/>
        </w:rPr>
        <w:t>near-point-of-care</w:t>
      </w:r>
      <w:r>
        <w:rPr>
          <w:rFonts w:ascii="Times New Roman" w:hAnsi="Times New Roman" w:eastAsia="Times New Roman"/>
          <w:b w:val="0"/>
          <w:i w:val="0"/>
          <w:sz w:val="22"/>
        </w:rPr>
        <w:t xml:space="preserve">, not a zero-infrastructure test. Relative to ELISA it is more deployable; relative to visual ICT it is less so. National programs should treat FIA as a </w:t>
      </w:r>
      <w:r>
        <w:rPr>
          <w:rFonts w:ascii="Times New Roman" w:hAnsi="Times New Roman" w:eastAsia="Times New Roman"/>
          <w:b/>
          <w:i w:val="0"/>
          <w:sz w:val="22"/>
        </w:rPr>
        <w:t>separate procurement class</w:t>
      </w:r>
      <w:r>
        <w:rPr>
          <w:rFonts w:ascii="Times New Roman" w:hAnsi="Times New Roman" w:eastAsia="Times New Roman"/>
          <w:b w:val="0"/>
          <w:i w:val="0"/>
          <w:sz w:val="22"/>
        </w:rPr>
        <w:t xml:space="preserve"> from visual ICT.</w:t>
      </w:r>
    </w:p>
    <w:p>
      <w:pPr>
        <w:jc w:val="both"/>
      </w:pPr>
      <w:r>
        <w:rPr>
          <w:rFonts w:ascii="Times New Roman" w:hAnsi="Times New Roman" w:eastAsia="Times New Roman"/>
          <w:b w:val="0"/>
          <w:i w:val="0"/>
          <w:sz w:val="22"/>
        </w:rPr>
        <w:t>Pohekar and Bhalchandra (2023) reported an inverse relationship between FIA COI and platelet count [27]. That observation is hypothesis-generating for severity correlation and was not meta-analyzed here.</w:t>
      </w:r>
    </w:p>
    <w:p>
      <w:pPr>
        <w:pStyle w:val="Heading3"/>
      </w:pPr>
      <w:r>
        <w:t>4.3 Strengths</w:t>
      </w:r>
    </w:p>
    <w:p>
      <w:pPr>
        <w:jc w:val="both"/>
      </w:pPr>
      <w:r>
        <w:rPr>
          <w:rFonts w:ascii="Times New Roman" w:hAnsi="Times New Roman" w:eastAsia="Times New Roman"/>
          <w:b w:val="0"/>
          <w:i w:val="0"/>
          <w:sz w:val="22"/>
        </w:rPr>
        <w:t>The review asked a technology-specific question rather than pooling “rapid dengue tests.” Identification used four bibliographic databases plus supplementary Cochrane, Scholar, and grey sources, with PRISMA-S documentation of the ScienceDirect Boolean limit and the Scopus gap. 2×2 cells were reconstructed only when published Se, Sp, PPV, and NPV identified a unique integer solution. The bivariate Reitsma model respects the sensitivity–specificity trade-off. QUADAS-2 was tailored to NS1 kinetics and incorporation bias. Protocol deviations are listed rather than hidden.</w:t>
      </w:r>
    </w:p>
    <w:p>
      <w:pPr>
        <w:pStyle w:val="Heading3"/>
      </w:pPr>
      <w:r>
        <w:t>4.4 Limitations</w:t>
      </w:r>
    </w:p>
    <w:p>
      <w:pPr>
        <w:jc w:val="both"/>
      </w:pPr>
      <w:r>
        <w:rPr>
          <w:rFonts w:ascii="Times New Roman" w:hAnsi="Times New Roman" w:eastAsia="Times New Roman"/>
          <w:b/>
          <w:i w:val="0"/>
          <w:sz w:val="22"/>
        </w:rPr>
        <w:t>Screening.</w:t>
      </w:r>
      <w:r>
        <w:rPr>
          <w:rFonts w:ascii="Times New Roman" w:hAnsi="Times New Roman" w:eastAsia="Times New Roman"/>
          <w:b w:val="0"/>
          <w:i w:val="0"/>
          <w:sz w:val="22"/>
        </w:rPr>
        <w:t xml:space="preserve"> Dual independent screening of 1,082 unique records was not done. FIA papers that do not use FIA language in the title can be missed; Zapata-de la Cruz 2026 is the example that was recovered because STANDARD F appears in the full text [53]. Ghogre 2021 and Pohekar 2017 were not in the four-database unique set and entered via protocol scoping, which is a form of citation-informed identification, not a systematic screen of the entire ELISA literature.</w:t>
      </w:r>
    </w:p>
    <w:p>
      <w:pPr>
        <w:jc w:val="both"/>
      </w:pPr>
      <w:r>
        <w:rPr>
          <w:rFonts w:ascii="Times New Roman" w:hAnsi="Times New Roman" w:eastAsia="Times New Roman"/>
          <w:b/>
          <w:i w:val="0"/>
          <w:sz w:val="22"/>
        </w:rPr>
        <w:t>Small k and mixed truth.</w:t>
      </w:r>
      <w:r>
        <w:rPr>
          <w:rFonts w:ascii="Times New Roman" w:hAnsi="Times New Roman" w:eastAsia="Times New Roman"/>
          <w:b w:val="0"/>
          <w:i w:val="0"/>
          <w:sz w:val="22"/>
        </w:rPr>
        <w:t xml:space="preserve"> Five studies cannot support the protocol’s subgroup programme. Reference standards range from RT-PCR to same-analyte ELISA. ELISA-as-truth inflates agreement; RT-PCR after the viremic window misclassifies some true dengue as negative and can lower apparent FIA sensitivity [9,20]. Latent-class models were not fitted.</w:t>
      </w:r>
    </w:p>
    <w:p>
      <w:pPr>
        <w:jc w:val="both"/>
      </w:pPr>
      <w:r>
        <w:rPr>
          <w:rFonts w:ascii="Times New Roman" w:hAnsi="Times New Roman" w:eastAsia="Times New Roman"/>
          <w:b/>
          <w:i w:val="0"/>
          <w:sz w:val="22"/>
        </w:rPr>
        <w:t>Spectrum bias.</w:t>
      </w:r>
      <w:r>
        <w:rPr>
          <w:rFonts w:ascii="Times New Roman" w:hAnsi="Times New Roman" w:eastAsia="Times New Roman"/>
          <w:b w:val="0"/>
          <w:i w:val="0"/>
          <w:sz w:val="22"/>
        </w:rPr>
        <w:t xml:space="preserve"> IC-cluster sampling [25] and two-gate DVI/non-DVI or ICT+/ICT− sampling [52,55] produce spectrum that does not match consecutive febrile patients. Specificity in particular can be overestimated when controls are clearly non-dengue rather than other acute febrile illnesses, including flavivirus co-circulation [17,54].</w:t>
      </w:r>
    </w:p>
    <w:p>
      <w:pPr>
        <w:jc w:val="both"/>
      </w:pPr>
      <w:r>
        <w:rPr>
          <w:rFonts w:ascii="Times New Roman" w:hAnsi="Times New Roman" w:eastAsia="Times New Roman"/>
          <w:b/>
          <w:i w:val="0"/>
          <w:sz w:val="22"/>
        </w:rPr>
        <w:t>Fever window.</w:t>
      </w:r>
      <w:r>
        <w:rPr>
          <w:rFonts w:ascii="Times New Roman" w:hAnsi="Times New Roman" w:eastAsia="Times New Roman"/>
          <w:b w:val="0"/>
          <w:i w:val="0"/>
          <w:sz w:val="22"/>
        </w:rPr>
        <w:t xml:space="preserve"> Three of five studies did not report day of illness. NS1 is not constant across days 0–7 [9,12]. Mixed timing biases pooled sensitivity toward an average of two biological states.</w:t>
      </w:r>
    </w:p>
    <w:p>
      <w:pPr>
        <w:jc w:val="both"/>
      </w:pPr>
      <w:r>
        <w:rPr>
          <w:rFonts w:ascii="Times New Roman" w:hAnsi="Times New Roman" w:eastAsia="Times New Roman"/>
          <w:b/>
          <w:i w:val="0"/>
          <w:sz w:val="22"/>
        </w:rPr>
        <w:t>Industry involvement.</w:t>
      </w:r>
      <w:r>
        <w:rPr>
          <w:rFonts w:ascii="Times New Roman" w:hAnsi="Times New Roman" w:eastAsia="Times New Roman"/>
          <w:b w:val="0"/>
          <w:i w:val="0"/>
          <w:sz w:val="22"/>
        </w:rPr>
        <w:t xml:space="preserve"> Pohekar 2017 used manufacturer-supplied FIA and ELISA kits [52]. Funding was often unreported.</w:t>
      </w:r>
    </w:p>
    <w:p>
      <w:pPr>
        <w:jc w:val="both"/>
      </w:pPr>
      <w:r>
        <w:rPr>
          <w:rFonts w:ascii="Times New Roman" w:hAnsi="Times New Roman" w:eastAsia="Times New Roman"/>
          <w:b/>
          <w:i w:val="0"/>
          <w:sz w:val="22"/>
        </w:rPr>
        <w:t>Single reviewer.</w:t>
      </w:r>
      <w:r>
        <w:rPr>
          <w:rFonts w:ascii="Times New Roman" w:hAnsi="Times New Roman" w:eastAsia="Times New Roman"/>
          <w:b w:val="0"/>
          <w:i w:val="0"/>
          <w:sz w:val="22"/>
        </w:rPr>
        <w:t xml:space="preserve"> Extraction and QUADAS-2 were not dual-adjudicated. Transcription error in reconstructed cells is possible, although published PPV/NPV were used as cross-checks.</w:t>
      </w:r>
    </w:p>
    <w:p>
      <w:pPr>
        <w:jc w:val="both"/>
      </w:pPr>
      <w:r>
        <w:rPr>
          <w:rFonts w:ascii="Times New Roman" w:hAnsi="Times New Roman" w:eastAsia="Times New Roman"/>
          <w:b/>
          <w:i w:val="0"/>
          <w:sz w:val="22"/>
        </w:rPr>
        <w:t>Software.</w:t>
      </w:r>
      <w:r>
        <w:rPr>
          <w:rFonts w:ascii="Times New Roman" w:hAnsi="Times New Roman" w:eastAsia="Times New Roman"/>
          <w:b w:val="0"/>
          <w:i w:val="0"/>
          <w:sz w:val="22"/>
        </w:rPr>
        <w:t xml:space="preserve"> The Reitsma REML fit was implemented in Python because R/</w:t>
      </w:r>
      <w:r>
        <w:rPr>
          <w:rFonts w:ascii="Courier New" w:hAnsi="Courier New" w:eastAsia="Courier New"/>
          <w:b w:val="0"/>
          <w:i w:val="0"/>
          <w:color w:val="222222"/>
          <w:sz w:val="18"/>
        </w:rPr>
        <w:t>mada</w:t>
      </w:r>
      <w:r>
        <w:rPr>
          <w:rFonts w:ascii="Times New Roman" w:hAnsi="Times New Roman" w:eastAsia="Times New Roman"/>
          <w:b w:val="0"/>
          <w:i w:val="0"/>
          <w:sz w:val="22"/>
        </w:rPr>
        <w:t xml:space="preserve"> was not installed. The likelihood matches the published model; numerical estimates can differ slightly from </w:t>
      </w:r>
      <w:r>
        <w:rPr>
          <w:rFonts w:ascii="Courier New" w:hAnsi="Courier New" w:eastAsia="Courier New"/>
          <w:b w:val="0"/>
          <w:i w:val="0"/>
          <w:color w:val="222222"/>
          <w:sz w:val="18"/>
        </w:rPr>
        <w:t>mada::reitsma</w:t>
      </w:r>
      <w:r>
        <w:rPr>
          <w:rFonts w:ascii="Times New Roman" w:hAnsi="Times New Roman" w:eastAsia="Times New Roman"/>
          <w:b w:val="0"/>
          <w:i w:val="0"/>
          <w:sz w:val="22"/>
        </w:rPr>
        <w:t xml:space="preserve"> on the same cells.</w:t>
      </w:r>
    </w:p>
    <w:p>
      <w:pPr>
        <w:jc w:val="both"/>
      </w:pPr>
      <w:r>
        <w:rPr>
          <w:rFonts w:ascii="Times New Roman" w:hAnsi="Times New Roman" w:eastAsia="Times New Roman"/>
          <w:b/>
          <w:i w:val="0"/>
          <w:sz w:val="22"/>
        </w:rPr>
        <w:t>PROSPERO.</w:t>
      </w:r>
      <w:r>
        <w:rPr>
          <w:rFonts w:ascii="Times New Roman" w:hAnsi="Times New Roman" w:eastAsia="Times New Roman"/>
          <w:b w:val="0"/>
          <w:i w:val="0"/>
          <w:sz w:val="22"/>
        </w:rPr>
        <w:t xml:space="preserve"> Absence of a CRD number at submission time is a reporting weakness. The written protocol is archived in the repository.</w:t>
      </w:r>
    </w:p>
    <w:p>
      <w:pPr>
        <w:jc w:val="both"/>
      </w:pPr>
      <w:r>
        <w:rPr>
          <w:rFonts w:ascii="Times New Roman" w:hAnsi="Times New Roman" w:eastAsia="Times New Roman"/>
          <w:b/>
          <w:i w:val="0"/>
          <w:sz w:val="22"/>
        </w:rPr>
        <w:t>Pohekar 2023.</w:t>
      </w:r>
      <w:r>
        <w:rPr>
          <w:rFonts w:ascii="Times New Roman" w:hAnsi="Times New Roman" w:eastAsia="Times New Roman"/>
          <w:b w:val="0"/>
          <w:i w:val="0"/>
          <w:sz w:val="22"/>
        </w:rPr>
        <w:t xml:space="preserve"> The largest single FIA versus ELISA cohort (n = 300) could not be pooled [27]. If off-diagonal cells were unfavorable, the primary pooled sensitivity would fall; if they were favorable, it would rise. Until those cells are published, the 86.7% figure is incomplete with respect to the known literature.</w:t>
      </w:r>
    </w:p>
    <w:p>
      <w:pPr>
        <w:pStyle w:val="Heading3"/>
      </w:pPr>
      <w:r>
        <w:t>4.5 Future research</w:t>
      </w:r>
    </w:p>
    <w:p>
      <w:pPr>
        <w:pStyle w:val="ListNumber"/>
      </w:pPr>
      <w:r>
        <w:rPr>
          <w:rFonts w:ascii="Times New Roman" w:hAnsi="Times New Roman" w:eastAsia="Times New Roman"/>
          <w:b w:val="0"/>
          <w:i w:val="0"/>
          <w:sz w:val="22"/>
        </w:rPr>
        <w:t>Prospective, consecutive, STARD-compliant studies of FIA and NS1 ELISA on the same acute specimens, with RT-PCR and serotype as an independent reference, and day of illness recorded to the day [36,51].</w:t>
      </w:r>
    </w:p>
    <w:p>
      <w:pPr>
        <w:pStyle w:val="ListNumber"/>
      </w:pPr>
      <w:r>
        <w:rPr>
          <w:rFonts w:ascii="Times New Roman" w:hAnsi="Times New Roman" w:eastAsia="Times New Roman"/>
          <w:b w:val="0"/>
          <w:i w:val="0"/>
          <w:sz w:val="22"/>
        </w:rPr>
        <w:t>Publication of the Pohekar 2023 concordance table.</w:t>
      </w:r>
    </w:p>
    <w:p>
      <w:pPr>
        <w:pStyle w:val="ListNumber"/>
      </w:pPr>
      <w:r>
        <w:rPr>
          <w:rFonts w:ascii="Times New Roman" w:hAnsi="Times New Roman" w:eastAsia="Times New Roman"/>
          <w:b w:val="0"/>
          <w:i w:val="0"/>
          <w:sz w:val="22"/>
        </w:rPr>
        <w:t>Secondary-infection strata with a pre-specified immune-status definition large enough for precise sensitivity differences.</w:t>
      </w:r>
    </w:p>
    <w:p>
      <w:pPr>
        <w:pStyle w:val="ListNumber"/>
      </w:pPr>
      <w:r>
        <w:rPr>
          <w:rFonts w:ascii="Times New Roman" w:hAnsi="Times New Roman" w:eastAsia="Times New Roman"/>
          <w:b w:val="0"/>
          <w:i w:val="0"/>
          <w:sz w:val="22"/>
        </w:rPr>
        <w:t>Flavivirus challenge panels (Zika, yellow fever, Japanese encephalitis) from the intended-use region [17,54].</w:t>
      </w:r>
    </w:p>
    <w:p>
      <w:pPr>
        <w:pStyle w:val="ListNumber"/>
      </w:pPr>
      <w:r>
        <w:rPr>
          <w:rFonts w:ascii="Times New Roman" w:hAnsi="Times New Roman" w:eastAsia="Times New Roman"/>
          <w:b w:val="0"/>
          <w:i w:val="0"/>
          <w:sz w:val="22"/>
        </w:rPr>
        <w:t>Impact studies: time-to-decision, admission, and severe-dengue progression when FIA is added to usual care — accuracy alone does not establish clinical utility.</w:t>
      </w:r>
    </w:p>
    <w:p>
      <w:pPr>
        <w:pStyle w:val="ListNumber"/>
      </w:pPr>
      <w:r>
        <w:rPr>
          <w:rFonts w:ascii="Times New Roman" w:hAnsi="Times New Roman" w:eastAsia="Times New Roman"/>
          <w:b w:val="0"/>
          <w:i w:val="0"/>
          <w:sz w:val="22"/>
        </w:rPr>
        <w:t>Dual independent screening of the 1,082 unique records remaining in this project, to test whether additional FIA reports were missed.</w:t>
      </w:r>
    </w:p>
    <w:p>
      <w:pPr>
        <w:pStyle w:val="Heading3"/>
      </w:pPr>
      <w:r>
        <w:t>4.6 Conclusion</w:t>
      </w:r>
    </w:p>
    <w:p>
      <w:pPr>
        <w:jc w:val="both"/>
      </w:pPr>
      <w:r>
        <w:rPr>
          <w:rFonts w:ascii="Times New Roman" w:hAnsi="Times New Roman" w:eastAsia="Times New Roman"/>
          <w:b w:val="0"/>
          <w:i w:val="0"/>
          <w:sz w:val="22"/>
        </w:rPr>
        <w:t>Early NS1 detection during the first week of fever is central to dengue care. ELISA’s accuracy is offset by infrastructure and delay; visual ICT’s speed is offset by modest and operator-dependent sensitivity [18,29]. Commercial FIA occupies the gap between those poles.</w:t>
      </w:r>
    </w:p>
    <w:p>
      <w:pPr>
        <w:jc w:val="both"/>
      </w:pPr>
      <w:r>
        <w:rPr>
          <w:rFonts w:ascii="Times New Roman" w:hAnsi="Times New Roman" w:eastAsia="Times New Roman"/>
          <w:b w:val="0"/>
          <w:i w:val="0"/>
          <w:sz w:val="22"/>
        </w:rPr>
        <w:t>Across five studies and 794 specimens, FIA for dengue NS1 had pooled sensitivity 86.7% (76.0–93.1) and specificity 94.0% (89.6–96.6), with PLR 14.3 and NLR 0.14. The more conservative STANDARD F estimate against molecular or composite standards is sensitivity 80.5% and specificity 91.5%. Certainty is very low to low. Three of five studies were at high risk of bias, dual screening of the full unique set was not completed, and a 300-patient FIA–ELISA cohort remains unpooled for lack of a 2×2 table.</w:t>
      </w:r>
    </w:p>
    <w:p>
      <w:pPr>
        <w:jc w:val="both"/>
      </w:pPr>
      <w:r>
        <w:rPr>
          <w:rFonts w:ascii="Times New Roman" w:hAnsi="Times New Roman" w:eastAsia="Times New Roman"/>
          <w:b/>
          <w:i w:val="0"/>
          <w:sz w:val="22"/>
        </w:rPr>
        <w:t>Actionable statements that the data support:</w:t>
      </w:r>
    </w:p>
    <w:p>
      <w:pPr>
        <w:pStyle w:val="ListNumber"/>
      </w:pPr>
      <w:r>
        <w:rPr>
          <w:rFonts w:ascii="Times New Roman" w:hAnsi="Times New Roman" w:eastAsia="Times New Roman"/>
          <w:b w:val="0"/>
          <w:i w:val="0"/>
          <w:sz w:val="22"/>
        </w:rPr>
        <w:t xml:space="preserve">Use FIA as a rapid, objective NS1 </w:t>
      </w:r>
      <w:r>
        <w:rPr>
          <w:rFonts w:ascii="Times New Roman" w:hAnsi="Times New Roman" w:eastAsia="Times New Roman"/>
          <w:b/>
          <w:i w:val="0"/>
          <w:sz w:val="22"/>
        </w:rPr>
        <w:t>rule-in</w:t>
      </w:r>
      <w:r>
        <w:rPr>
          <w:rFonts w:ascii="Times New Roman" w:hAnsi="Times New Roman" w:eastAsia="Times New Roman"/>
          <w:b w:val="0"/>
          <w:i w:val="0"/>
          <w:sz w:val="22"/>
        </w:rPr>
        <w:t xml:space="preserve"> test in triage and outbreak settings when a reader can be maintained — particularly in the early febrile window.</w:t>
      </w:r>
    </w:p>
    <w:p>
      <w:pPr>
        <w:pStyle w:val="ListNumber"/>
      </w:pPr>
      <w:r>
        <w:rPr>
          <w:rFonts w:ascii="Times New Roman" w:hAnsi="Times New Roman" w:eastAsia="Times New Roman"/>
          <w:b w:val="0"/>
          <w:i w:val="0"/>
          <w:sz w:val="22"/>
        </w:rPr>
        <w:t>Do not use a negative FIA to exclude dengue; reflex to IgM/IgG, ELISA, and/or RT-PCR.</w:t>
      </w:r>
    </w:p>
    <w:p>
      <w:pPr>
        <w:pStyle w:val="ListNumber"/>
      </w:pPr>
      <w:r>
        <w:rPr>
          <w:rFonts w:ascii="Times New Roman" w:hAnsi="Times New Roman" w:eastAsia="Times New Roman"/>
          <w:b w:val="0"/>
          <w:i w:val="0"/>
          <w:sz w:val="22"/>
        </w:rPr>
        <w:t>Do not equate FIA with visual ICT or with ELISA in guidelines or tenders.</w:t>
      </w:r>
    </w:p>
    <w:p>
      <w:pPr>
        <w:pStyle w:val="ListNumber"/>
      </w:pPr>
      <w:r>
        <w:rPr>
          <w:rFonts w:ascii="Times New Roman" w:hAnsi="Times New Roman" w:eastAsia="Times New Roman"/>
          <w:b w:val="0"/>
          <w:i w:val="0"/>
          <w:sz w:val="22"/>
        </w:rPr>
        <w:t>Keep ELISA and RT-PCR as the laboratory reference for confirmation, surveillance, and serotype-dependent public health action.</w:t>
      </w:r>
    </w:p>
    <w:p>
      <w:pPr>
        <w:pStyle w:val="ListNumber"/>
      </w:pPr>
      <w:r>
        <w:rPr>
          <w:rFonts w:ascii="Times New Roman" w:hAnsi="Times New Roman" w:eastAsia="Times New Roman"/>
          <w:b w:val="0"/>
          <w:i w:val="0"/>
          <w:sz w:val="22"/>
        </w:rPr>
        <w:t>Commission paired, day-stratified, serotype-aware studies with independent molecular reference standards, and complete dual screening of the already-retrieved unique bibliographic set, before making FIA the sole confirmatory test in national algorithms.</w:t>
      </w:r>
    </w:p>
    <w:p>
      <w:pPr>
        <w:jc w:val="both"/>
      </w:pPr>
      <w:r>
        <w:rPr>
          <w:rFonts w:ascii="Times New Roman" w:hAnsi="Times New Roman" w:eastAsia="Times New Roman"/>
          <w:b w:val="0"/>
          <w:i w:val="0"/>
          <w:sz w:val="22"/>
        </w:rPr>
        <w:t xml:space="preserve">Until that work is done, FIA is a </w:t>
      </w:r>
      <w:r>
        <w:rPr>
          <w:rFonts w:ascii="Times New Roman" w:hAnsi="Times New Roman" w:eastAsia="Times New Roman"/>
          <w:b/>
          <w:i w:val="0"/>
          <w:sz w:val="22"/>
        </w:rPr>
        <w:t>clinically useful near-point-of-care NS1 assay</w:t>
      </w:r>
      <w:r>
        <w:rPr>
          <w:rFonts w:ascii="Times New Roman" w:hAnsi="Times New Roman" w:eastAsia="Times New Roman"/>
          <w:b w:val="0"/>
          <w:i w:val="0"/>
          <w:sz w:val="22"/>
        </w:rPr>
        <w:t xml:space="preserve"> that can shorten time-to-a-positive-result without replacing laboratory confirmation.</w:t>
      </w:r>
    </w:p>
    <w:p>
      <w:pPr>
        <w:spacing w:before="80" w:after="80"/>
      </w:pPr>
      <w:r>
        <w:rPr>
          <w:rFonts w:ascii="Times New Roman" w:hAnsi="Times New Roman" w:eastAsia="Times New Roman"/>
          <w:b w:val="0"/>
          <w:i w:val="0"/>
          <w:color w:val="888888"/>
          <w:sz w:val="18"/>
        </w:rPr>
        <w:t>————————————————————————</w:t>
      </w:r>
    </w:p>
    <w:p>
      <w:pPr>
        <w:pStyle w:val="Heading2"/>
      </w:pPr>
      <w:r>
        <w:t>Acknowledgements</w:t>
      </w:r>
    </w:p>
    <w:p>
      <w:pPr>
        <w:jc w:val="both"/>
      </w:pPr>
      <w:r>
        <w:rPr>
          <w:rFonts w:ascii="Times New Roman" w:hAnsi="Times New Roman" w:eastAsia="Times New Roman"/>
          <w:b w:val="0"/>
          <w:i w:val="0"/>
          <w:sz w:val="22"/>
        </w:rPr>
        <w:t>Bibliographic database access used University of Toledo library subscriptions (Embase, Web of Science, ScienceDirect, Cochrane). The author thanks the librarians and OpenAthens service for access. Search execution and analysis were performed for this project on 19 August 2026.</w:t>
      </w:r>
    </w:p>
    <w:p>
      <w:pPr>
        <w:spacing w:before="80" w:after="80"/>
      </w:pPr>
      <w:r>
        <w:rPr>
          <w:rFonts w:ascii="Times New Roman" w:hAnsi="Times New Roman" w:eastAsia="Times New Roman"/>
          <w:b w:val="0"/>
          <w:i w:val="0"/>
          <w:color w:val="888888"/>
          <w:sz w:val="18"/>
        </w:rPr>
        <w:t>————————————————————————</w:t>
      </w:r>
    </w:p>
    <w:p>
      <w:pPr>
        <w:pStyle w:val="Heading2"/>
      </w:pPr>
      <w:r>
        <w:t>Author contributions (CRediT)</w:t>
      </w:r>
    </w:p>
    <w:p>
      <w:pPr>
        <w:jc w:val="both"/>
      </w:pPr>
      <w:r>
        <w:rPr>
          <w:rFonts w:ascii="Times New Roman" w:hAnsi="Times New Roman" w:eastAsia="Times New Roman"/>
          <w:b w:val="0"/>
          <w:i w:val="0"/>
          <w:sz w:val="22"/>
        </w:rPr>
        <w:t>Ritu Shah: conceptualization, methodology, investigation, data curation, formal analysis, visualization, writing — original draft, writing — review and editing, project administration.</w:t>
      </w:r>
    </w:p>
    <w:p>
      <w:pPr>
        <w:spacing w:before="80" w:after="80"/>
      </w:pPr>
      <w:r>
        <w:rPr>
          <w:rFonts w:ascii="Times New Roman" w:hAnsi="Times New Roman" w:eastAsia="Times New Roman"/>
          <w:b w:val="0"/>
          <w:i w:val="0"/>
          <w:color w:val="888888"/>
          <w:sz w:val="18"/>
        </w:rPr>
        <w:t>————————————————————————</w:t>
      </w:r>
    </w:p>
    <w:p>
      <w:pPr>
        <w:pStyle w:val="Heading2"/>
      </w:pPr>
      <w:r>
        <w:t>Supplementary files in the project archive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6"/>
              </w:rPr>
            </w:r>
            <w:r>
              <w:rPr>
                <w:rFonts w:ascii="Times New Roman" w:hAnsi="Times New Roman" w:eastAsia="Times New Roman"/>
                <w:b/>
                <w:i w:val="0"/>
                <w:sz w:val="16"/>
              </w:rPr>
              <w:t>File</w:t>
            </w:r>
          </w:p>
        </w:tc>
        <w:tc>
          <w:tcPr>
            <w:tcW w:type="dxa" w:w="4680"/>
          </w:tcPr>
          <w:p>
            <w:pPr>
              <w:spacing w:after="40" w:before="40"/>
            </w:pPr>
            <w:r>
              <w:rPr>
                <w:b/>
                <w:sz w:val="16"/>
              </w:rPr>
            </w:r>
            <w:r>
              <w:rPr>
                <w:rFonts w:ascii="Times New Roman" w:hAnsi="Times New Roman" w:eastAsia="Times New Roman"/>
                <w:b/>
                <w:i w:val="0"/>
                <w:sz w:val="16"/>
              </w:rPr>
              <w:t>Content</w:t>
            </w:r>
          </w:p>
        </w:tc>
      </w:tr>
      <w:tr>
        <w:tc>
          <w:tcPr>
            <w:tcW w:type="dxa" w:w="4680"/>
          </w:tcPr>
          <w:p>
            <w:pPr>
              <w:spacing w:after="40" w:before="40"/>
            </w:pPr>
            <w:r>
              <w:rPr>
                <w:sz w:val="16"/>
              </w:rPr>
            </w:r>
            <w:r>
              <w:rPr>
                <w:rFonts w:ascii="Courier New" w:hAnsi="Courier New" w:eastAsia="Courier New"/>
                <w:b w:val="0"/>
                <w:i w:val="0"/>
                <w:color w:val="222222"/>
                <w:sz w:val="16"/>
              </w:rPr>
              <w:t>data/search_strategies.md</w:t>
            </w:r>
          </w:p>
        </w:tc>
        <w:tc>
          <w:tcPr>
            <w:tcW w:type="dxa" w:w="4680"/>
          </w:tcPr>
          <w:p>
            <w:pPr>
              <w:spacing w:after="40" w:before="40"/>
            </w:pPr>
            <w:r>
              <w:rPr>
                <w:sz w:val="16"/>
              </w:rPr>
            </w:r>
            <w:r>
              <w:rPr>
                <w:rFonts w:ascii="Times New Roman" w:hAnsi="Times New Roman" w:eastAsia="Times New Roman"/>
                <w:b w:val="0"/>
                <w:i w:val="0"/>
                <w:sz w:val="16"/>
              </w:rPr>
              <w:t>Full database-specific search strings (PRISMA-S)</w:t>
            </w:r>
          </w:p>
        </w:tc>
      </w:tr>
      <w:tr>
        <w:tc>
          <w:tcPr>
            <w:tcW w:type="dxa" w:w="4680"/>
          </w:tcPr>
          <w:p>
            <w:pPr>
              <w:spacing w:after="40" w:before="40"/>
            </w:pPr>
            <w:r>
              <w:rPr>
                <w:sz w:val="16"/>
              </w:rPr>
            </w:r>
            <w:r>
              <w:rPr>
                <w:rFonts w:ascii="Courier New" w:hAnsi="Courier New" w:eastAsia="Courier New"/>
                <w:b w:val="0"/>
                <w:i w:val="0"/>
                <w:color w:val="222222"/>
                <w:sz w:val="16"/>
              </w:rPr>
              <w:t>data/logs/identification_counts_2026-08-19.json</w:t>
            </w:r>
          </w:p>
        </w:tc>
        <w:tc>
          <w:tcPr>
            <w:tcW w:type="dxa" w:w="4680"/>
          </w:tcPr>
          <w:p>
            <w:pPr>
              <w:spacing w:after="40" w:before="40"/>
            </w:pPr>
            <w:r>
              <w:rPr>
                <w:sz w:val="16"/>
              </w:rPr>
            </w:r>
            <w:r>
              <w:rPr>
                <w:rFonts w:ascii="Times New Roman" w:hAnsi="Times New Roman" w:eastAsia="Times New Roman"/>
                <w:b w:val="0"/>
                <w:i w:val="0"/>
                <w:sz w:val="16"/>
              </w:rPr>
              <w:t>Locked hit counts</w:t>
            </w:r>
          </w:p>
        </w:tc>
      </w:tr>
      <w:tr>
        <w:tc>
          <w:tcPr>
            <w:tcW w:type="dxa" w:w="4680"/>
          </w:tcPr>
          <w:p>
            <w:pPr>
              <w:spacing w:after="40" w:before="40"/>
            </w:pPr>
            <w:r>
              <w:rPr>
                <w:sz w:val="16"/>
              </w:rPr>
            </w:r>
            <w:r>
              <w:rPr>
                <w:rFonts w:ascii="Courier New" w:hAnsi="Courier New" w:eastAsia="Courier New"/>
                <w:b w:val="0"/>
                <w:i w:val="0"/>
                <w:color w:val="222222"/>
                <w:sz w:val="16"/>
              </w:rPr>
              <w:t>data/deduped/unique_pubmed_embase_wos_sd_2026-08-19.csv</w:t>
            </w:r>
          </w:p>
        </w:tc>
        <w:tc>
          <w:tcPr>
            <w:tcW w:type="dxa" w:w="4680"/>
          </w:tcPr>
          <w:p>
            <w:pPr>
              <w:spacing w:after="40" w:before="40"/>
            </w:pPr>
            <w:r>
              <w:rPr>
                <w:sz w:val="16"/>
              </w:rPr>
            </w:r>
            <w:r>
              <w:rPr>
                <w:rFonts w:ascii="Times New Roman" w:hAnsi="Times New Roman" w:eastAsia="Times New Roman"/>
                <w:b w:val="0"/>
                <w:i w:val="0"/>
                <w:sz w:val="16"/>
              </w:rPr>
              <w:t>1,082 unique bibliographic records</w:t>
            </w:r>
          </w:p>
        </w:tc>
      </w:tr>
      <w:tr>
        <w:tc>
          <w:tcPr>
            <w:tcW w:type="dxa" w:w="4680"/>
          </w:tcPr>
          <w:p>
            <w:pPr>
              <w:spacing w:after="40" w:before="40"/>
            </w:pPr>
            <w:r>
              <w:rPr>
                <w:sz w:val="16"/>
              </w:rPr>
            </w:r>
            <w:r>
              <w:rPr>
                <w:rFonts w:ascii="Courier New" w:hAnsi="Courier New" w:eastAsia="Courier New"/>
                <w:b w:val="0"/>
                <w:i w:val="0"/>
                <w:color w:val="222222"/>
                <w:sz w:val="16"/>
              </w:rPr>
              <w:t>data/extraction/included_2x2_2026-08-19.csv</w:t>
            </w:r>
          </w:p>
        </w:tc>
        <w:tc>
          <w:tcPr>
            <w:tcW w:type="dxa" w:w="4680"/>
          </w:tcPr>
          <w:p>
            <w:pPr>
              <w:spacing w:after="40" w:before="40"/>
            </w:pPr>
            <w:r>
              <w:rPr>
                <w:sz w:val="16"/>
              </w:rPr>
            </w:r>
            <w:r>
              <w:rPr>
                <w:rFonts w:ascii="Times New Roman" w:hAnsi="Times New Roman" w:eastAsia="Times New Roman"/>
                <w:b w:val="0"/>
                <w:i w:val="0"/>
                <w:sz w:val="16"/>
              </w:rPr>
              <w:t>Locked 2×2 cells</w:t>
            </w:r>
          </w:p>
        </w:tc>
      </w:tr>
      <w:tr>
        <w:tc>
          <w:tcPr>
            <w:tcW w:type="dxa" w:w="4680"/>
          </w:tcPr>
          <w:p>
            <w:pPr>
              <w:spacing w:after="40" w:before="40"/>
            </w:pPr>
            <w:r>
              <w:rPr>
                <w:sz w:val="16"/>
              </w:rPr>
            </w:r>
            <w:r>
              <w:rPr>
                <w:rFonts w:ascii="Courier New" w:hAnsi="Courier New" w:eastAsia="Courier New"/>
                <w:b w:val="0"/>
                <w:i w:val="0"/>
                <w:color w:val="222222"/>
                <w:sz w:val="16"/>
              </w:rPr>
              <w:t>data/extraction/eligibility_log_2026-08-19.md</w:t>
            </w:r>
          </w:p>
        </w:tc>
        <w:tc>
          <w:tcPr>
            <w:tcW w:type="dxa" w:w="4680"/>
          </w:tcPr>
          <w:p>
            <w:pPr>
              <w:spacing w:after="40" w:before="40"/>
            </w:pPr>
            <w:r>
              <w:rPr>
                <w:sz w:val="16"/>
              </w:rPr>
            </w:r>
            <w:r>
              <w:rPr>
                <w:rFonts w:ascii="Times New Roman" w:hAnsi="Times New Roman" w:eastAsia="Times New Roman"/>
                <w:b w:val="0"/>
                <w:i w:val="0"/>
                <w:sz w:val="16"/>
              </w:rPr>
              <w:t>Full-text include/exclude decisions</w:t>
            </w:r>
          </w:p>
        </w:tc>
      </w:tr>
      <w:tr>
        <w:tc>
          <w:tcPr>
            <w:tcW w:type="dxa" w:w="4680"/>
          </w:tcPr>
          <w:p>
            <w:pPr>
              <w:spacing w:after="40" w:before="40"/>
            </w:pPr>
            <w:r>
              <w:rPr>
                <w:sz w:val="16"/>
              </w:rPr>
            </w:r>
            <w:r>
              <w:rPr>
                <w:rFonts w:ascii="Courier New" w:hAnsi="Courier New" w:eastAsia="Courier New"/>
                <w:b w:val="0"/>
                <w:i w:val="0"/>
                <w:color w:val="222222"/>
                <w:sz w:val="16"/>
              </w:rPr>
              <w:t>analysis/quadas2_protocol.md</w:t>
            </w:r>
          </w:p>
        </w:tc>
        <w:tc>
          <w:tcPr>
            <w:tcW w:type="dxa" w:w="4680"/>
          </w:tcPr>
          <w:p>
            <w:pPr>
              <w:spacing w:after="40" w:before="40"/>
            </w:pPr>
            <w:r>
              <w:rPr>
                <w:sz w:val="16"/>
              </w:rPr>
            </w:r>
            <w:r>
              <w:rPr>
                <w:rFonts w:ascii="Times New Roman" w:hAnsi="Times New Roman" w:eastAsia="Times New Roman"/>
                <w:b w:val="0"/>
                <w:i w:val="0"/>
                <w:sz w:val="16"/>
              </w:rPr>
              <w:t>Tailored QUADAS-2 signalling questions</w:t>
            </w:r>
          </w:p>
        </w:tc>
      </w:tr>
      <w:tr>
        <w:tc>
          <w:tcPr>
            <w:tcW w:type="dxa" w:w="4680"/>
          </w:tcPr>
          <w:p>
            <w:pPr>
              <w:spacing w:after="40" w:before="40"/>
            </w:pPr>
            <w:r>
              <w:rPr>
                <w:sz w:val="16"/>
              </w:rPr>
            </w:r>
            <w:r>
              <w:rPr>
                <w:rFonts w:ascii="Courier New" w:hAnsi="Courier New" w:eastAsia="Courier New"/>
                <w:b w:val="0"/>
                <w:i w:val="0"/>
                <w:color w:val="222222"/>
                <w:sz w:val="16"/>
              </w:rPr>
              <w:t>analysis/dta_meta_analysis.py</w:t>
            </w:r>
          </w:p>
        </w:tc>
        <w:tc>
          <w:tcPr>
            <w:tcW w:type="dxa" w:w="4680"/>
          </w:tcPr>
          <w:p>
            <w:pPr>
              <w:spacing w:after="40" w:before="40"/>
            </w:pPr>
            <w:r>
              <w:rPr>
                <w:sz w:val="16"/>
              </w:rPr>
            </w:r>
            <w:r>
              <w:rPr>
                <w:rFonts w:ascii="Times New Roman" w:hAnsi="Times New Roman" w:eastAsia="Times New Roman"/>
                <w:b w:val="0"/>
                <w:i w:val="0"/>
                <w:sz w:val="16"/>
              </w:rPr>
              <w:t>Bivariate Reitsma REML implementation</w:t>
            </w:r>
          </w:p>
        </w:tc>
      </w:tr>
      <w:tr>
        <w:tc>
          <w:tcPr>
            <w:tcW w:type="dxa" w:w="4680"/>
          </w:tcPr>
          <w:p>
            <w:pPr>
              <w:spacing w:after="40" w:before="40"/>
            </w:pPr>
            <w:r>
              <w:rPr>
                <w:sz w:val="16"/>
              </w:rPr>
            </w:r>
            <w:r>
              <w:rPr>
                <w:rFonts w:ascii="Courier New" w:hAnsi="Courier New" w:eastAsia="Courier New"/>
                <w:b w:val="0"/>
                <w:i w:val="0"/>
                <w:color w:val="222222"/>
                <w:sz w:val="16"/>
              </w:rPr>
              <w:t>output/tables/pooled_estimates.json</w:t>
            </w:r>
          </w:p>
        </w:tc>
        <w:tc>
          <w:tcPr>
            <w:tcW w:type="dxa" w:w="4680"/>
          </w:tcPr>
          <w:p>
            <w:pPr>
              <w:spacing w:after="40" w:before="40"/>
            </w:pPr>
            <w:r>
              <w:rPr>
                <w:sz w:val="16"/>
              </w:rPr>
            </w:r>
            <w:r>
              <w:rPr>
                <w:rFonts w:ascii="Times New Roman" w:hAnsi="Times New Roman" w:eastAsia="Times New Roman"/>
                <w:b w:val="0"/>
                <w:i w:val="0"/>
                <w:sz w:val="16"/>
              </w:rPr>
              <w:t>Machine-readable pooled estimates</w:t>
            </w:r>
          </w:p>
        </w:tc>
      </w:tr>
      <w:tr>
        <w:tc>
          <w:tcPr>
            <w:tcW w:type="dxa" w:w="4680"/>
          </w:tcPr>
          <w:p>
            <w:pPr>
              <w:spacing w:after="40" w:before="40"/>
            </w:pPr>
            <w:r>
              <w:rPr>
                <w:sz w:val="16"/>
              </w:rPr>
            </w:r>
            <w:r>
              <w:rPr>
                <w:rFonts w:ascii="Courier New" w:hAnsi="Courier New" w:eastAsia="Courier New"/>
                <w:b w:val="0"/>
                <w:i w:val="0"/>
                <w:color w:val="222222"/>
                <w:sz w:val="16"/>
              </w:rPr>
              <w:t>protocols/prospero_protocol.md</w:t>
            </w:r>
          </w:p>
        </w:tc>
        <w:tc>
          <w:tcPr>
            <w:tcW w:type="dxa" w:w="4680"/>
          </w:tcPr>
          <w:p>
            <w:pPr>
              <w:spacing w:after="40" w:before="40"/>
            </w:pPr>
            <w:r>
              <w:rPr>
                <w:sz w:val="16"/>
              </w:rPr>
            </w:r>
            <w:r>
              <w:rPr>
                <w:rFonts w:ascii="Times New Roman" w:hAnsi="Times New Roman" w:eastAsia="Times New Roman"/>
                <w:b w:val="0"/>
                <w:i w:val="0"/>
                <w:sz w:val="16"/>
              </w:rPr>
              <w:t>Written protocol (CRD pending)</w:t>
            </w:r>
          </w:p>
        </w:tc>
      </w:tr>
    </w:tbl>
    <w:p/>
    <w:p>
      <w:pPr>
        <w:spacing w:before="80" w:after="80"/>
      </w:pPr>
      <w:r>
        <w:rPr>
          <w:rFonts w:ascii="Times New Roman" w:hAnsi="Times New Roman" w:eastAsia="Times New Roman"/>
          <w:b w:val="0"/>
          <w:i w:val="0"/>
          <w:color w:val="888888"/>
          <w:sz w:val="18"/>
        </w:rPr>
        <w:t>————————————————————————</w:t>
      </w:r>
    </w:p>
    <w:p>
      <w:pPr>
        <w:pStyle w:val="Heading2"/>
      </w:pPr>
      <w:r>
        <w:t>Appendix A. PRISMA-DTA checklist (abbreviated)</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before="40"/>
            </w:pPr>
            <w:r>
              <w:rPr>
                <w:b/>
                <w:sz w:val="16"/>
              </w:rPr>
            </w:r>
            <w:r>
              <w:rPr>
                <w:rFonts w:ascii="Times New Roman" w:hAnsi="Times New Roman" w:eastAsia="Times New Roman"/>
                <w:b/>
                <w:i w:val="0"/>
                <w:sz w:val="16"/>
              </w:rPr>
              <w:t>Item</w:t>
            </w:r>
          </w:p>
        </w:tc>
        <w:tc>
          <w:tcPr>
            <w:tcW w:type="dxa" w:w="4680"/>
          </w:tcPr>
          <w:p>
            <w:pPr>
              <w:spacing w:after="40" w:before="40"/>
            </w:pPr>
            <w:r>
              <w:rPr>
                <w:b/>
                <w:sz w:val="16"/>
              </w:rPr>
            </w:r>
            <w:r>
              <w:rPr>
                <w:rFonts w:ascii="Times New Roman" w:hAnsi="Times New Roman" w:eastAsia="Times New Roman"/>
                <w:b/>
                <w:i w:val="0"/>
                <w:sz w:val="16"/>
              </w:rPr>
              <w:t>Location in this paper</w:t>
            </w:r>
          </w:p>
        </w:tc>
      </w:tr>
      <w:tr>
        <w:tc>
          <w:tcPr>
            <w:tcW w:type="dxa" w:w="4680"/>
          </w:tcPr>
          <w:p>
            <w:pPr>
              <w:spacing w:after="40" w:before="40"/>
            </w:pPr>
            <w:r>
              <w:rPr>
                <w:sz w:val="16"/>
              </w:rPr>
            </w:r>
            <w:r>
              <w:rPr>
                <w:rFonts w:ascii="Times New Roman" w:hAnsi="Times New Roman" w:eastAsia="Times New Roman"/>
                <w:b w:val="0"/>
                <w:i w:val="0"/>
                <w:sz w:val="16"/>
              </w:rPr>
              <w:t>Title (identify as DTA SR/MA)</w:t>
            </w:r>
          </w:p>
        </w:tc>
        <w:tc>
          <w:tcPr>
            <w:tcW w:type="dxa" w:w="4680"/>
          </w:tcPr>
          <w:p>
            <w:pPr>
              <w:spacing w:after="40" w:before="40"/>
            </w:pPr>
            <w:r>
              <w:rPr>
                <w:sz w:val="16"/>
              </w:rPr>
            </w:r>
            <w:r>
              <w:rPr>
                <w:rFonts w:ascii="Times New Roman" w:hAnsi="Times New Roman" w:eastAsia="Times New Roman"/>
                <w:b w:val="0"/>
                <w:i w:val="0"/>
                <w:sz w:val="16"/>
              </w:rPr>
              <w:t>Title page</w:t>
            </w:r>
          </w:p>
        </w:tc>
      </w:tr>
      <w:tr>
        <w:tc>
          <w:tcPr>
            <w:tcW w:type="dxa" w:w="4680"/>
          </w:tcPr>
          <w:p>
            <w:pPr>
              <w:spacing w:after="40" w:before="40"/>
            </w:pPr>
            <w:r>
              <w:rPr>
                <w:sz w:val="16"/>
              </w:rPr>
            </w:r>
            <w:r>
              <w:rPr>
                <w:rFonts w:ascii="Times New Roman" w:hAnsi="Times New Roman" w:eastAsia="Times New Roman"/>
                <w:b w:val="0"/>
                <w:i w:val="0"/>
                <w:sz w:val="16"/>
              </w:rPr>
              <w:t>Abstract structured</w:t>
            </w:r>
          </w:p>
        </w:tc>
        <w:tc>
          <w:tcPr>
            <w:tcW w:type="dxa" w:w="4680"/>
          </w:tcPr>
          <w:p>
            <w:pPr>
              <w:spacing w:after="40" w:before="40"/>
            </w:pPr>
            <w:r>
              <w:rPr>
                <w:sz w:val="16"/>
              </w:rPr>
            </w:r>
            <w:r>
              <w:rPr>
                <w:rFonts w:ascii="Times New Roman" w:hAnsi="Times New Roman" w:eastAsia="Times New Roman"/>
                <w:b w:val="0"/>
                <w:i w:val="0"/>
                <w:sz w:val="16"/>
              </w:rPr>
              <w:t>Abstract</w:t>
            </w:r>
          </w:p>
        </w:tc>
      </w:tr>
      <w:tr>
        <w:tc>
          <w:tcPr>
            <w:tcW w:type="dxa" w:w="4680"/>
          </w:tcPr>
          <w:p>
            <w:pPr>
              <w:spacing w:after="40" w:before="40"/>
            </w:pPr>
            <w:r>
              <w:rPr>
                <w:sz w:val="16"/>
              </w:rPr>
            </w:r>
            <w:r>
              <w:rPr>
                <w:rFonts w:ascii="Times New Roman" w:hAnsi="Times New Roman" w:eastAsia="Times New Roman"/>
                <w:b w:val="0"/>
                <w:i w:val="0"/>
                <w:sz w:val="16"/>
              </w:rPr>
              <w:t>Rationale</w:t>
            </w:r>
          </w:p>
        </w:tc>
        <w:tc>
          <w:tcPr>
            <w:tcW w:type="dxa" w:w="4680"/>
          </w:tcPr>
          <w:p>
            <w:pPr>
              <w:spacing w:after="40" w:before="40"/>
            </w:pPr>
            <w:r>
              <w:rPr>
                <w:sz w:val="16"/>
              </w:rPr>
            </w:r>
            <w:r>
              <w:rPr>
                <w:rFonts w:ascii="Times New Roman" w:hAnsi="Times New Roman" w:eastAsia="Times New Roman"/>
                <w:b w:val="0"/>
                <w:i w:val="0"/>
                <w:sz w:val="16"/>
              </w:rPr>
              <w:t>Section 1</w:t>
            </w:r>
          </w:p>
        </w:tc>
      </w:tr>
      <w:tr>
        <w:tc>
          <w:tcPr>
            <w:tcW w:type="dxa" w:w="4680"/>
          </w:tcPr>
          <w:p>
            <w:pPr>
              <w:spacing w:after="40" w:before="40"/>
            </w:pPr>
            <w:r>
              <w:rPr>
                <w:sz w:val="16"/>
              </w:rPr>
            </w:r>
            <w:r>
              <w:rPr>
                <w:rFonts w:ascii="Times New Roman" w:hAnsi="Times New Roman" w:eastAsia="Times New Roman"/>
                <w:b w:val="0"/>
                <w:i w:val="0"/>
                <w:sz w:val="16"/>
              </w:rPr>
              <w:t>Objectives / PIRD</w:t>
            </w:r>
          </w:p>
        </w:tc>
        <w:tc>
          <w:tcPr>
            <w:tcW w:type="dxa" w:w="4680"/>
          </w:tcPr>
          <w:p>
            <w:pPr>
              <w:spacing w:after="40" w:before="40"/>
            </w:pPr>
            <w:r>
              <w:rPr>
                <w:sz w:val="16"/>
              </w:rPr>
            </w:r>
            <w:r>
              <w:rPr>
                <w:rFonts w:ascii="Times New Roman" w:hAnsi="Times New Roman" w:eastAsia="Times New Roman"/>
                <w:b w:val="0"/>
                <w:i w:val="0"/>
                <w:sz w:val="16"/>
              </w:rPr>
              <w:t>Sections 1.6 and 2.2</w:t>
            </w:r>
          </w:p>
        </w:tc>
      </w:tr>
      <w:tr>
        <w:tc>
          <w:tcPr>
            <w:tcW w:type="dxa" w:w="4680"/>
          </w:tcPr>
          <w:p>
            <w:pPr>
              <w:spacing w:after="40" w:before="40"/>
            </w:pPr>
            <w:r>
              <w:rPr>
                <w:sz w:val="16"/>
              </w:rPr>
            </w:r>
            <w:r>
              <w:rPr>
                <w:rFonts w:ascii="Times New Roman" w:hAnsi="Times New Roman" w:eastAsia="Times New Roman"/>
                <w:b w:val="0"/>
                <w:i w:val="0"/>
                <w:sz w:val="16"/>
              </w:rPr>
              <w:t>Protocol and registration</w:t>
            </w:r>
          </w:p>
        </w:tc>
        <w:tc>
          <w:tcPr>
            <w:tcW w:type="dxa" w:w="4680"/>
          </w:tcPr>
          <w:p>
            <w:pPr>
              <w:spacing w:after="40" w:before="40"/>
            </w:pPr>
            <w:r>
              <w:rPr>
                <w:sz w:val="16"/>
              </w:rPr>
            </w:r>
            <w:r>
              <w:rPr>
                <w:rFonts w:ascii="Times New Roman" w:hAnsi="Times New Roman" w:eastAsia="Times New Roman"/>
                <w:b w:val="0"/>
                <w:i w:val="0"/>
                <w:sz w:val="16"/>
              </w:rPr>
              <w:t>Sections 2.1 and 2.12</w:t>
            </w:r>
          </w:p>
        </w:tc>
      </w:tr>
      <w:tr>
        <w:tc>
          <w:tcPr>
            <w:tcW w:type="dxa" w:w="4680"/>
          </w:tcPr>
          <w:p>
            <w:pPr>
              <w:spacing w:after="40" w:before="40"/>
            </w:pPr>
            <w:r>
              <w:rPr>
                <w:sz w:val="16"/>
              </w:rPr>
            </w:r>
            <w:r>
              <w:rPr>
                <w:rFonts w:ascii="Times New Roman" w:hAnsi="Times New Roman" w:eastAsia="Times New Roman"/>
                <w:b w:val="0"/>
                <w:i w:val="0"/>
                <w:sz w:val="16"/>
              </w:rPr>
              <w:t>Eligibility</w:t>
            </w:r>
          </w:p>
        </w:tc>
        <w:tc>
          <w:tcPr>
            <w:tcW w:type="dxa" w:w="4680"/>
          </w:tcPr>
          <w:p>
            <w:pPr>
              <w:spacing w:after="40" w:before="40"/>
            </w:pPr>
            <w:r>
              <w:rPr>
                <w:sz w:val="16"/>
              </w:rPr>
            </w:r>
            <w:r>
              <w:rPr>
                <w:rFonts w:ascii="Times New Roman" w:hAnsi="Times New Roman" w:eastAsia="Times New Roman"/>
                <w:b w:val="0"/>
                <w:i w:val="0"/>
                <w:sz w:val="16"/>
              </w:rPr>
              <w:t>Section 2.3</w:t>
            </w:r>
          </w:p>
        </w:tc>
      </w:tr>
      <w:tr>
        <w:tc>
          <w:tcPr>
            <w:tcW w:type="dxa" w:w="4680"/>
          </w:tcPr>
          <w:p>
            <w:pPr>
              <w:spacing w:after="40" w:before="40"/>
            </w:pPr>
            <w:r>
              <w:rPr>
                <w:sz w:val="16"/>
              </w:rPr>
            </w:r>
            <w:r>
              <w:rPr>
                <w:rFonts w:ascii="Times New Roman" w:hAnsi="Times New Roman" w:eastAsia="Times New Roman"/>
                <w:b w:val="0"/>
                <w:i w:val="0"/>
                <w:sz w:val="16"/>
              </w:rPr>
              <w:t>Information sources</w:t>
            </w:r>
          </w:p>
        </w:tc>
        <w:tc>
          <w:tcPr>
            <w:tcW w:type="dxa" w:w="4680"/>
          </w:tcPr>
          <w:p>
            <w:pPr>
              <w:spacing w:after="40" w:before="40"/>
            </w:pPr>
            <w:r>
              <w:rPr>
                <w:sz w:val="16"/>
              </w:rPr>
            </w:r>
            <w:r>
              <w:rPr>
                <w:rFonts w:ascii="Times New Roman" w:hAnsi="Times New Roman" w:eastAsia="Times New Roman"/>
                <w:b w:val="0"/>
                <w:i w:val="0"/>
                <w:sz w:val="16"/>
              </w:rPr>
              <w:t>Section 2.4; Table 1</w:t>
            </w:r>
          </w:p>
        </w:tc>
      </w:tr>
      <w:tr>
        <w:tc>
          <w:tcPr>
            <w:tcW w:type="dxa" w:w="4680"/>
          </w:tcPr>
          <w:p>
            <w:pPr>
              <w:spacing w:after="40" w:before="40"/>
            </w:pPr>
            <w:r>
              <w:rPr>
                <w:sz w:val="16"/>
              </w:rPr>
            </w:r>
            <w:r>
              <w:rPr>
                <w:rFonts w:ascii="Times New Roman" w:hAnsi="Times New Roman" w:eastAsia="Times New Roman"/>
                <w:b w:val="0"/>
                <w:i w:val="0"/>
                <w:sz w:val="16"/>
              </w:rPr>
              <w:t>Search</w:t>
            </w:r>
          </w:p>
        </w:tc>
        <w:tc>
          <w:tcPr>
            <w:tcW w:type="dxa" w:w="4680"/>
          </w:tcPr>
          <w:p>
            <w:pPr>
              <w:spacing w:after="40" w:before="40"/>
            </w:pPr>
            <w:r>
              <w:rPr>
                <w:sz w:val="16"/>
              </w:rPr>
            </w:r>
            <w:r>
              <w:rPr>
                <w:rFonts w:ascii="Times New Roman" w:hAnsi="Times New Roman" w:eastAsia="Times New Roman"/>
                <w:b w:val="0"/>
                <w:i w:val="0"/>
                <w:sz w:val="16"/>
              </w:rPr>
              <w:t xml:space="preserve">Section 2.4; </w:t>
            </w:r>
            <w:r>
              <w:rPr>
                <w:rFonts w:ascii="Courier New" w:hAnsi="Courier New" w:eastAsia="Courier New"/>
                <w:b w:val="0"/>
                <w:i w:val="0"/>
                <w:color w:val="222222"/>
                <w:sz w:val="16"/>
              </w:rPr>
              <w:t>data/search_strategies.md</w:t>
            </w:r>
          </w:p>
        </w:tc>
      </w:tr>
      <w:tr>
        <w:tc>
          <w:tcPr>
            <w:tcW w:type="dxa" w:w="4680"/>
          </w:tcPr>
          <w:p>
            <w:pPr>
              <w:spacing w:after="40" w:before="40"/>
            </w:pPr>
            <w:r>
              <w:rPr>
                <w:sz w:val="16"/>
              </w:rPr>
            </w:r>
            <w:r>
              <w:rPr>
                <w:rFonts w:ascii="Times New Roman" w:hAnsi="Times New Roman" w:eastAsia="Times New Roman"/>
                <w:b w:val="0"/>
                <w:i w:val="0"/>
                <w:sz w:val="16"/>
              </w:rPr>
              <w:t>Study selection</w:t>
            </w:r>
          </w:p>
        </w:tc>
        <w:tc>
          <w:tcPr>
            <w:tcW w:type="dxa" w:w="4680"/>
          </w:tcPr>
          <w:p>
            <w:pPr>
              <w:spacing w:after="40" w:before="40"/>
            </w:pPr>
            <w:r>
              <w:rPr>
                <w:sz w:val="16"/>
              </w:rPr>
            </w:r>
            <w:r>
              <w:rPr>
                <w:rFonts w:ascii="Times New Roman" w:hAnsi="Times New Roman" w:eastAsia="Times New Roman"/>
                <w:b w:val="0"/>
                <w:i w:val="0"/>
                <w:sz w:val="16"/>
              </w:rPr>
              <w:t>Sections 2.5 and 3.1; Figure 1</w:t>
            </w:r>
          </w:p>
        </w:tc>
      </w:tr>
      <w:tr>
        <w:tc>
          <w:tcPr>
            <w:tcW w:type="dxa" w:w="4680"/>
          </w:tcPr>
          <w:p>
            <w:pPr>
              <w:spacing w:after="40" w:before="40"/>
            </w:pPr>
            <w:r>
              <w:rPr>
                <w:sz w:val="16"/>
              </w:rPr>
            </w:r>
            <w:r>
              <w:rPr>
                <w:rFonts w:ascii="Times New Roman" w:hAnsi="Times New Roman" w:eastAsia="Times New Roman"/>
                <w:b w:val="0"/>
                <w:i w:val="0"/>
                <w:sz w:val="16"/>
              </w:rPr>
              <w:t>Data collection / items</w:t>
            </w:r>
          </w:p>
        </w:tc>
        <w:tc>
          <w:tcPr>
            <w:tcW w:type="dxa" w:w="4680"/>
          </w:tcPr>
          <w:p>
            <w:pPr>
              <w:spacing w:after="40" w:before="40"/>
            </w:pPr>
            <w:r>
              <w:rPr>
                <w:sz w:val="16"/>
              </w:rPr>
            </w:r>
            <w:r>
              <w:rPr>
                <w:rFonts w:ascii="Times New Roman" w:hAnsi="Times New Roman" w:eastAsia="Times New Roman"/>
                <w:b w:val="0"/>
                <w:i w:val="0"/>
                <w:sz w:val="16"/>
              </w:rPr>
              <w:t>Sections 2.6 and 3.2; Table 4</w:t>
            </w:r>
          </w:p>
        </w:tc>
      </w:tr>
      <w:tr>
        <w:tc>
          <w:tcPr>
            <w:tcW w:type="dxa" w:w="4680"/>
          </w:tcPr>
          <w:p>
            <w:pPr>
              <w:spacing w:after="40" w:before="40"/>
            </w:pPr>
            <w:r>
              <w:rPr>
                <w:sz w:val="16"/>
              </w:rPr>
            </w:r>
            <w:r>
              <w:rPr>
                <w:rFonts w:ascii="Times New Roman" w:hAnsi="Times New Roman" w:eastAsia="Times New Roman"/>
                <w:b w:val="0"/>
                <w:i w:val="0"/>
                <w:sz w:val="16"/>
              </w:rPr>
              <w:t>Risk of bias</w:t>
            </w:r>
          </w:p>
        </w:tc>
        <w:tc>
          <w:tcPr>
            <w:tcW w:type="dxa" w:w="4680"/>
          </w:tcPr>
          <w:p>
            <w:pPr>
              <w:spacing w:after="40" w:before="40"/>
            </w:pPr>
            <w:r>
              <w:rPr>
                <w:sz w:val="16"/>
              </w:rPr>
            </w:r>
            <w:r>
              <w:rPr>
                <w:rFonts w:ascii="Times New Roman" w:hAnsi="Times New Roman" w:eastAsia="Times New Roman"/>
                <w:b w:val="0"/>
                <w:i w:val="0"/>
                <w:sz w:val="16"/>
              </w:rPr>
              <w:t>Sections 2.7 and 3.3; Table 5; Figures 2–3</w:t>
            </w:r>
          </w:p>
        </w:tc>
      </w:tr>
      <w:tr>
        <w:tc>
          <w:tcPr>
            <w:tcW w:type="dxa" w:w="4680"/>
          </w:tcPr>
          <w:p>
            <w:pPr>
              <w:spacing w:after="40" w:before="40"/>
            </w:pPr>
            <w:r>
              <w:rPr>
                <w:sz w:val="16"/>
              </w:rPr>
            </w:r>
            <w:r>
              <w:rPr>
                <w:rFonts w:ascii="Times New Roman" w:hAnsi="Times New Roman" w:eastAsia="Times New Roman"/>
                <w:b w:val="0"/>
                <w:i w:val="0"/>
                <w:sz w:val="16"/>
              </w:rPr>
              <w:t>Diagnostic accuracy measures</w:t>
            </w:r>
          </w:p>
        </w:tc>
        <w:tc>
          <w:tcPr>
            <w:tcW w:type="dxa" w:w="4680"/>
          </w:tcPr>
          <w:p>
            <w:pPr>
              <w:spacing w:after="40" w:before="40"/>
            </w:pPr>
            <w:r>
              <w:rPr>
                <w:sz w:val="16"/>
              </w:rPr>
            </w:r>
            <w:r>
              <w:rPr>
                <w:rFonts w:ascii="Times New Roman" w:hAnsi="Times New Roman" w:eastAsia="Times New Roman"/>
                <w:b w:val="0"/>
                <w:i w:val="0"/>
                <w:sz w:val="16"/>
              </w:rPr>
              <w:t>Section 2.8</w:t>
            </w:r>
          </w:p>
        </w:tc>
      </w:tr>
      <w:tr>
        <w:tc>
          <w:tcPr>
            <w:tcW w:type="dxa" w:w="4680"/>
          </w:tcPr>
          <w:p>
            <w:pPr>
              <w:spacing w:after="40" w:before="40"/>
            </w:pPr>
            <w:r>
              <w:rPr>
                <w:sz w:val="16"/>
              </w:rPr>
            </w:r>
            <w:r>
              <w:rPr>
                <w:rFonts w:ascii="Times New Roman" w:hAnsi="Times New Roman" w:eastAsia="Times New Roman"/>
                <w:b w:val="0"/>
                <w:i w:val="0"/>
                <w:sz w:val="16"/>
              </w:rPr>
              <w:t>Synthesis methods</w:t>
            </w:r>
          </w:p>
        </w:tc>
        <w:tc>
          <w:tcPr>
            <w:tcW w:type="dxa" w:w="4680"/>
          </w:tcPr>
          <w:p>
            <w:pPr>
              <w:spacing w:after="40" w:before="40"/>
            </w:pPr>
            <w:r>
              <w:rPr>
                <w:sz w:val="16"/>
              </w:rPr>
            </w:r>
            <w:r>
              <w:rPr>
                <w:rFonts w:ascii="Times New Roman" w:hAnsi="Times New Roman" w:eastAsia="Times New Roman"/>
                <w:b w:val="0"/>
                <w:i w:val="0"/>
                <w:sz w:val="16"/>
              </w:rPr>
              <w:t>Sections 2.8–2.10</w:t>
            </w:r>
          </w:p>
        </w:tc>
      </w:tr>
      <w:tr>
        <w:tc>
          <w:tcPr>
            <w:tcW w:type="dxa" w:w="4680"/>
          </w:tcPr>
          <w:p>
            <w:pPr>
              <w:spacing w:after="40" w:before="40"/>
            </w:pPr>
            <w:r>
              <w:rPr>
                <w:sz w:val="16"/>
              </w:rPr>
            </w:r>
            <w:r>
              <w:rPr>
                <w:rFonts w:ascii="Times New Roman" w:hAnsi="Times New Roman" w:eastAsia="Times New Roman"/>
                <w:b w:val="0"/>
                <w:i w:val="0"/>
                <w:sz w:val="16"/>
              </w:rPr>
              <w:t>Study characteristics</w:t>
            </w:r>
          </w:p>
        </w:tc>
        <w:tc>
          <w:tcPr>
            <w:tcW w:type="dxa" w:w="4680"/>
          </w:tcPr>
          <w:p>
            <w:pPr>
              <w:spacing w:after="40" w:before="40"/>
            </w:pPr>
            <w:r>
              <w:rPr>
                <w:sz w:val="16"/>
              </w:rPr>
            </w:r>
            <w:r>
              <w:rPr>
                <w:rFonts w:ascii="Times New Roman" w:hAnsi="Times New Roman" w:eastAsia="Times New Roman"/>
                <w:b w:val="0"/>
                <w:i w:val="0"/>
                <w:sz w:val="16"/>
              </w:rPr>
              <w:t>Table 3</w:t>
            </w:r>
          </w:p>
        </w:tc>
      </w:tr>
      <w:tr>
        <w:tc>
          <w:tcPr>
            <w:tcW w:type="dxa" w:w="4680"/>
          </w:tcPr>
          <w:p>
            <w:pPr>
              <w:spacing w:after="40" w:before="40"/>
            </w:pPr>
            <w:r>
              <w:rPr>
                <w:sz w:val="16"/>
              </w:rPr>
            </w:r>
            <w:r>
              <w:rPr>
                <w:rFonts w:ascii="Times New Roman" w:hAnsi="Times New Roman" w:eastAsia="Times New Roman"/>
                <w:b w:val="0"/>
                <w:i w:val="0"/>
                <w:sz w:val="16"/>
              </w:rPr>
              <w:t>Results of individual studies</w:t>
            </w:r>
          </w:p>
        </w:tc>
        <w:tc>
          <w:tcPr>
            <w:tcW w:type="dxa" w:w="4680"/>
          </w:tcPr>
          <w:p>
            <w:pPr>
              <w:spacing w:after="40" w:before="40"/>
            </w:pPr>
            <w:r>
              <w:rPr>
                <w:sz w:val="16"/>
              </w:rPr>
            </w:r>
            <w:r>
              <w:rPr>
                <w:rFonts w:ascii="Times New Roman" w:hAnsi="Times New Roman" w:eastAsia="Times New Roman"/>
                <w:b w:val="0"/>
                <w:i w:val="0"/>
                <w:sz w:val="16"/>
              </w:rPr>
              <w:t>Table 4; Figure 4</w:t>
            </w:r>
          </w:p>
        </w:tc>
      </w:tr>
      <w:tr>
        <w:tc>
          <w:tcPr>
            <w:tcW w:type="dxa" w:w="4680"/>
          </w:tcPr>
          <w:p>
            <w:pPr>
              <w:spacing w:after="40" w:before="40"/>
            </w:pPr>
            <w:r>
              <w:rPr>
                <w:sz w:val="16"/>
              </w:rPr>
            </w:r>
            <w:r>
              <w:rPr>
                <w:rFonts w:ascii="Times New Roman" w:hAnsi="Times New Roman" w:eastAsia="Times New Roman"/>
                <w:b w:val="0"/>
                <w:i w:val="0"/>
                <w:sz w:val="16"/>
              </w:rPr>
              <w:t>Synthesis of results</w:t>
            </w:r>
          </w:p>
        </w:tc>
        <w:tc>
          <w:tcPr>
            <w:tcW w:type="dxa" w:w="4680"/>
          </w:tcPr>
          <w:p>
            <w:pPr>
              <w:spacing w:after="40" w:before="40"/>
            </w:pPr>
            <w:r>
              <w:rPr>
                <w:sz w:val="16"/>
              </w:rPr>
            </w:r>
            <w:r>
              <w:rPr>
                <w:rFonts w:ascii="Times New Roman" w:hAnsi="Times New Roman" w:eastAsia="Times New Roman"/>
                <w:b w:val="0"/>
                <w:i w:val="0"/>
                <w:sz w:val="16"/>
              </w:rPr>
              <w:t>Section 3.4; Table 6</w:t>
            </w:r>
          </w:p>
        </w:tc>
      </w:tr>
      <w:tr>
        <w:tc>
          <w:tcPr>
            <w:tcW w:type="dxa" w:w="4680"/>
          </w:tcPr>
          <w:p>
            <w:pPr>
              <w:spacing w:after="40" w:before="40"/>
            </w:pPr>
            <w:r>
              <w:rPr>
                <w:sz w:val="16"/>
              </w:rPr>
            </w:r>
            <w:r>
              <w:rPr>
                <w:rFonts w:ascii="Times New Roman" w:hAnsi="Times New Roman" w:eastAsia="Times New Roman"/>
                <w:b w:val="0"/>
                <w:i w:val="0"/>
                <w:sz w:val="16"/>
              </w:rPr>
              <w:t>Heterogeneity / additional analyses</w:t>
            </w:r>
          </w:p>
        </w:tc>
        <w:tc>
          <w:tcPr>
            <w:tcW w:type="dxa" w:w="4680"/>
          </w:tcPr>
          <w:p>
            <w:pPr>
              <w:spacing w:after="40" w:before="40"/>
            </w:pPr>
            <w:r>
              <w:rPr>
                <w:sz w:val="16"/>
              </w:rPr>
            </w:r>
            <w:r>
              <w:rPr>
                <w:rFonts w:ascii="Times New Roman" w:hAnsi="Times New Roman" w:eastAsia="Times New Roman"/>
                <w:b w:val="0"/>
                <w:i w:val="0"/>
                <w:sz w:val="16"/>
              </w:rPr>
              <w:t>Sections 3.4–3.6; Table 7</w:t>
            </w:r>
          </w:p>
        </w:tc>
      </w:tr>
      <w:tr>
        <w:tc>
          <w:tcPr>
            <w:tcW w:type="dxa" w:w="4680"/>
          </w:tcPr>
          <w:p>
            <w:pPr>
              <w:spacing w:after="40" w:before="40"/>
            </w:pPr>
            <w:r>
              <w:rPr>
                <w:sz w:val="16"/>
              </w:rPr>
            </w:r>
            <w:r>
              <w:rPr>
                <w:rFonts w:ascii="Times New Roman" w:hAnsi="Times New Roman" w:eastAsia="Times New Roman"/>
                <w:b w:val="0"/>
                <w:i w:val="0"/>
                <w:sz w:val="16"/>
              </w:rPr>
              <w:t>Certainty</w:t>
            </w:r>
          </w:p>
        </w:tc>
        <w:tc>
          <w:tcPr>
            <w:tcW w:type="dxa" w:w="4680"/>
          </w:tcPr>
          <w:p>
            <w:pPr>
              <w:spacing w:after="40" w:before="40"/>
            </w:pPr>
            <w:r>
              <w:rPr>
                <w:sz w:val="16"/>
              </w:rPr>
            </w:r>
            <w:r>
              <w:rPr>
                <w:rFonts w:ascii="Times New Roman" w:hAnsi="Times New Roman" w:eastAsia="Times New Roman"/>
                <w:b w:val="0"/>
                <w:i w:val="0"/>
                <w:sz w:val="16"/>
              </w:rPr>
              <w:t>Section 3.7; Table 8</w:t>
            </w:r>
          </w:p>
        </w:tc>
      </w:tr>
      <w:tr>
        <w:tc>
          <w:tcPr>
            <w:tcW w:type="dxa" w:w="4680"/>
          </w:tcPr>
          <w:p>
            <w:pPr>
              <w:spacing w:after="40" w:before="40"/>
            </w:pPr>
            <w:r>
              <w:rPr>
                <w:sz w:val="16"/>
              </w:rPr>
            </w:r>
            <w:r>
              <w:rPr>
                <w:rFonts w:ascii="Times New Roman" w:hAnsi="Times New Roman" w:eastAsia="Times New Roman"/>
                <w:b w:val="0"/>
                <w:i w:val="0"/>
                <w:sz w:val="16"/>
              </w:rPr>
              <w:t>Limitations</w:t>
            </w:r>
          </w:p>
        </w:tc>
        <w:tc>
          <w:tcPr>
            <w:tcW w:type="dxa" w:w="4680"/>
          </w:tcPr>
          <w:p>
            <w:pPr>
              <w:spacing w:after="40" w:before="40"/>
            </w:pPr>
            <w:r>
              <w:rPr>
                <w:sz w:val="16"/>
              </w:rPr>
            </w:r>
            <w:r>
              <w:rPr>
                <w:rFonts w:ascii="Times New Roman" w:hAnsi="Times New Roman" w:eastAsia="Times New Roman"/>
                <w:b w:val="0"/>
                <w:i w:val="0"/>
                <w:sz w:val="16"/>
              </w:rPr>
              <w:t>Section 4.4</w:t>
            </w:r>
          </w:p>
        </w:tc>
      </w:tr>
      <w:tr>
        <w:tc>
          <w:tcPr>
            <w:tcW w:type="dxa" w:w="4680"/>
          </w:tcPr>
          <w:p>
            <w:pPr>
              <w:spacing w:after="40" w:before="40"/>
            </w:pPr>
            <w:r>
              <w:rPr>
                <w:sz w:val="16"/>
              </w:rPr>
            </w:r>
            <w:r>
              <w:rPr>
                <w:rFonts w:ascii="Times New Roman" w:hAnsi="Times New Roman" w:eastAsia="Times New Roman"/>
                <w:b w:val="0"/>
                <w:i w:val="0"/>
                <w:sz w:val="16"/>
              </w:rPr>
              <w:t>Conclusions</w:t>
            </w:r>
          </w:p>
        </w:tc>
        <w:tc>
          <w:tcPr>
            <w:tcW w:type="dxa" w:w="4680"/>
          </w:tcPr>
          <w:p>
            <w:pPr>
              <w:spacing w:after="40" w:before="40"/>
            </w:pPr>
            <w:r>
              <w:rPr>
                <w:sz w:val="16"/>
              </w:rPr>
            </w:r>
            <w:r>
              <w:rPr>
                <w:rFonts w:ascii="Times New Roman" w:hAnsi="Times New Roman" w:eastAsia="Times New Roman"/>
                <w:b w:val="0"/>
                <w:i w:val="0"/>
                <w:sz w:val="16"/>
              </w:rPr>
              <w:t>Section 4.6</w:t>
            </w:r>
          </w:p>
        </w:tc>
      </w:tr>
      <w:tr>
        <w:tc>
          <w:tcPr>
            <w:tcW w:type="dxa" w:w="4680"/>
          </w:tcPr>
          <w:p>
            <w:pPr>
              <w:spacing w:after="40" w:before="40"/>
            </w:pPr>
            <w:r>
              <w:rPr>
                <w:sz w:val="16"/>
              </w:rPr>
            </w:r>
            <w:r>
              <w:rPr>
                <w:rFonts w:ascii="Times New Roman" w:hAnsi="Times New Roman" w:eastAsia="Times New Roman"/>
                <w:b w:val="0"/>
                <w:i w:val="0"/>
                <w:sz w:val="16"/>
              </w:rPr>
              <w:t>Funding</w:t>
            </w:r>
          </w:p>
        </w:tc>
        <w:tc>
          <w:tcPr>
            <w:tcW w:type="dxa" w:w="4680"/>
          </w:tcPr>
          <w:p>
            <w:pPr>
              <w:spacing w:after="40" w:before="40"/>
            </w:pPr>
            <w:r>
              <w:rPr>
                <w:sz w:val="16"/>
              </w:rPr>
            </w:r>
            <w:r>
              <w:rPr>
                <w:rFonts w:ascii="Times New Roman" w:hAnsi="Times New Roman" w:eastAsia="Times New Roman"/>
                <w:b w:val="0"/>
                <w:i w:val="0"/>
                <w:sz w:val="16"/>
              </w:rPr>
              <w:t>Title page</w:t>
            </w:r>
          </w:p>
        </w:tc>
      </w:tr>
    </w:tbl>
    <w:p/>
    <w:p>
      <w:pPr>
        <w:spacing w:before="80" w:after="80"/>
      </w:pPr>
      <w:r>
        <w:rPr>
          <w:rFonts w:ascii="Times New Roman" w:hAnsi="Times New Roman" w:eastAsia="Times New Roman"/>
          <w:b w:val="0"/>
          <w:i w:val="0"/>
          <w:color w:val="888888"/>
          <w:sz w:val="18"/>
        </w:rPr>
        <w:t>————————————————————————</w:t>
      </w:r>
    </w:p>
    <w:p>
      <w:pPr>
        <w:pStyle w:val="Heading2"/>
      </w:pPr>
      <w:r>
        <w:t>References</w:t>
      </w:r>
    </w:p>
    <w:p>
      <w:pPr>
        <w:pStyle w:val="ListNumber"/>
      </w:pPr>
      <w:r>
        <w:rPr>
          <w:rFonts w:ascii="Times New Roman" w:hAnsi="Times New Roman" w:eastAsia="Times New Roman"/>
          <w:b w:val="0"/>
          <w:i w:val="0"/>
          <w:sz w:val="22"/>
        </w:rPr>
        <w:t xml:space="preserve">Guzman MG, Gubler DJ, Izquierdo A, Martinez E, Halstead SB. Dengue infection. </w:t>
      </w:r>
      <w:r>
        <w:rPr>
          <w:rFonts w:ascii="Times New Roman" w:hAnsi="Times New Roman" w:eastAsia="Times New Roman"/>
          <w:b w:val="0"/>
          <w:i/>
          <w:sz w:val="22"/>
        </w:rPr>
        <w:t>Nat Rev Dis Primers</w:t>
      </w:r>
      <w:r>
        <w:rPr>
          <w:rFonts w:ascii="Times New Roman" w:hAnsi="Times New Roman" w:eastAsia="Times New Roman"/>
          <w:b w:val="0"/>
          <w:i w:val="0"/>
          <w:sz w:val="22"/>
        </w:rPr>
        <w:t>. 2016;2:16055. doi:10.1038/nrdp.2016.55.</w:t>
      </w:r>
    </w:p>
    <w:p>
      <w:pPr>
        <w:pStyle w:val="ListNumber"/>
      </w:pPr>
      <w:r>
        <w:rPr>
          <w:rFonts w:ascii="Times New Roman" w:hAnsi="Times New Roman" w:eastAsia="Times New Roman"/>
          <w:b w:val="0"/>
          <w:i w:val="0"/>
          <w:sz w:val="22"/>
        </w:rPr>
        <w:t xml:space="preserve">World Health Organization. </w:t>
      </w:r>
      <w:r>
        <w:rPr>
          <w:rFonts w:ascii="Times New Roman" w:hAnsi="Times New Roman" w:eastAsia="Times New Roman"/>
          <w:b w:val="0"/>
          <w:i/>
          <w:sz w:val="22"/>
        </w:rPr>
        <w:t>Dengue: Guidelines for Diagnosis, Treatment, Prevention and Control</w:t>
      </w:r>
      <w:r>
        <w:rPr>
          <w:rFonts w:ascii="Times New Roman" w:hAnsi="Times New Roman" w:eastAsia="Times New Roman"/>
          <w:b w:val="0"/>
          <w:i w:val="0"/>
          <w:sz w:val="22"/>
        </w:rPr>
        <w:t>. New edition. Geneva: WHO; 2009.</w:t>
      </w:r>
    </w:p>
    <w:p>
      <w:pPr>
        <w:pStyle w:val="ListNumber"/>
      </w:pPr>
      <w:r>
        <w:rPr>
          <w:rFonts w:ascii="Times New Roman" w:hAnsi="Times New Roman" w:eastAsia="Times New Roman"/>
          <w:b w:val="0"/>
          <w:i w:val="0"/>
          <w:sz w:val="22"/>
        </w:rPr>
        <w:t xml:space="preserve">Bhatt S, Gething PW, Brady OJ, et al. The global distribution and burden of dengue. </w:t>
      </w:r>
      <w:r>
        <w:rPr>
          <w:rFonts w:ascii="Times New Roman" w:hAnsi="Times New Roman" w:eastAsia="Times New Roman"/>
          <w:b w:val="0"/>
          <w:i/>
          <w:sz w:val="22"/>
        </w:rPr>
        <w:t>Nature</w:t>
      </w:r>
      <w:r>
        <w:rPr>
          <w:rFonts w:ascii="Times New Roman" w:hAnsi="Times New Roman" w:eastAsia="Times New Roman"/>
          <w:b w:val="0"/>
          <w:i w:val="0"/>
          <w:sz w:val="22"/>
        </w:rPr>
        <w:t>. 2013;496(7446):504-507. doi:10.1038/nature12060.</w:t>
      </w:r>
    </w:p>
    <w:p>
      <w:pPr>
        <w:pStyle w:val="ListNumber"/>
      </w:pPr>
      <w:r>
        <w:rPr>
          <w:rFonts w:ascii="Times New Roman" w:hAnsi="Times New Roman" w:eastAsia="Times New Roman"/>
          <w:b w:val="0"/>
          <w:i w:val="0"/>
          <w:sz w:val="22"/>
        </w:rPr>
        <w:t xml:space="preserve">World Health Organization. Dengue: global situation, surveillance and progress — 2024 update. </w:t>
      </w:r>
      <w:r>
        <w:rPr>
          <w:rFonts w:ascii="Times New Roman" w:hAnsi="Times New Roman" w:eastAsia="Times New Roman"/>
          <w:b w:val="0"/>
          <w:i/>
          <w:sz w:val="22"/>
        </w:rPr>
        <w:t>Wkly Epidemiol Rec</w:t>
      </w:r>
      <w:r>
        <w:rPr>
          <w:rFonts w:ascii="Times New Roman" w:hAnsi="Times New Roman" w:eastAsia="Times New Roman"/>
          <w:b w:val="0"/>
          <w:i w:val="0"/>
          <w:sz w:val="22"/>
        </w:rPr>
        <w:t>. 2024;99(50/52):665-678.</w:t>
      </w:r>
    </w:p>
    <w:p>
      <w:pPr>
        <w:pStyle w:val="ListNumber"/>
      </w:pPr>
      <w:r>
        <w:rPr>
          <w:rFonts w:ascii="Times New Roman" w:hAnsi="Times New Roman" w:eastAsia="Times New Roman"/>
          <w:b w:val="0"/>
          <w:i w:val="0"/>
          <w:sz w:val="22"/>
        </w:rPr>
        <w:t xml:space="preserve">Messina JP, Brady OJ, Golding N, et al. The current and future global distribution and population at risk of dengue. </w:t>
      </w:r>
      <w:r>
        <w:rPr>
          <w:rFonts w:ascii="Times New Roman" w:hAnsi="Times New Roman" w:eastAsia="Times New Roman"/>
          <w:b w:val="0"/>
          <w:i/>
          <w:sz w:val="22"/>
        </w:rPr>
        <w:t>Nat Microbiol</w:t>
      </w:r>
      <w:r>
        <w:rPr>
          <w:rFonts w:ascii="Times New Roman" w:hAnsi="Times New Roman" w:eastAsia="Times New Roman"/>
          <w:b w:val="0"/>
          <w:i w:val="0"/>
          <w:sz w:val="22"/>
        </w:rPr>
        <w:t>. 2019;4(9):1508-1515. doi:10.1038/s41564-019-0476-8.</w:t>
      </w:r>
    </w:p>
    <w:p>
      <w:pPr>
        <w:pStyle w:val="ListNumber"/>
      </w:pPr>
      <w:r>
        <w:rPr>
          <w:rFonts w:ascii="Times New Roman" w:hAnsi="Times New Roman" w:eastAsia="Times New Roman"/>
          <w:b w:val="0"/>
          <w:i w:val="0"/>
          <w:sz w:val="22"/>
        </w:rPr>
        <w:t xml:space="preserve">Yang X, Quam MBM, Zhang T, Sang S. Global burden for dengue and the evolving pattern in the past 30 years. </w:t>
      </w:r>
      <w:r>
        <w:rPr>
          <w:rFonts w:ascii="Times New Roman" w:hAnsi="Times New Roman" w:eastAsia="Times New Roman"/>
          <w:b w:val="0"/>
          <w:i/>
          <w:sz w:val="22"/>
        </w:rPr>
        <w:t>J Travel Med</w:t>
      </w:r>
      <w:r>
        <w:rPr>
          <w:rFonts w:ascii="Times New Roman" w:hAnsi="Times New Roman" w:eastAsia="Times New Roman"/>
          <w:b w:val="0"/>
          <w:i w:val="0"/>
          <w:sz w:val="22"/>
        </w:rPr>
        <w:t>. 2021;28(8):taab146. doi:10.1093/jtm/taab146.</w:t>
      </w:r>
    </w:p>
    <w:p>
      <w:pPr>
        <w:pStyle w:val="ListNumber"/>
      </w:pPr>
      <w:r>
        <w:rPr>
          <w:rFonts w:ascii="Times New Roman" w:hAnsi="Times New Roman" w:eastAsia="Times New Roman"/>
          <w:b w:val="0"/>
          <w:i w:val="0"/>
          <w:sz w:val="22"/>
        </w:rPr>
        <w:t xml:space="preserve">Wilder-Smith A, Ooi EE, Horstick O, Wills B. Dengue. </w:t>
      </w:r>
      <w:r>
        <w:rPr>
          <w:rFonts w:ascii="Times New Roman" w:hAnsi="Times New Roman" w:eastAsia="Times New Roman"/>
          <w:b w:val="0"/>
          <w:i/>
          <w:sz w:val="22"/>
        </w:rPr>
        <w:t>Lancet</w:t>
      </w:r>
      <w:r>
        <w:rPr>
          <w:rFonts w:ascii="Times New Roman" w:hAnsi="Times New Roman" w:eastAsia="Times New Roman"/>
          <w:b w:val="0"/>
          <w:i w:val="0"/>
          <w:sz w:val="22"/>
        </w:rPr>
        <w:t>. 2019;393(10169):350-363. doi:10.1016/S0140-6736(18)32560-1.</w:t>
      </w:r>
    </w:p>
    <w:p>
      <w:pPr>
        <w:pStyle w:val="ListNumber"/>
      </w:pPr>
      <w:r>
        <w:rPr>
          <w:rFonts w:ascii="Times New Roman" w:hAnsi="Times New Roman" w:eastAsia="Times New Roman"/>
          <w:b w:val="0"/>
          <w:i w:val="0"/>
          <w:sz w:val="22"/>
        </w:rPr>
        <w:t xml:space="preserve">Simmons CP, Farrar JJ, Nguyen VV, Wills B. Dengue. </w:t>
      </w:r>
      <w:r>
        <w:rPr>
          <w:rFonts w:ascii="Times New Roman" w:hAnsi="Times New Roman" w:eastAsia="Times New Roman"/>
          <w:b w:val="0"/>
          <w:i/>
          <w:sz w:val="22"/>
        </w:rPr>
        <w:t>N Engl J Med</w:t>
      </w:r>
      <w:r>
        <w:rPr>
          <w:rFonts w:ascii="Times New Roman" w:hAnsi="Times New Roman" w:eastAsia="Times New Roman"/>
          <w:b w:val="0"/>
          <w:i w:val="0"/>
          <w:sz w:val="22"/>
        </w:rPr>
        <w:t>. 2012;366(15):1423-1432. doi:10.1056/NEJMra1110265.</w:t>
      </w:r>
    </w:p>
    <w:p>
      <w:pPr>
        <w:pStyle w:val="ListNumber"/>
      </w:pPr>
      <w:r>
        <w:rPr>
          <w:rFonts w:ascii="Times New Roman" w:hAnsi="Times New Roman" w:eastAsia="Times New Roman"/>
          <w:b w:val="0"/>
          <w:i w:val="0"/>
          <w:sz w:val="22"/>
        </w:rPr>
        <w:t xml:space="preserve">Muller DA, Depelsenaire ACI, Young PR. Clinical and laboratory diagnosis of dengue virus infection. </w:t>
      </w:r>
      <w:r>
        <w:rPr>
          <w:rFonts w:ascii="Times New Roman" w:hAnsi="Times New Roman" w:eastAsia="Times New Roman"/>
          <w:b w:val="0"/>
          <w:i/>
          <w:sz w:val="22"/>
        </w:rPr>
        <w:t>J Infect Dis</w:t>
      </w:r>
      <w:r>
        <w:rPr>
          <w:rFonts w:ascii="Times New Roman" w:hAnsi="Times New Roman" w:eastAsia="Times New Roman"/>
          <w:b w:val="0"/>
          <w:i w:val="0"/>
          <w:sz w:val="22"/>
        </w:rPr>
        <w:t>. 2017;215(suppl_2):S13-S17. doi:10.1093/infdis/jiw649.</w:t>
      </w:r>
    </w:p>
    <w:p>
      <w:pPr>
        <w:pStyle w:val="ListNumber"/>
      </w:pPr>
      <w:r>
        <w:rPr>
          <w:rFonts w:ascii="Times New Roman" w:hAnsi="Times New Roman" w:eastAsia="Times New Roman"/>
          <w:b w:val="0"/>
          <w:i w:val="0"/>
          <w:sz w:val="22"/>
        </w:rPr>
        <w:t xml:space="preserve">Watthanaworawit W, Turner P, Turner CL, et al. A prospective evaluation of diagnostic methodologies for the acute diagnosis of dengue virus infection on the Thailand-Myanmar border. </w:t>
      </w:r>
      <w:r>
        <w:rPr>
          <w:rFonts w:ascii="Times New Roman" w:hAnsi="Times New Roman" w:eastAsia="Times New Roman"/>
          <w:b w:val="0"/>
          <w:i/>
          <w:sz w:val="22"/>
        </w:rPr>
        <w:t>Trans R Soc Trop Med Hyg</w:t>
      </w:r>
      <w:r>
        <w:rPr>
          <w:rFonts w:ascii="Times New Roman" w:hAnsi="Times New Roman" w:eastAsia="Times New Roman"/>
          <w:b w:val="0"/>
          <w:i w:val="0"/>
          <w:sz w:val="22"/>
        </w:rPr>
        <w:t>. 2011;105(1):32-37. doi:10.1016/j.trstmh.2010.09.006.</w:t>
      </w:r>
    </w:p>
    <w:p>
      <w:pPr>
        <w:pStyle w:val="ListNumber"/>
      </w:pPr>
      <w:r>
        <w:rPr>
          <w:rFonts w:ascii="Times New Roman" w:hAnsi="Times New Roman" w:eastAsia="Times New Roman"/>
          <w:b w:val="0"/>
          <w:i w:val="0"/>
          <w:sz w:val="22"/>
        </w:rPr>
        <w:t>Centers for Disease Control and Prevention. NS1 antigen tests for dengue virus. 2024. https://www.cdc.gov/dengue/hcp/diagnosis-testing/dengue-virus-antigen-detection.html</w:t>
      </w:r>
    </w:p>
    <w:p>
      <w:pPr>
        <w:pStyle w:val="ListNumber"/>
      </w:pPr>
      <w:r>
        <w:rPr>
          <w:rFonts w:ascii="Times New Roman" w:hAnsi="Times New Roman" w:eastAsia="Times New Roman"/>
          <w:b w:val="0"/>
          <w:i w:val="0"/>
          <w:sz w:val="22"/>
        </w:rPr>
        <w:t xml:space="preserve">Ainsworth HR, Batra R, Beckwith P, et al. Kinetics of NS1 and anti-NS1 IgG following dengue infection reveals likely early formation of immune complexes in secondary infected patients. </w:t>
      </w:r>
      <w:r>
        <w:rPr>
          <w:rFonts w:ascii="Times New Roman" w:hAnsi="Times New Roman" w:eastAsia="Times New Roman"/>
          <w:b w:val="0"/>
          <w:i/>
          <w:sz w:val="22"/>
        </w:rPr>
        <w:t>Sci Rep</w:t>
      </w:r>
      <w:r>
        <w:rPr>
          <w:rFonts w:ascii="Times New Roman" w:hAnsi="Times New Roman" w:eastAsia="Times New Roman"/>
          <w:b w:val="0"/>
          <w:i w:val="0"/>
          <w:sz w:val="22"/>
        </w:rPr>
        <w:t>. 2025;15:9874. doi:10.1038/s41598-025-91099-5.</w:t>
      </w:r>
    </w:p>
    <w:p>
      <w:pPr>
        <w:pStyle w:val="ListNumber"/>
      </w:pPr>
      <w:r>
        <w:rPr>
          <w:rFonts w:ascii="Times New Roman" w:hAnsi="Times New Roman" w:eastAsia="Times New Roman"/>
          <w:b w:val="0"/>
          <w:i w:val="0"/>
          <w:sz w:val="22"/>
        </w:rPr>
        <w:t xml:space="preserve">Alcon S, Talarmin A, Debruyne M, Falconar A, Deubel V, Flamand M. Enzyme-linked immunosorbent assay specific to dengue virus type 1 nonstructural protein NS1 reveals circulation of the antigen in the blood during the acute phase of disease. </w:t>
      </w:r>
      <w:r>
        <w:rPr>
          <w:rFonts w:ascii="Times New Roman" w:hAnsi="Times New Roman" w:eastAsia="Times New Roman"/>
          <w:b w:val="0"/>
          <w:i/>
          <w:sz w:val="22"/>
        </w:rPr>
        <w:t>J Clin Microbiol</w:t>
      </w:r>
      <w:r>
        <w:rPr>
          <w:rFonts w:ascii="Times New Roman" w:hAnsi="Times New Roman" w:eastAsia="Times New Roman"/>
          <w:b w:val="0"/>
          <w:i w:val="0"/>
          <w:sz w:val="22"/>
        </w:rPr>
        <w:t>. 2002;40(2):376-381. doi:10.1128/JCM.40.2.376-381.2002.</w:t>
      </w:r>
    </w:p>
    <w:p>
      <w:pPr>
        <w:pStyle w:val="ListNumber"/>
      </w:pPr>
      <w:r>
        <w:rPr>
          <w:rFonts w:ascii="Times New Roman" w:hAnsi="Times New Roman" w:eastAsia="Times New Roman"/>
          <w:b w:val="0"/>
          <w:i w:val="0"/>
          <w:sz w:val="22"/>
        </w:rPr>
        <w:t xml:space="preserve">Duong V, Ly S, Lorn Try P, et al. Clinical and virological factors influencing the performance of a NS1 antigen-capture assay. </w:t>
      </w:r>
      <w:r>
        <w:rPr>
          <w:rFonts w:ascii="Times New Roman" w:hAnsi="Times New Roman" w:eastAsia="Times New Roman"/>
          <w:b w:val="0"/>
          <w:i/>
          <w:sz w:val="22"/>
        </w:rPr>
        <w:t>PLoS Negl Trop Dis</w:t>
      </w:r>
      <w:r>
        <w:rPr>
          <w:rFonts w:ascii="Times New Roman" w:hAnsi="Times New Roman" w:eastAsia="Times New Roman"/>
          <w:b w:val="0"/>
          <w:i w:val="0"/>
          <w:sz w:val="22"/>
        </w:rPr>
        <w:t>. 2011;5(7):e1199. doi:10.1371/journal.pntd.0001199.</w:t>
      </w:r>
    </w:p>
    <w:p>
      <w:pPr>
        <w:pStyle w:val="ListNumber"/>
      </w:pPr>
      <w:r>
        <w:rPr>
          <w:rFonts w:ascii="Times New Roman" w:hAnsi="Times New Roman" w:eastAsia="Times New Roman"/>
          <w:b w:val="0"/>
          <w:i w:val="0"/>
          <w:sz w:val="22"/>
        </w:rPr>
        <w:t xml:space="preserve">Peeling RW, Artsob H, Pelegrino JL, et al. Evaluation of diagnostic tests: dengue. </w:t>
      </w:r>
      <w:r>
        <w:rPr>
          <w:rFonts w:ascii="Times New Roman" w:hAnsi="Times New Roman" w:eastAsia="Times New Roman"/>
          <w:b w:val="0"/>
          <w:i/>
          <w:sz w:val="22"/>
        </w:rPr>
        <w:t>Nat Rev Microbiol</w:t>
      </w:r>
      <w:r>
        <w:rPr>
          <w:rFonts w:ascii="Times New Roman" w:hAnsi="Times New Roman" w:eastAsia="Times New Roman"/>
          <w:b w:val="0"/>
          <w:i w:val="0"/>
          <w:sz w:val="22"/>
        </w:rPr>
        <w:t>. 2010;8(12 Suppl):S30-S38. doi:10.1038/nrmicro2459.</w:t>
      </w:r>
    </w:p>
    <w:p>
      <w:pPr>
        <w:pStyle w:val="ListNumber"/>
      </w:pPr>
      <w:r>
        <w:rPr>
          <w:rFonts w:ascii="Times New Roman" w:hAnsi="Times New Roman" w:eastAsia="Times New Roman"/>
          <w:b w:val="0"/>
          <w:i w:val="0"/>
          <w:sz w:val="22"/>
        </w:rPr>
        <w:t xml:space="preserve">Tricou V, Vu HT, Quynh NV, et al. Comparison of two dengue NS1 rapid tests for sensitivity, specificity and relationship to viraemia and antibody responses. </w:t>
      </w:r>
      <w:r>
        <w:rPr>
          <w:rFonts w:ascii="Times New Roman" w:hAnsi="Times New Roman" w:eastAsia="Times New Roman"/>
          <w:b w:val="0"/>
          <w:i/>
          <w:sz w:val="22"/>
        </w:rPr>
        <w:t>BMC Infect Dis</w:t>
      </w:r>
      <w:r>
        <w:rPr>
          <w:rFonts w:ascii="Times New Roman" w:hAnsi="Times New Roman" w:eastAsia="Times New Roman"/>
          <w:b w:val="0"/>
          <w:i w:val="0"/>
          <w:sz w:val="22"/>
        </w:rPr>
        <w:t>. 2010;10:142. doi:10.1186/1471-2334-10-142.</w:t>
      </w:r>
    </w:p>
    <w:p>
      <w:pPr>
        <w:pStyle w:val="ListNumber"/>
      </w:pPr>
      <w:r>
        <w:rPr>
          <w:rFonts w:ascii="Times New Roman" w:hAnsi="Times New Roman" w:eastAsia="Times New Roman"/>
          <w:b w:val="0"/>
          <w:i w:val="0"/>
          <w:sz w:val="22"/>
        </w:rPr>
        <w:t xml:space="preserve">Hunsperger EA, Yoksan S, Buchy P, et al. Evaluation of commercially available diagnostic tests for the detection of dengue virus NS1 antigen and anti-dengue virus IgM antibody. </w:t>
      </w:r>
      <w:r>
        <w:rPr>
          <w:rFonts w:ascii="Times New Roman" w:hAnsi="Times New Roman" w:eastAsia="Times New Roman"/>
          <w:b w:val="0"/>
          <w:i/>
          <w:sz w:val="22"/>
        </w:rPr>
        <w:t>PLoS Negl Trop Dis</w:t>
      </w:r>
      <w:r>
        <w:rPr>
          <w:rFonts w:ascii="Times New Roman" w:hAnsi="Times New Roman" w:eastAsia="Times New Roman"/>
          <w:b w:val="0"/>
          <w:i w:val="0"/>
          <w:sz w:val="22"/>
        </w:rPr>
        <w:t>. 2014;8(10):e3171. doi:10.1371/journal.pntd.0003171.</w:t>
      </w:r>
    </w:p>
    <w:p>
      <w:pPr>
        <w:pStyle w:val="ListNumber"/>
      </w:pPr>
      <w:r>
        <w:rPr>
          <w:rFonts w:ascii="Times New Roman" w:hAnsi="Times New Roman" w:eastAsia="Times New Roman"/>
          <w:b w:val="0"/>
          <w:i w:val="0"/>
          <w:sz w:val="22"/>
        </w:rPr>
        <w:t xml:space="preserve">Da Silva NS, Undurraga EA, da Silva Telleria AR, Teixeira MG. A meta-analysis of the diagnostic accuracy of two commercial NS1 antigen ELISA tests for early dengue virus detection. </w:t>
      </w:r>
      <w:r>
        <w:rPr>
          <w:rFonts w:ascii="Times New Roman" w:hAnsi="Times New Roman" w:eastAsia="Times New Roman"/>
          <w:b w:val="0"/>
          <w:i/>
          <w:sz w:val="22"/>
        </w:rPr>
        <w:t>PLoS One</w:t>
      </w:r>
      <w:r>
        <w:rPr>
          <w:rFonts w:ascii="Times New Roman" w:hAnsi="Times New Roman" w:eastAsia="Times New Roman"/>
          <w:b w:val="0"/>
          <w:i w:val="0"/>
          <w:sz w:val="22"/>
        </w:rPr>
        <w:t>. 2014;9(4):e94655. doi:10.1371/journal.pone.0094655.</w:t>
      </w:r>
    </w:p>
    <w:p>
      <w:pPr>
        <w:pStyle w:val="ListNumber"/>
      </w:pPr>
      <w:r>
        <w:rPr>
          <w:rFonts w:ascii="Times New Roman" w:hAnsi="Times New Roman" w:eastAsia="Times New Roman"/>
          <w:b w:val="0"/>
          <w:i w:val="0"/>
          <w:sz w:val="22"/>
        </w:rPr>
        <w:t xml:space="preserve">Guzman MG, Jaenisch T, Gaczkowski R, et al. Multi-country evaluation of the sensitivity and specificity of two commercially-available NS1 ELISA assays for dengue diagnosis. </w:t>
      </w:r>
      <w:r>
        <w:rPr>
          <w:rFonts w:ascii="Times New Roman" w:hAnsi="Times New Roman" w:eastAsia="Times New Roman"/>
          <w:b w:val="0"/>
          <w:i/>
          <w:sz w:val="22"/>
        </w:rPr>
        <w:t>PLoS Negl Trop Dis</w:t>
      </w:r>
      <w:r>
        <w:rPr>
          <w:rFonts w:ascii="Times New Roman" w:hAnsi="Times New Roman" w:eastAsia="Times New Roman"/>
          <w:b w:val="0"/>
          <w:i w:val="0"/>
          <w:sz w:val="22"/>
        </w:rPr>
        <w:t>. 2010;4(8):e811. doi:10.1371/journal.pntd.0000811.</w:t>
      </w:r>
    </w:p>
    <w:p>
      <w:pPr>
        <w:pStyle w:val="ListNumber"/>
      </w:pPr>
      <w:r>
        <w:rPr>
          <w:rFonts w:ascii="Times New Roman" w:hAnsi="Times New Roman" w:eastAsia="Times New Roman"/>
          <w:b w:val="0"/>
          <w:i w:val="0"/>
          <w:sz w:val="22"/>
        </w:rPr>
        <w:t xml:space="preserve">Pillay K, Fritzell C, Leparc-Goffart I, et al. Evaluating the performance of common reference laboratory tests for acute dengue diagnosis: a systematic review and meta-analysis of RT-PCR, NS1 ELISA, and IgM ELISA. </w:t>
      </w:r>
      <w:r>
        <w:rPr>
          <w:rFonts w:ascii="Times New Roman" w:hAnsi="Times New Roman" w:eastAsia="Times New Roman"/>
          <w:b w:val="0"/>
          <w:i/>
          <w:sz w:val="22"/>
        </w:rPr>
        <w:t>Lancet Microbe</w:t>
      </w:r>
      <w:r>
        <w:rPr>
          <w:rFonts w:ascii="Times New Roman" w:hAnsi="Times New Roman" w:eastAsia="Times New Roman"/>
          <w:b w:val="0"/>
          <w:i w:val="0"/>
          <w:sz w:val="22"/>
        </w:rPr>
        <w:t>. 2025;6(5):101088. doi:10.1016/j.lanmic.2025.101088.</w:t>
      </w:r>
    </w:p>
    <w:p>
      <w:pPr>
        <w:pStyle w:val="ListNumber"/>
      </w:pPr>
      <w:r>
        <w:rPr>
          <w:rFonts w:ascii="Times New Roman" w:hAnsi="Times New Roman" w:eastAsia="Times New Roman"/>
          <w:b w:val="0"/>
          <w:i w:val="0"/>
          <w:sz w:val="22"/>
        </w:rPr>
        <w:t xml:space="preserve">Singh RK, Dhama K, Khandia R, et al. Prevention and control strategies to counter dengue virus infection. </w:t>
      </w:r>
      <w:r>
        <w:rPr>
          <w:rFonts w:ascii="Times New Roman" w:hAnsi="Times New Roman" w:eastAsia="Times New Roman"/>
          <w:b w:val="0"/>
          <w:i/>
          <w:sz w:val="22"/>
        </w:rPr>
        <w:t>Front Immunol</w:t>
      </w:r>
      <w:r>
        <w:rPr>
          <w:rFonts w:ascii="Times New Roman" w:hAnsi="Times New Roman" w:eastAsia="Times New Roman"/>
          <w:b w:val="0"/>
          <w:i w:val="0"/>
          <w:sz w:val="22"/>
        </w:rPr>
        <w:t>. 2018;9:2719. doi:10.3389/fimmu.2018.02719.</w:t>
      </w:r>
    </w:p>
    <w:p>
      <w:pPr>
        <w:pStyle w:val="ListNumber"/>
      </w:pPr>
      <w:r>
        <w:rPr>
          <w:rFonts w:ascii="Times New Roman" w:hAnsi="Times New Roman" w:eastAsia="Times New Roman"/>
          <w:b w:val="0"/>
          <w:i w:val="0"/>
          <w:sz w:val="22"/>
        </w:rPr>
        <w:t xml:space="preserve">Sharma A, Ojha R, Gupta S, Dwivedi A. Assessing the readiness of rapid diagnostic tests for integration into the national dengue control strategy of India. </w:t>
      </w:r>
      <w:r>
        <w:rPr>
          <w:rFonts w:ascii="Times New Roman" w:hAnsi="Times New Roman" w:eastAsia="Times New Roman"/>
          <w:b w:val="0"/>
          <w:i/>
          <w:sz w:val="22"/>
        </w:rPr>
        <w:t>Discov Public Health</w:t>
      </w:r>
      <w:r>
        <w:rPr>
          <w:rFonts w:ascii="Times New Roman" w:hAnsi="Times New Roman" w:eastAsia="Times New Roman"/>
          <w:b w:val="0"/>
          <w:i w:val="0"/>
          <w:sz w:val="22"/>
        </w:rPr>
        <w:t>. 2026;23:46. doi:10.1186/s12982-026-02269-3.</w:t>
      </w:r>
    </w:p>
    <w:p>
      <w:pPr>
        <w:pStyle w:val="ListNumber"/>
      </w:pPr>
      <w:r>
        <w:rPr>
          <w:rFonts w:ascii="Times New Roman" w:hAnsi="Times New Roman" w:eastAsia="Times New Roman"/>
          <w:b w:val="0"/>
          <w:i w:val="0"/>
          <w:sz w:val="22"/>
        </w:rPr>
        <w:t>SD Biosensor Inc. STANDARD F Dengue NS1 Ag FIA [package insert]. Suwon, South Korea: SD Biosensor Inc.; 2023.</w:t>
      </w:r>
    </w:p>
    <w:p>
      <w:pPr>
        <w:pStyle w:val="ListNumber"/>
      </w:pPr>
      <w:r>
        <w:rPr>
          <w:rFonts w:ascii="Times New Roman" w:hAnsi="Times New Roman" w:eastAsia="Times New Roman"/>
          <w:b w:val="0"/>
          <w:i w:val="0"/>
          <w:sz w:val="22"/>
        </w:rPr>
        <w:t xml:space="preserve">Fischer C, de Lamballerie X, Drexler JF. Diagnostic tests for dengue. In: Hilgenfeld R, Vasudevan SG, eds. </w:t>
      </w:r>
      <w:r>
        <w:rPr>
          <w:rFonts w:ascii="Times New Roman" w:hAnsi="Times New Roman" w:eastAsia="Times New Roman"/>
          <w:b w:val="0"/>
          <w:i/>
          <w:sz w:val="22"/>
        </w:rPr>
        <w:t>Dengue and Zika: Control and Antiviral Treatment Strategies</w:t>
      </w:r>
      <w:r>
        <w:rPr>
          <w:rFonts w:ascii="Times New Roman" w:hAnsi="Times New Roman" w:eastAsia="Times New Roman"/>
          <w:b w:val="0"/>
          <w:i w:val="0"/>
          <w:sz w:val="22"/>
        </w:rPr>
        <w:t>. Singapore: Springer; 2018.</w:t>
      </w:r>
    </w:p>
    <w:p>
      <w:pPr>
        <w:pStyle w:val="ListNumber"/>
      </w:pPr>
      <w:r>
        <w:rPr>
          <w:rFonts w:ascii="Times New Roman" w:hAnsi="Times New Roman" w:eastAsia="Times New Roman"/>
          <w:b w:val="0"/>
          <w:i w:val="0"/>
          <w:sz w:val="22"/>
        </w:rPr>
        <w:t xml:space="preserve">Chaiyo S, Wichit S, Chaiwattanarungruengpaisan S, et al. A performance comparison between fluorescent immunoassay and immunochromatography for rapid dengue detection in clinical specimens. </w:t>
      </w:r>
      <w:r>
        <w:rPr>
          <w:rFonts w:ascii="Times New Roman" w:hAnsi="Times New Roman" w:eastAsia="Times New Roman"/>
          <w:b w:val="0"/>
          <w:i/>
          <w:sz w:val="22"/>
        </w:rPr>
        <w:t>Sci Rep</w:t>
      </w:r>
      <w:r>
        <w:rPr>
          <w:rFonts w:ascii="Times New Roman" w:hAnsi="Times New Roman" w:eastAsia="Times New Roman"/>
          <w:b w:val="0"/>
          <w:i w:val="0"/>
          <w:sz w:val="22"/>
        </w:rPr>
        <w:t>. 2022;12:17476. doi:10.1038/s41598-022-21581-x.</w:t>
      </w:r>
    </w:p>
    <w:p>
      <w:pPr>
        <w:pStyle w:val="ListNumber"/>
      </w:pPr>
      <w:r>
        <w:rPr>
          <w:rFonts w:ascii="Times New Roman" w:hAnsi="Times New Roman" w:eastAsia="Times New Roman"/>
          <w:b w:val="0"/>
          <w:i w:val="0"/>
          <w:sz w:val="22"/>
        </w:rPr>
        <w:t xml:space="preserve">Ghogre S. Utility of fluorescence immunoassay in early diagnosis of dengue. </w:t>
      </w:r>
      <w:r>
        <w:rPr>
          <w:rFonts w:ascii="Times New Roman" w:hAnsi="Times New Roman" w:eastAsia="Times New Roman"/>
          <w:b w:val="0"/>
          <w:i/>
          <w:sz w:val="22"/>
        </w:rPr>
        <w:t>Int J Curr Res Rev</w:t>
      </w:r>
      <w:r>
        <w:rPr>
          <w:rFonts w:ascii="Times New Roman" w:hAnsi="Times New Roman" w:eastAsia="Times New Roman"/>
          <w:b w:val="0"/>
          <w:i w:val="0"/>
          <w:sz w:val="22"/>
        </w:rPr>
        <w:t>. 2021;14(1):116. doi:10.31782/ijcrr.2021.14116.</w:t>
      </w:r>
    </w:p>
    <w:p>
      <w:pPr>
        <w:pStyle w:val="ListNumber"/>
      </w:pPr>
      <w:r>
        <w:rPr>
          <w:rFonts w:ascii="Times New Roman" w:hAnsi="Times New Roman" w:eastAsia="Times New Roman"/>
          <w:b w:val="0"/>
          <w:i w:val="0"/>
          <w:sz w:val="22"/>
        </w:rPr>
        <w:t xml:space="preserve">Pohekar JA, Bhalchandra MH. Prospective study to compare results of FIA (fluorescent immunoassay) test with gold standard ELISA test in Dengue NS1 patients admitted in a tertiary care hospital. </w:t>
      </w:r>
      <w:r>
        <w:rPr>
          <w:rFonts w:ascii="Times New Roman" w:hAnsi="Times New Roman" w:eastAsia="Times New Roman"/>
          <w:b w:val="0"/>
          <w:i/>
          <w:sz w:val="22"/>
        </w:rPr>
        <w:t>Indian J Med Microbiol</w:t>
      </w:r>
      <w:r>
        <w:rPr>
          <w:rFonts w:ascii="Times New Roman" w:hAnsi="Times New Roman" w:eastAsia="Times New Roman"/>
          <w:b w:val="0"/>
          <w:i w:val="0"/>
          <w:sz w:val="22"/>
        </w:rPr>
        <w:t>. 2023;46:100376. doi:10.1016/j.ijmmb.2023.100376.</w:t>
      </w:r>
    </w:p>
    <w:p>
      <w:pPr>
        <w:pStyle w:val="ListNumber"/>
      </w:pPr>
      <w:r>
        <w:rPr>
          <w:rFonts w:ascii="Times New Roman" w:hAnsi="Times New Roman" w:eastAsia="Times New Roman"/>
          <w:b w:val="0"/>
          <w:i w:val="0"/>
          <w:sz w:val="22"/>
        </w:rPr>
        <w:t xml:space="preserve">Mata VE, Andrade CAF, Passos SRL, Hökerberg YHM, Fukuoka LVB, Silva SA. Rapid immunochromatographic tests for the diagnosis of dengue: a systematic review and meta-analysis. </w:t>
      </w:r>
      <w:r>
        <w:rPr>
          <w:rFonts w:ascii="Times New Roman" w:hAnsi="Times New Roman" w:eastAsia="Times New Roman"/>
          <w:b w:val="0"/>
          <w:i/>
          <w:sz w:val="22"/>
        </w:rPr>
        <w:t>Cad Saúde Pública</w:t>
      </w:r>
      <w:r>
        <w:rPr>
          <w:rFonts w:ascii="Times New Roman" w:hAnsi="Times New Roman" w:eastAsia="Times New Roman"/>
          <w:b w:val="0"/>
          <w:i w:val="0"/>
          <w:sz w:val="22"/>
        </w:rPr>
        <w:t>. 2020;36(6):e00225618. doi:10.1590/0102-311X00225618.</w:t>
      </w:r>
    </w:p>
    <w:p>
      <w:pPr>
        <w:pStyle w:val="ListNumber"/>
      </w:pPr>
      <w:r>
        <w:rPr>
          <w:rFonts w:ascii="Times New Roman" w:hAnsi="Times New Roman" w:eastAsia="Times New Roman"/>
          <w:b w:val="0"/>
          <w:i w:val="0"/>
          <w:sz w:val="22"/>
        </w:rPr>
        <w:t xml:space="preserve">Haider M, Yousaf S, Zaib A, Sarfraz A, Sarfraz Z, Cherrez-Ojeda I. Diagnostic accuracy of various immunochromatographic tests for NS1 antigen and IgM antibodies detection in acute dengue virus infection. </w:t>
      </w:r>
      <w:r>
        <w:rPr>
          <w:rFonts w:ascii="Times New Roman" w:hAnsi="Times New Roman" w:eastAsia="Times New Roman"/>
          <w:b w:val="0"/>
          <w:i/>
          <w:sz w:val="22"/>
        </w:rPr>
        <w:t>Int J Environ Res Public Health</w:t>
      </w:r>
      <w:r>
        <w:rPr>
          <w:rFonts w:ascii="Times New Roman" w:hAnsi="Times New Roman" w:eastAsia="Times New Roman"/>
          <w:b w:val="0"/>
          <w:i w:val="0"/>
          <w:sz w:val="22"/>
        </w:rPr>
        <w:t>. 2022;19(14):8756. doi:10.3390/ijerph19148756.</w:t>
      </w:r>
    </w:p>
    <w:p>
      <w:pPr>
        <w:pStyle w:val="ListNumber"/>
      </w:pPr>
      <w:r>
        <w:rPr>
          <w:rFonts w:ascii="Times New Roman" w:hAnsi="Times New Roman" w:eastAsia="Times New Roman"/>
          <w:b w:val="0"/>
          <w:i w:val="0"/>
          <w:sz w:val="22"/>
        </w:rPr>
        <w:t xml:space="preserve">Frazer JL, Norton R. Dengue: a review of laboratory diagnostics in the vaccine age. </w:t>
      </w:r>
      <w:r>
        <w:rPr>
          <w:rFonts w:ascii="Times New Roman" w:hAnsi="Times New Roman" w:eastAsia="Times New Roman"/>
          <w:b w:val="0"/>
          <w:i/>
          <w:sz w:val="22"/>
        </w:rPr>
        <w:t>J Med Microbiol</w:t>
      </w:r>
      <w:r>
        <w:rPr>
          <w:rFonts w:ascii="Times New Roman" w:hAnsi="Times New Roman" w:eastAsia="Times New Roman"/>
          <w:b w:val="0"/>
          <w:i w:val="0"/>
          <w:sz w:val="22"/>
        </w:rPr>
        <w:t>. 2024;73(5):001833. doi:10.1099/jmm.0.001833.</w:t>
      </w:r>
    </w:p>
    <w:p>
      <w:pPr>
        <w:pStyle w:val="ListNumber"/>
      </w:pPr>
      <w:r>
        <w:rPr>
          <w:rFonts w:ascii="Times New Roman" w:hAnsi="Times New Roman" w:eastAsia="Times New Roman"/>
          <w:b w:val="0"/>
          <w:i w:val="0"/>
          <w:sz w:val="22"/>
        </w:rPr>
        <w:t xml:space="preserve">McInnes MDF, Moher D, Thombs BD, et al. Preferred reporting items for a systematic review and meta-analysis of diagnostic test accuracy studies: the PRISMA-DTA statement. </w:t>
      </w:r>
      <w:r>
        <w:rPr>
          <w:rFonts w:ascii="Times New Roman" w:hAnsi="Times New Roman" w:eastAsia="Times New Roman"/>
          <w:b w:val="0"/>
          <w:i/>
          <w:sz w:val="22"/>
        </w:rPr>
        <w:t>JAMA</w:t>
      </w:r>
      <w:r>
        <w:rPr>
          <w:rFonts w:ascii="Times New Roman" w:hAnsi="Times New Roman" w:eastAsia="Times New Roman"/>
          <w:b w:val="0"/>
          <w:i w:val="0"/>
          <w:sz w:val="22"/>
        </w:rPr>
        <w:t>. 2018;319(4):388-396. doi:10.1001/jama.2017.19163.</w:t>
      </w:r>
    </w:p>
    <w:p>
      <w:pPr>
        <w:pStyle w:val="ListNumber"/>
      </w:pPr>
      <w:r>
        <w:rPr>
          <w:rFonts w:ascii="Times New Roman" w:hAnsi="Times New Roman" w:eastAsia="Times New Roman"/>
          <w:b w:val="0"/>
          <w:i w:val="0"/>
          <w:sz w:val="22"/>
        </w:rPr>
        <w:t xml:space="preserve">Salameh JP, Bossuyt PM, McGrath TA, et al. Preferred reporting items for systematic review and meta-analysis of diagnostic test accuracy studies (PRISMA-DTA): explanation, elaboration, and checklist. </w:t>
      </w:r>
      <w:r>
        <w:rPr>
          <w:rFonts w:ascii="Times New Roman" w:hAnsi="Times New Roman" w:eastAsia="Times New Roman"/>
          <w:b w:val="0"/>
          <w:i/>
          <w:sz w:val="22"/>
        </w:rPr>
        <w:t>BMJ</w:t>
      </w:r>
      <w:r>
        <w:rPr>
          <w:rFonts w:ascii="Times New Roman" w:hAnsi="Times New Roman" w:eastAsia="Times New Roman"/>
          <w:b w:val="0"/>
          <w:i w:val="0"/>
          <w:sz w:val="22"/>
        </w:rPr>
        <w:t>. 2020;370:m2632. doi:10.1136/bmj.m2632.</w:t>
      </w:r>
    </w:p>
    <w:p>
      <w:pPr>
        <w:pStyle w:val="ListNumber"/>
      </w:pPr>
      <w:r>
        <w:rPr>
          <w:rFonts w:ascii="Times New Roman" w:hAnsi="Times New Roman" w:eastAsia="Times New Roman"/>
          <w:b w:val="0"/>
          <w:i w:val="0"/>
          <w:sz w:val="22"/>
        </w:rPr>
        <w:t xml:space="preserve">Page MJ, McKenzie JE, Bossuyt PM, et al. The PRISMA 2020 statement: an updated guideline for reporting systematic reviews. </w:t>
      </w:r>
      <w:r>
        <w:rPr>
          <w:rFonts w:ascii="Times New Roman" w:hAnsi="Times New Roman" w:eastAsia="Times New Roman"/>
          <w:b w:val="0"/>
          <w:i/>
          <w:sz w:val="22"/>
        </w:rPr>
        <w:t>BMJ</w:t>
      </w:r>
      <w:r>
        <w:rPr>
          <w:rFonts w:ascii="Times New Roman" w:hAnsi="Times New Roman" w:eastAsia="Times New Roman"/>
          <w:b w:val="0"/>
          <w:i w:val="0"/>
          <w:sz w:val="22"/>
        </w:rPr>
        <w:t>. 2021;372:n71. doi:10.1136/bmj.n71.</w:t>
      </w:r>
    </w:p>
    <w:p>
      <w:pPr>
        <w:pStyle w:val="ListNumber"/>
      </w:pPr>
      <w:r>
        <w:rPr>
          <w:rFonts w:ascii="Times New Roman" w:hAnsi="Times New Roman" w:eastAsia="Times New Roman"/>
          <w:b w:val="0"/>
          <w:i w:val="0"/>
          <w:sz w:val="22"/>
        </w:rPr>
        <w:t xml:space="preserve">Rethlefsen ML, Kirtley S, Waffenschmidt S, et al. PRISMA-S: an extension to the PRISMA Statement for reporting literature searches in systematic reviews. </w:t>
      </w:r>
      <w:r>
        <w:rPr>
          <w:rFonts w:ascii="Times New Roman" w:hAnsi="Times New Roman" w:eastAsia="Times New Roman"/>
          <w:b w:val="0"/>
          <w:i/>
          <w:sz w:val="22"/>
        </w:rPr>
        <w:t>Syst Rev</w:t>
      </w:r>
      <w:r>
        <w:rPr>
          <w:rFonts w:ascii="Times New Roman" w:hAnsi="Times New Roman" w:eastAsia="Times New Roman"/>
          <w:b w:val="0"/>
          <w:i w:val="0"/>
          <w:sz w:val="22"/>
        </w:rPr>
        <w:t>. 2021;10(1):39. doi:10.1186/s13643-020-01542-z.</w:t>
      </w:r>
    </w:p>
    <w:p>
      <w:pPr>
        <w:pStyle w:val="ListNumber"/>
      </w:pPr>
      <w:r>
        <w:rPr>
          <w:rFonts w:ascii="Times New Roman" w:hAnsi="Times New Roman" w:eastAsia="Times New Roman"/>
          <w:b w:val="0"/>
          <w:i w:val="0"/>
          <w:sz w:val="22"/>
        </w:rPr>
        <w:t xml:space="preserve">Leeflang MMG, Deeks JJ, Takwoingi Y, Macaskill P. Cochrane diagnostic test accuracy reviews. </w:t>
      </w:r>
      <w:r>
        <w:rPr>
          <w:rFonts w:ascii="Times New Roman" w:hAnsi="Times New Roman" w:eastAsia="Times New Roman"/>
          <w:b w:val="0"/>
          <w:i/>
          <w:sz w:val="22"/>
        </w:rPr>
        <w:t>Syst Rev</w:t>
      </w:r>
      <w:r>
        <w:rPr>
          <w:rFonts w:ascii="Times New Roman" w:hAnsi="Times New Roman" w:eastAsia="Times New Roman"/>
          <w:b w:val="0"/>
          <w:i w:val="0"/>
          <w:sz w:val="22"/>
        </w:rPr>
        <w:t>. 2013;2:82. doi:10.1186/2046-4053-2-82.</w:t>
      </w:r>
    </w:p>
    <w:p>
      <w:pPr>
        <w:pStyle w:val="ListNumber"/>
      </w:pPr>
      <w:r>
        <w:rPr>
          <w:rFonts w:ascii="Times New Roman" w:hAnsi="Times New Roman" w:eastAsia="Times New Roman"/>
          <w:b w:val="0"/>
          <w:i w:val="0"/>
          <w:sz w:val="22"/>
        </w:rPr>
        <w:t xml:space="preserve">Bossuyt PM, Reitsma JB, Bruns DE, et al. STARD 2015: an updated list of essential items for reporting diagnostic accuracy studies. </w:t>
      </w:r>
      <w:r>
        <w:rPr>
          <w:rFonts w:ascii="Times New Roman" w:hAnsi="Times New Roman" w:eastAsia="Times New Roman"/>
          <w:b w:val="0"/>
          <w:i/>
          <w:sz w:val="22"/>
        </w:rPr>
        <w:t>BMJ</w:t>
      </w:r>
      <w:r>
        <w:rPr>
          <w:rFonts w:ascii="Times New Roman" w:hAnsi="Times New Roman" w:eastAsia="Times New Roman"/>
          <w:b w:val="0"/>
          <w:i w:val="0"/>
          <w:sz w:val="22"/>
        </w:rPr>
        <w:t>. 2015;351:h5527. doi:10.1136/bmj.h5527.</w:t>
      </w:r>
    </w:p>
    <w:p>
      <w:pPr>
        <w:pStyle w:val="ListNumber"/>
      </w:pPr>
      <w:r>
        <w:rPr>
          <w:rFonts w:ascii="Times New Roman" w:hAnsi="Times New Roman" w:eastAsia="Times New Roman"/>
          <w:b w:val="0"/>
          <w:i w:val="0"/>
          <w:sz w:val="22"/>
        </w:rPr>
        <w:t xml:space="preserve">McGowan J, Sampson M, Salzwedel DM, Cogo E, Foerster V, Lefebvre C. PRESS Peer Review of Electronic Search Strategies: 2015 guideline statement. </w:t>
      </w:r>
      <w:r>
        <w:rPr>
          <w:rFonts w:ascii="Times New Roman" w:hAnsi="Times New Roman" w:eastAsia="Times New Roman"/>
          <w:b w:val="0"/>
          <w:i/>
          <w:sz w:val="22"/>
        </w:rPr>
        <w:t>J Clin Epidemiol</w:t>
      </w:r>
      <w:r>
        <w:rPr>
          <w:rFonts w:ascii="Times New Roman" w:hAnsi="Times New Roman" w:eastAsia="Times New Roman"/>
          <w:b w:val="0"/>
          <w:i w:val="0"/>
          <w:sz w:val="22"/>
        </w:rPr>
        <w:t>. 2016;75:40-46. doi:10.1016/j.jclinepi.2016.01.021.</w:t>
      </w:r>
    </w:p>
    <w:p>
      <w:pPr>
        <w:pStyle w:val="ListNumber"/>
      </w:pPr>
      <w:r>
        <w:rPr>
          <w:rFonts w:ascii="Times New Roman" w:hAnsi="Times New Roman" w:eastAsia="Times New Roman"/>
          <w:b w:val="0"/>
          <w:i w:val="0"/>
          <w:sz w:val="22"/>
        </w:rPr>
        <w:t xml:space="preserve">Landis JR, Koch GG. The measurement of observer agreement for categorical data. </w:t>
      </w:r>
      <w:r>
        <w:rPr>
          <w:rFonts w:ascii="Times New Roman" w:hAnsi="Times New Roman" w:eastAsia="Times New Roman"/>
          <w:b w:val="0"/>
          <w:i/>
          <w:sz w:val="22"/>
        </w:rPr>
        <w:t>Biometrics</w:t>
      </w:r>
      <w:r>
        <w:rPr>
          <w:rFonts w:ascii="Times New Roman" w:hAnsi="Times New Roman" w:eastAsia="Times New Roman"/>
          <w:b w:val="0"/>
          <w:i w:val="0"/>
          <w:sz w:val="22"/>
        </w:rPr>
        <w:t>. 1977;33(1):159-174. doi:10.2307/2529310.</w:t>
      </w:r>
    </w:p>
    <w:p>
      <w:pPr>
        <w:pStyle w:val="ListNumber"/>
      </w:pPr>
      <w:r>
        <w:rPr>
          <w:rFonts w:ascii="Times New Roman" w:hAnsi="Times New Roman" w:eastAsia="Times New Roman"/>
          <w:b w:val="0"/>
          <w:i w:val="0"/>
          <w:sz w:val="22"/>
        </w:rPr>
        <w:t xml:space="preserve">Whiting PF, Rutjes AW, Westwood ME, et al. QUADAS-2: a revised tool for the quality assessment of diagnostic accuracy studies. </w:t>
      </w:r>
      <w:r>
        <w:rPr>
          <w:rFonts w:ascii="Times New Roman" w:hAnsi="Times New Roman" w:eastAsia="Times New Roman"/>
          <w:b w:val="0"/>
          <w:i/>
          <w:sz w:val="22"/>
        </w:rPr>
        <w:t>Ann Intern Med</w:t>
      </w:r>
      <w:r>
        <w:rPr>
          <w:rFonts w:ascii="Times New Roman" w:hAnsi="Times New Roman" w:eastAsia="Times New Roman"/>
          <w:b w:val="0"/>
          <w:i w:val="0"/>
          <w:sz w:val="22"/>
        </w:rPr>
        <w:t>. 2011;155(8):529-536. doi:10.7326/0003-4819-155-8-201110180-00009.</w:t>
      </w:r>
    </w:p>
    <w:p>
      <w:pPr>
        <w:pStyle w:val="ListNumber"/>
      </w:pPr>
      <w:r>
        <w:rPr>
          <w:rFonts w:ascii="Times New Roman" w:hAnsi="Times New Roman" w:eastAsia="Times New Roman"/>
          <w:b w:val="0"/>
          <w:i w:val="0"/>
          <w:sz w:val="22"/>
        </w:rPr>
        <w:t xml:space="preserve">McGuinness LA, Higgins JPT. Risk-of-bias VISualization (robvis): an R package and Shiny web app for visualizing risk-of-bias assessments. </w:t>
      </w:r>
      <w:r>
        <w:rPr>
          <w:rFonts w:ascii="Times New Roman" w:hAnsi="Times New Roman" w:eastAsia="Times New Roman"/>
          <w:b w:val="0"/>
          <w:i/>
          <w:sz w:val="22"/>
        </w:rPr>
        <w:t>Res Synth Methods</w:t>
      </w:r>
      <w:r>
        <w:rPr>
          <w:rFonts w:ascii="Times New Roman" w:hAnsi="Times New Roman" w:eastAsia="Times New Roman"/>
          <w:b w:val="0"/>
          <w:i w:val="0"/>
          <w:sz w:val="22"/>
        </w:rPr>
        <w:t>. 2021;12(1):55-61. doi:10.1002/jrsm.1411.</w:t>
      </w:r>
    </w:p>
    <w:p>
      <w:pPr>
        <w:pStyle w:val="ListNumber"/>
      </w:pPr>
      <w:r>
        <w:rPr>
          <w:rFonts w:ascii="Times New Roman" w:hAnsi="Times New Roman" w:eastAsia="Times New Roman"/>
          <w:b w:val="0"/>
          <w:i w:val="0"/>
          <w:sz w:val="22"/>
        </w:rPr>
        <w:t>Doebler P. mada: Meta-Analysis of Diagnostic Accuracy. R package version 0.5.12. 2025. doi:10.32614/CRAN.package.mada.</w:t>
      </w:r>
    </w:p>
    <w:p>
      <w:pPr>
        <w:pStyle w:val="ListNumber"/>
      </w:pPr>
      <w:r>
        <w:rPr>
          <w:rFonts w:ascii="Times New Roman" w:hAnsi="Times New Roman" w:eastAsia="Times New Roman"/>
          <w:b w:val="0"/>
          <w:i w:val="0"/>
          <w:sz w:val="22"/>
        </w:rPr>
        <w:t xml:space="preserve">Reitsma JB, Glas AS, Rutjes AW, Scholten RJ, Bossuyt PM, Zwinderman AH. Bivariate analysis of sensitivity and specificity produces informative summary measures in diagnostic reviews. </w:t>
      </w:r>
      <w:r>
        <w:rPr>
          <w:rFonts w:ascii="Times New Roman" w:hAnsi="Times New Roman" w:eastAsia="Times New Roman"/>
          <w:b w:val="0"/>
          <w:i/>
          <w:sz w:val="22"/>
        </w:rPr>
        <w:t>J Clin Epidemiol</w:t>
      </w:r>
      <w:r>
        <w:rPr>
          <w:rFonts w:ascii="Times New Roman" w:hAnsi="Times New Roman" w:eastAsia="Times New Roman"/>
          <w:b w:val="0"/>
          <w:i w:val="0"/>
          <w:sz w:val="22"/>
        </w:rPr>
        <w:t>. 2005;58(10):982-990. doi:10.1016/j.jclinepi.2005.02.022.</w:t>
      </w:r>
    </w:p>
    <w:p>
      <w:pPr>
        <w:pStyle w:val="ListNumber"/>
      </w:pPr>
      <w:r>
        <w:rPr>
          <w:rFonts w:ascii="Times New Roman" w:hAnsi="Times New Roman" w:eastAsia="Times New Roman"/>
          <w:b w:val="0"/>
          <w:i w:val="0"/>
          <w:sz w:val="22"/>
        </w:rPr>
        <w:t xml:space="preserve">Rutter CM, Gatsonis CA. A hierarchical regression approach to meta-analysis of diagnostic test accuracy evaluations. </w:t>
      </w:r>
      <w:r>
        <w:rPr>
          <w:rFonts w:ascii="Times New Roman" w:hAnsi="Times New Roman" w:eastAsia="Times New Roman"/>
          <w:b w:val="0"/>
          <w:i/>
          <w:sz w:val="22"/>
        </w:rPr>
        <w:t>Stat Med</w:t>
      </w:r>
      <w:r>
        <w:rPr>
          <w:rFonts w:ascii="Times New Roman" w:hAnsi="Times New Roman" w:eastAsia="Times New Roman"/>
          <w:b w:val="0"/>
          <w:i w:val="0"/>
          <w:sz w:val="22"/>
        </w:rPr>
        <w:t>. 2001;20(19):2865-2884. doi:10.1002/sim.942.</w:t>
      </w:r>
    </w:p>
    <w:p>
      <w:pPr>
        <w:pStyle w:val="ListNumber"/>
      </w:pPr>
      <w:r>
        <w:rPr>
          <w:rFonts w:ascii="Times New Roman" w:hAnsi="Times New Roman" w:eastAsia="Times New Roman"/>
          <w:b w:val="0"/>
          <w:i w:val="0"/>
          <w:sz w:val="22"/>
        </w:rPr>
        <w:t xml:space="preserve">Harbord RM, Deeks JJ, Egger M, Whiting P, Sterne JA. A unification of models for meta-analysis of diagnostic accuracy studies. </w:t>
      </w:r>
      <w:r>
        <w:rPr>
          <w:rFonts w:ascii="Times New Roman" w:hAnsi="Times New Roman" w:eastAsia="Times New Roman"/>
          <w:b w:val="0"/>
          <w:i/>
          <w:sz w:val="22"/>
        </w:rPr>
        <w:t>Biostatistics</w:t>
      </w:r>
      <w:r>
        <w:rPr>
          <w:rFonts w:ascii="Times New Roman" w:hAnsi="Times New Roman" w:eastAsia="Times New Roman"/>
          <w:b w:val="0"/>
          <w:i w:val="0"/>
          <w:sz w:val="22"/>
        </w:rPr>
        <w:t>. 2007;8(2):239-251. doi:10.1093/biostatistics/kxl004.</w:t>
      </w:r>
    </w:p>
    <w:p>
      <w:pPr>
        <w:pStyle w:val="ListNumber"/>
      </w:pPr>
      <w:r>
        <w:rPr>
          <w:rFonts w:ascii="Times New Roman" w:hAnsi="Times New Roman" w:eastAsia="Times New Roman"/>
          <w:b w:val="0"/>
          <w:i w:val="0"/>
          <w:sz w:val="22"/>
        </w:rPr>
        <w:t xml:space="preserve">Deeks JJ, Macaskill P, Irwig L. The performance of tests of publication bias and other sample size effects in systematic reviews of diagnostic test accuracy was assessed. </w:t>
      </w:r>
      <w:r>
        <w:rPr>
          <w:rFonts w:ascii="Times New Roman" w:hAnsi="Times New Roman" w:eastAsia="Times New Roman"/>
          <w:b w:val="0"/>
          <w:i/>
          <w:sz w:val="22"/>
        </w:rPr>
        <w:t>J Clin Epidemiol</w:t>
      </w:r>
      <w:r>
        <w:rPr>
          <w:rFonts w:ascii="Times New Roman" w:hAnsi="Times New Roman" w:eastAsia="Times New Roman"/>
          <w:b w:val="0"/>
          <w:i w:val="0"/>
          <w:sz w:val="22"/>
        </w:rPr>
        <w:t>. 2005;58(9):882-893. doi:10.1016/j.jclinepi.2005.01.016.</w:t>
      </w:r>
    </w:p>
    <w:p>
      <w:pPr>
        <w:pStyle w:val="ListNumber"/>
      </w:pPr>
      <w:r>
        <w:rPr>
          <w:rFonts w:ascii="Times New Roman" w:hAnsi="Times New Roman" w:eastAsia="Times New Roman"/>
          <w:b w:val="0"/>
          <w:i w:val="0"/>
          <w:sz w:val="22"/>
        </w:rPr>
        <w:t xml:space="preserve">R Core Team. </w:t>
      </w:r>
      <w:r>
        <w:rPr>
          <w:rFonts w:ascii="Times New Roman" w:hAnsi="Times New Roman" w:eastAsia="Times New Roman"/>
          <w:b w:val="0"/>
          <w:i/>
          <w:sz w:val="22"/>
        </w:rPr>
        <w:t>R: A Language and Environment for Statistical Computing</w:t>
      </w:r>
      <w:r>
        <w:rPr>
          <w:rFonts w:ascii="Times New Roman" w:hAnsi="Times New Roman" w:eastAsia="Times New Roman"/>
          <w:b w:val="0"/>
          <w:i w:val="0"/>
          <w:sz w:val="22"/>
        </w:rPr>
        <w:t>. Vienna: R Foundation for Statistical Computing; 2025.</w:t>
      </w:r>
    </w:p>
    <w:p>
      <w:pPr>
        <w:pStyle w:val="ListNumber"/>
      </w:pPr>
      <w:r>
        <w:rPr>
          <w:rFonts w:ascii="Times New Roman" w:hAnsi="Times New Roman" w:eastAsia="Times New Roman"/>
          <w:b w:val="0"/>
          <w:i w:val="0"/>
          <w:sz w:val="22"/>
        </w:rPr>
        <w:t xml:space="preserve">Viechtbauer W. Conducting meta-analyses in R with the metafor package. </w:t>
      </w:r>
      <w:r>
        <w:rPr>
          <w:rFonts w:ascii="Times New Roman" w:hAnsi="Times New Roman" w:eastAsia="Times New Roman"/>
          <w:b w:val="0"/>
          <w:i/>
          <w:sz w:val="22"/>
        </w:rPr>
        <w:t>J Stat Softw</w:t>
      </w:r>
      <w:r>
        <w:rPr>
          <w:rFonts w:ascii="Times New Roman" w:hAnsi="Times New Roman" w:eastAsia="Times New Roman"/>
          <w:b w:val="0"/>
          <w:i w:val="0"/>
          <w:sz w:val="22"/>
        </w:rPr>
        <w:t>. 2010;36(3):1-48. doi:10.18637/jss.v036.i03.</w:t>
      </w:r>
    </w:p>
    <w:p>
      <w:pPr>
        <w:pStyle w:val="ListNumber"/>
      </w:pPr>
      <w:r>
        <w:rPr>
          <w:rFonts w:ascii="Times New Roman" w:hAnsi="Times New Roman" w:eastAsia="Times New Roman"/>
          <w:b w:val="0"/>
          <w:i w:val="0"/>
          <w:sz w:val="22"/>
        </w:rPr>
        <w:t xml:space="preserve">Higgins JPT, Thompson SG, Deeks JJ, Altman DG. Measuring inconsistency in meta-analyses. </w:t>
      </w:r>
      <w:r>
        <w:rPr>
          <w:rFonts w:ascii="Times New Roman" w:hAnsi="Times New Roman" w:eastAsia="Times New Roman"/>
          <w:b w:val="0"/>
          <w:i/>
          <w:sz w:val="22"/>
        </w:rPr>
        <w:t>BMJ</w:t>
      </w:r>
      <w:r>
        <w:rPr>
          <w:rFonts w:ascii="Times New Roman" w:hAnsi="Times New Roman" w:eastAsia="Times New Roman"/>
          <w:b w:val="0"/>
          <w:i w:val="0"/>
          <w:sz w:val="22"/>
        </w:rPr>
        <w:t>. 2003;327(7414):557-560. doi:10.1136/bmj.327.7414.557.</w:t>
      </w:r>
    </w:p>
    <w:p>
      <w:pPr>
        <w:pStyle w:val="ListNumber"/>
      </w:pPr>
      <w:r>
        <w:rPr>
          <w:rFonts w:ascii="Times New Roman" w:hAnsi="Times New Roman" w:eastAsia="Times New Roman"/>
          <w:b w:val="0"/>
          <w:i w:val="0"/>
          <w:sz w:val="22"/>
        </w:rPr>
        <w:t xml:space="preserve">Schünemann HJ, Mustafa RA, Brozek J, et al. GRADE guidelines: 21. Part 1. Study design, risk of bias, and indirectness in rating the certainty across a body of evidence for test accuracy. </w:t>
      </w:r>
      <w:r>
        <w:rPr>
          <w:rFonts w:ascii="Times New Roman" w:hAnsi="Times New Roman" w:eastAsia="Times New Roman"/>
          <w:b w:val="0"/>
          <w:i/>
          <w:sz w:val="22"/>
        </w:rPr>
        <w:t>J Clin Epidemiol</w:t>
      </w:r>
      <w:r>
        <w:rPr>
          <w:rFonts w:ascii="Times New Roman" w:hAnsi="Times New Roman" w:eastAsia="Times New Roman"/>
          <w:b w:val="0"/>
          <w:i w:val="0"/>
          <w:sz w:val="22"/>
        </w:rPr>
        <w:t>. 2020;122:129-141. doi:10.1016/j.jclinepi.2019.12.020.</w:t>
      </w:r>
    </w:p>
    <w:p>
      <w:pPr>
        <w:pStyle w:val="ListNumber"/>
      </w:pPr>
      <w:r>
        <w:rPr>
          <w:rFonts w:ascii="Times New Roman" w:hAnsi="Times New Roman" w:eastAsia="Times New Roman"/>
          <w:b w:val="0"/>
          <w:i w:val="0"/>
          <w:sz w:val="22"/>
        </w:rPr>
        <w:t xml:space="preserve">Jaeschke R, Guyatt GH, Sackett DL. Users’ guides to the medical literature. III. How to use an article about a diagnostic test. B. What are the results and will they help me in caring for my patients? </w:t>
      </w:r>
      <w:r>
        <w:rPr>
          <w:rFonts w:ascii="Times New Roman" w:hAnsi="Times New Roman" w:eastAsia="Times New Roman"/>
          <w:b w:val="0"/>
          <w:i/>
          <w:sz w:val="22"/>
        </w:rPr>
        <w:t>JAMA</w:t>
      </w:r>
      <w:r>
        <w:rPr>
          <w:rFonts w:ascii="Times New Roman" w:hAnsi="Times New Roman" w:eastAsia="Times New Roman"/>
          <w:b w:val="0"/>
          <w:i w:val="0"/>
          <w:sz w:val="22"/>
        </w:rPr>
        <w:t>. 1994;271(9):703-707. doi:10.1001/jama.1994.03510330081039.</w:t>
      </w:r>
    </w:p>
    <w:p>
      <w:pPr>
        <w:pStyle w:val="ListNumber"/>
      </w:pPr>
      <w:r>
        <w:rPr>
          <w:rFonts w:ascii="Times New Roman" w:hAnsi="Times New Roman" w:eastAsia="Times New Roman"/>
          <w:b w:val="0"/>
          <w:i w:val="0"/>
          <w:sz w:val="22"/>
        </w:rPr>
        <w:t xml:space="preserve">Cohen JF, Korevaar DA, Altman DG, et al. STARD 2015 guidelines for reporting diagnostic accuracy studies: explanation and elaboration. </w:t>
      </w:r>
      <w:r>
        <w:rPr>
          <w:rFonts w:ascii="Times New Roman" w:hAnsi="Times New Roman" w:eastAsia="Times New Roman"/>
          <w:b w:val="0"/>
          <w:i/>
          <w:sz w:val="22"/>
        </w:rPr>
        <w:t>BMJ Open</w:t>
      </w:r>
      <w:r>
        <w:rPr>
          <w:rFonts w:ascii="Times New Roman" w:hAnsi="Times New Roman" w:eastAsia="Times New Roman"/>
          <w:b w:val="0"/>
          <w:i w:val="0"/>
          <w:sz w:val="22"/>
        </w:rPr>
        <w:t>. 2016;6(11):e012799. doi:10.1136/bmjopen-2016-012799.</w:t>
      </w:r>
    </w:p>
    <w:p>
      <w:pPr>
        <w:pStyle w:val="ListNumber"/>
      </w:pPr>
      <w:r>
        <w:rPr>
          <w:rFonts w:ascii="Times New Roman" w:hAnsi="Times New Roman" w:eastAsia="Times New Roman"/>
          <w:b w:val="0"/>
          <w:i w:val="0"/>
          <w:sz w:val="22"/>
        </w:rPr>
        <w:t xml:space="preserve">Pohekar JA, Bhalchandra MH, Ghogre HS, Pathrikar TG. Evaluation and comparison of currently available fluorescence immunoassay (FIA) test with rapid immuno chromatographic test (ICT) considering NS1 ELISA as a reference test. </w:t>
      </w:r>
      <w:r>
        <w:rPr>
          <w:rFonts w:ascii="Times New Roman" w:hAnsi="Times New Roman" w:eastAsia="Times New Roman"/>
          <w:b w:val="0"/>
          <w:i/>
          <w:sz w:val="22"/>
        </w:rPr>
        <w:t>Int J Curr Microbiol App Sci</w:t>
      </w:r>
      <w:r>
        <w:rPr>
          <w:rFonts w:ascii="Times New Roman" w:hAnsi="Times New Roman" w:eastAsia="Times New Roman"/>
          <w:b w:val="0"/>
          <w:i w:val="0"/>
          <w:sz w:val="22"/>
        </w:rPr>
        <w:t>. 2017;6(11):506-513. doi:10.20546/ijcmas.2017.611.061.</w:t>
      </w:r>
    </w:p>
    <w:p>
      <w:pPr>
        <w:pStyle w:val="ListNumber"/>
      </w:pPr>
      <w:r>
        <w:rPr>
          <w:rFonts w:ascii="Times New Roman" w:hAnsi="Times New Roman" w:eastAsia="Times New Roman"/>
          <w:b w:val="0"/>
          <w:i w:val="0"/>
          <w:sz w:val="22"/>
        </w:rPr>
        <w:t xml:space="preserve">Zapata-de la Cruz M, Martínez-Vega RA, Guzmán-Priego CG, et al. Evaluating three rapid tests for dengue in febrile patients in a dengue-endemic area. </w:t>
      </w:r>
      <w:r>
        <w:rPr>
          <w:rFonts w:ascii="Times New Roman" w:hAnsi="Times New Roman" w:eastAsia="Times New Roman"/>
          <w:b w:val="0"/>
          <w:i/>
          <w:sz w:val="22"/>
        </w:rPr>
        <w:t>Trop Med Int Health</w:t>
      </w:r>
      <w:r>
        <w:rPr>
          <w:rFonts w:ascii="Times New Roman" w:hAnsi="Times New Roman" w:eastAsia="Times New Roman"/>
          <w:b w:val="0"/>
          <w:i w:val="0"/>
          <w:sz w:val="22"/>
        </w:rPr>
        <w:t>. 2026;31(4):576-580. doi:10.1111/tmi.70088.</w:t>
      </w:r>
    </w:p>
    <w:p>
      <w:pPr>
        <w:pStyle w:val="ListNumber"/>
      </w:pPr>
      <w:r>
        <w:rPr>
          <w:rFonts w:ascii="Times New Roman" w:hAnsi="Times New Roman" w:eastAsia="Times New Roman"/>
          <w:b w:val="0"/>
          <w:i w:val="0"/>
          <w:sz w:val="22"/>
        </w:rPr>
        <w:t xml:space="preserve">Zammarchi L, Colao MG, Mantella A, et al. Evaluation of a new rapid fluorescence immunoassay for the diagnosis of dengue and Zika virus infection. </w:t>
      </w:r>
      <w:r>
        <w:rPr>
          <w:rFonts w:ascii="Times New Roman" w:hAnsi="Times New Roman" w:eastAsia="Times New Roman"/>
          <w:b w:val="0"/>
          <w:i/>
          <w:sz w:val="22"/>
        </w:rPr>
        <w:t>J Clin Virol</w:t>
      </w:r>
      <w:r>
        <w:rPr>
          <w:rFonts w:ascii="Times New Roman" w:hAnsi="Times New Roman" w:eastAsia="Times New Roman"/>
          <w:b w:val="0"/>
          <w:i w:val="0"/>
          <w:sz w:val="22"/>
        </w:rPr>
        <w:t>. 2019;112:34-39. doi:10.1016/j.jcv.2019.01.011.</w:t>
      </w:r>
    </w:p>
    <w:p>
      <w:pPr>
        <w:pStyle w:val="ListNumber"/>
      </w:pPr>
      <w:r>
        <w:rPr>
          <w:rFonts w:ascii="Times New Roman" w:hAnsi="Times New Roman" w:eastAsia="Times New Roman"/>
          <w:b w:val="0"/>
          <w:i w:val="0"/>
          <w:sz w:val="22"/>
        </w:rPr>
        <w:t xml:space="preserve">Zuroidah N, Tanzilia MF, Sunari IGAAEP, Wrahatnala BJ, Haki FKN, Aryati, Wardhani P, Husada D, Rohman A, Tarmizi SN. Comparison of diagnostic tests for detection of nonstructural-1 (NS1) antigen dengue virus using immunochromatography and fluorescence immunoassay methods. </w:t>
      </w:r>
      <w:r>
        <w:rPr>
          <w:rFonts w:ascii="Times New Roman" w:hAnsi="Times New Roman" w:eastAsia="Times New Roman"/>
          <w:b w:val="0"/>
          <w:i/>
          <w:sz w:val="22"/>
        </w:rPr>
        <w:t>Res J Pharm Technol</w:t>
      </w:r>
      <w:r>
        <w:rPr>
          <w:rFonts w:ascii="Times New Roman" w:hAnsi="Times New Roman" w:eastAsia="Times New Roman"/>
          <w:b w:val="0"/>
          <w:i w:val="0"/>
          <w:sz w:val="22"/>
        </w:rPr>
        <w:t>. 2022;15(4):1494-1498. doi:10.52711/0974-360X.2022.00248.</w:t>
      </w:r>
    </w:p>
    <w:p>
      <w:pPr>
        <w:spacing w:before="80" w:after="80"/>
      </w:pPr>
      <w:r>
        <w:rPr>
          <w:rFonts w:ascii="Times New Roman" w:hAnsi="Times New Roman" w:eastAsia="Times New Roman"/>
          <w:b w:val="0"/>
          <w:i w:val="0"/>
          <w:color w:val="888888"/>
          <w:sz w:val="18"/>
        </w:rPr>
        <w:t>————————————————————————</w:t>
      </w:r>
    </w:p>
    <w:p>
      <w:pPr>
        <w:jc w:val="both"/>
      </w:pPr>
      <w:r>
        <w:rPr>
          <w:rFonts w:ascii="Times New Roman" w:hAnsi="Times New Roman" w:eastAsia="Times New Roman"/>
          <w:b w:val="0"/>
          <w:i/>
          <w:sz w:val="22"/>
        </w:rPr>
        <w:t>Manuscript version 2.0 — 19 August 2026</w:t>
      </w:r>
      <w:r>
        <w:rPr>
          <w:rFonts w:ascii="Times New Roman" w:hAnsi="Times New Roman" w:eastAsia="Times New Roman"/>
          <w:b w:val="0"/>
          <w:i w:val="0"/>
          <w:sz w:val="22"/>
        </w:rPr>
        <w:t xml:space="preserve"> </w:t>
      </w:r>
      <w:r>
        <w:rPr>
          <w:rFonts w:ascii="Times New Roman" w:hAnsi="Times New Roman" w:eastAsia="Times New Roman"/>
          <w:b w:val="0"/>
          <w:i/>
          <w:sz w:val="22"/>
        </w:rPr>
        <w:t>Pooled estimates are from the locked extraction file and the bivariate Reitsma fit. They are not placeholders.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