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18084" cy="23860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084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Eustach kürt: nyomáskiegyenlítés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Decibel: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Intenzitás szint: 10 * lg(y)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Akusztikai: 20 * lg(y)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Hallásküszöb:  0db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Emberi hallás frekvenciatartoménya: 20Hz - 20kHz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Emberi beszéd frekvenciatartománya: 60Hz  - 10kHz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Zöngés hang frekvenciatartománya: 60Hz - 4kHz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Decibeles kérdéseknél nem számít a frekvencia, kivéve ha phont kell decibellé alakítani.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Alapfrekvencia: Hangszallagoknál kialakult zönge periódusideje (frekvenciája)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Leolvasható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Formáns: Hangképző üreg által felerősített felhangnyaláb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Leolvasható, burkológörbe maximum helyei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Női hang alapfrekvencia tarománya: 150Hz - 250Hz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Férfi hang alapfrekvencia tarománya: 100Hz - 150Hz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Felharmónikus: Az alapfrekvencia egész számú többszörösei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Telefon beszédátviteli frekvenciája: 300 - 3400Hz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t &gt; 100 ms  réshang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50 &lt; t &lt; 100 ms  affrikáta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t &lt; 50 ms zárhang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DE: a képzési hely ugyanaz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Zöngés: </w:t>
      </w:r>
      <w:r w:rsidDel="00000000" w:rsidR="00000000" w:rsidRPr="00000000">
        <w:rPr/>
        <w:drawing>
          <wp:inline distB="114300" distT="114300" distL="114300" distR="114300">
            <wp:extent cx="1261467" cy="18000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467" cy="1800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vannak vonalak</w:t>
      </w:r>
    </w:p>
    <w:p w:rsidR="00000000" w:rsidDel="00000000" w:rsidP="00000000" w:rsidRDefault="00000000" w:rsidRPr="00000000" w14:paraId="00000026">
      <w:pPr>
        <w:rPr>
          <w:highlight w:val="black"/>
        </w:rPr>
      </w:pPr>
      <w:r w:rsidDel="00000000" w:rsidR="00000000" w:rsidRPr="00000000">
        <w:rPr>
          <w:rtl w:val="0"/>
        </w:rPr>
        <w:t xml:space="preserve">Zöngétlen: </w:t>
      </w:r>
      <w:r w:rsidDel="00000000" w:rsidR="00000000" w:rsidRPr="00000000">
        <w:rPr/>
        <w:drawing>
          <wp:inline distB="114300" distT="114300" distL="114300" distR="114300">
            <wp:extent cx="1087041" cy="213444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041" cy="2134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zajszerű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585432" cy="293807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5432" cy="2938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f1                   F1           F2                                   F3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Egy jelet legalább a jel frekvenciájának kétszeresével kell mintavételezni, hogy ne legyen átlapolódás.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decibelbő bit számolása: db - 1,76 / 6-tal kell osztani (nagyobb db esetén a - elhagyható)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diád: két fél beszédhang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