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Создание мокапов пакетов в Photoshop</w:t>
      </w:r>
    </w:p>
    <w:p>
      <w:r>
        <w:t>Инструкция для сотрудников • Скрипт Package Mockups v6 • 20 октября 2026</w:t>
      </w:r>
    </w:p>
    <w:p>
      <w:r>
        <w:t>Скрипт собирает лицевую и оборотную стороны упаковки из первых двух страниц PDF, добавляет внутрь пакета копии фотографии товара, блики и евроотверстие. Эта инструкция объясняет подготовку материалов, пробный запуск и обработку партии без редактирования кода.</w:t>
      </w:r>
    </w:p>
    <w:p>
      <w:pPr>
        <w:pStyle w:val="Heading2"/>
      </w:pPr>
      <w:r>
        <w:t>Что получится</w:t>
      </w:r>
    </w:p>
    <w:p>
      <w:pPr>
        <w:pStyle w:val="ListBullet"/>
      </w:pPr>
      <w:r>
        <w:t>Два PNG на артикул: лицевая сторона в папке front и оборотная сторона в папке back. Каждый файл — 3000×3000 px с прозрачным фоном.</w:t>
      </w:r>
    </w:p>
    <w:p>
      <w:pPr>
        <w:pStyle w:val="ListBullet"/>
      </w:pPr>
      <w:r>
        <w:t>При включённом сохранении PSD — ещё два редактируемых файла со слоями. Пропорции страниц PDF сохраняются; упаковка размещается по центру холста.</w:t>
      </w:r>
    </w:p>
    <w:p>
      <w:pPr>
        <w:pStyle w:val="ListBullet"/>
      </w:pPr>
      <w:r>
        <w:t>Надписи, логотипы и штрихкоды берутся из PDF. Скрипт не распознаёт текст и не набирает его заново.</w:t>
      </w:r>
    </w:p>
    <w:p>
      <w:pPr>
        <w:pStyle w:val="Heading2"/>
      </w:pPr>
      <w:r>
        <w:t>Краткий порядок работы</w:t>
      </w:r>
    </w:p>
    <w:p>
      <w:r>
        <w:t>1. Распакуйте комплект v6 вместе с папкой assets.</w:t>
      </w:r>
    </w:p>
    <w:p>
      <w:r>
        <w:t>2. Подготовьте PDF и прозрачные изображения единичных товаров.</w:t>
      </w:r>
    </w:p>
    <w:p>
      <w:r>
        <w:t>3. В Photoshop откройте Файл → Сценарии → Обзор и запустите Package_Mockups.jsx.</w:t>
      </w:r>
    </w:p>
    <w:p>
      <w:r>
        <w:t>4. Выберите PDF, папку товаров и папку результата.</w:t>
      </w:r>
    </w:p>
    <w:p>
      <w:r>
        <w:t>5. Заполните общее окно параметров для каждого артикула.</w:t>
      </w:r>
    </w:p>
    <w:p>
      <w:r>
        <w:t>6. Проверьте первый образец. После проверки запускайте партию.</w:t>
      </w:r>
    </w:p>
    <w:p>
      <w:pPr>
        <w:pStyle w:val="Heading2"/>
      </w:pPr>
      <w:r>
        <w:t>Что важно перед большой партией</w:t>
      </w:r>
    </w:p>
    <w:p>
      <w:r>
        <w:t>Сначала обработайте один PDF с флажком «Оставить для проверки перед сохранением». Убедитесь, что правильно найден товар, полностью удалён серый фон, предметы находятся в нужной области, а вокруг евроотверстия нет белого контура. Только после этого повторите запуск для партии без остановки на проверку.</w:t>
      </w:r>
    </w:p>
    <w:p>
      <w:r>
        <w:br w:type="page"/>
      </w:r>
    </w:p>
    <w:p>
      <w:pPr>
        <w:pStyle w:val="Heading1"/>
      </w:pPr>
      <w:r>
        <w:t>1 Подготовка файлов</w:t>
      </w:r>
    </w:p>
    <w:p>
      <w:pPr>
        <w:pStyle w:val="Heading2"/>
      </w:pPr>
      <w:r>
        <w:t>Комплект скрипта</w:t>
      </w:r>
    </w:p>
    <w:tbl>
      <w:tblPr>
        <w:tblW w:type="auto" w:w="0"/>
        <w:tblLayout w:type="fixed"/>
        <w:tblLook w:firstColumn="1" w:firstRow="1" w:lastColumn="0" w:lastRow="0" w:noHBand="0" w:noVBand="1" w:val="04A0"/>
      </w:tblPr>
      <w:tblGrid>
        <w:gridCol w:w="5040"/>
        <w:gridCol w:w="5040"/>
      </w:tblGrid>
      <w:tr>
        <w:trPr>
          <w:cantSplit/>
          <w:cantSplit/>
        </w:trPr>
        <w:tc>
          <w:tcPr>
            <w:tcW w:type="dxa" w:w="5040"/>
            <w:tcBorders>
              <w:top w:val="single" w:sz="4" w:color="D9D9D9"/>
              <w:left w:val="single" w:sz="4" w:color="D9D9D9"/>
              <w:bottom w:val="single" w:sz="4" w:color="D9D9D9"/>
              <w:right w:val="single" w:sz="4" w:color="D9D9D9"/>
            </w:tcBorders>
            <w:shd w:fill="E9EDF2"/>
          </w:tcPr>
          <w:p>
            <w:pPr>
              <w:spacing w:after="100" w:before="100"/>
            </w:pPr>
            <w:r>
              <w:rPr>
                <w:sz w:val="20"/>
              </w:rPr>
              <w:t>Файл</w:t>
            </w:r>
          </w:p>
        </w:tc>
        <w:tc>
          <w:tcPr>
            <w:tcW w:type="dxa" w:w="5040"/>
            <w:tcBorders>
              <w:top w:val="single" w:sz="4" w:color="D9D9D9"/>
              <w:left w:val="single" w:sz="4" w:color="D9D9D9"/>
              <w:bottom w:val="single" w:sz="4" w:color="D9D9D9"/>
              <w:right w:val="single" w:sz="4" w:color="D9D9D9"/>
            </w:tcBorders>
            <w:shd w:fill="E9EDF2"/>
          </w:tcPr>
          <w:p>
            <w:pPr>
              <w:spacing w:after="100" w:before="100"/>
            </w:pPr>
            <w:r>
              <w:rPr>
                <w:sz w:val="20"/>
              </w:rPr>
              <w:t>Назначение</w:t>
            </w:r>
          </w:p>
        </w:tc>
      </w:tr>
      <w:tr>
        <w:trPr>
          <w:cantSplit/>
          <w:cantSplit/>
        </w:trPr>
        <w:tc>
          <w:tcPr>
            <w:tcW w:type="dxa" w:w="5040"/>
            <w:tcBorders>
              <w:top w:val="single" w:sz="4" w:color="D9D9D9"/>
              <w:left w:val="single" w:sz="4" w:color="D9D9D9"/>
              <w:bottom w:val="single" w:sz="4" w:color="D9D9D9"/>
              <w:right w:val="single" w:sz="4" w:color="D9D9D9"/>
            </w:tcBorders>
          </w:tcPr>
          <w:p>
            <w:pPr>
              <w:spacing w:after="100" w:before="100"/>
            </w:pPr>
            <w:r>
              <w:rPr>
                <w:sz w:val="20"/>
              </w:rPr>
              <w:t>Package_Mockups.jsx</w:t>
            </w:r>
          </w:p>
        </w:tc>
        <w:tc>
          <w:tcPr>
            <w:tcW w:type="dxa" w:w="5040"/>
            <w:tcBorders>
              <w:top w:val="single" w:sz="4" w:color="D9D9D9"/>
              <w:left w:val="single" w:sz="4" w:color="D9D9D9"/>
              <w:bottom w:val="single" w:sz="4" w:color="D9D9D9"/>
              <w:right w:val="single" w:sz="4" w:color="D9D9D9"/>
            </w:tcBorders>
          </w:tcPr>
          <w:p>
            <w:pPr>
              <w:spacing w:after="100" w:before="100"/>
            </w:pPr>
            <w:r>
              <w:rPr>
                <w:sz w:val="20"/>
              </w:rPr>
              <w:t>Основной запуск и пакетная сборка</w:t>
            </w:r>
          </w:p>
        </w:tc>
      </w:tr>
      <w:tr>
        <w:trPr>
          <w:cantSplit/>
          <w:cantSplit/>
        </w:trPr>
        <w:tc>
          <w:tcPr>
            <w:tcW w:type="dxa" w:w="5040"/>
            <w:tcBorders>
              <w:top w:val="single" w:sz="4" w:color="D9D9D9"/>
              <w:left w:val="single" w:sz="4" w:color="D9D9D9"/>
              <w:bottom w:val="single" w:sz="4" w:color="D9D9D9"/>
              <w:right w:val="single" w:sz="4" w:color="D9D9D9"/>
            </w:tcBorders>
          </w:tcPr>
          <w:p>
            <w:pPr>
              <w:spacing w:after="100" w:before="100"/>
            </w:pPr>
            <w:r>
              <w:rPr>
                <w:sz w:val="20"/>
              </w:rPr>
              <w:t>Continue_Save.jsx</w:t>
            </w:r>
          </w:p>
        </w:tc>
        <w:tc>
          <w:tcPr>
            <w:tcW w:type="dxa" w:w="5040"/>
            <w:tcBorders>
              <w:top w:val="single" w:sz="4" w:color="D9D9D9"/>
              <w:left w:val="single" w:sz="4" w:color="D9D9D9"/>
              <w:bottom w:val="single" w:sz="4" w:color="D9D9D9"/>
              <w:right w:val="single" w:sz="4" w:color="D9D9D9"/>
            </w:tcBorders>
          </w:tcPr>
          <w:p>
            <w:pPr>
              <w:spacing w:after="100" w:before="100"/>
            </w:pPr>
            <w:r>
              <w:rPr>
                <w:sz w:val="20"/>
              </w:rPr>
              <w:t>Сохранение документов после ручной проверки</w:t>
            </w:r>
          </w:p>
        </w:tc>
      </w:tr>
      <w:tr>
        <w:trPr>
          <w:cantSplit/>
          <w:cantSplit/>
        </w:trPr>
        <w:tc>
          <w:tcPr>
            <w:tcW w:type="dxa" w:w="5040"/>
            <w:tcBorders>
              <w:top w:val="single" w:sz="4" w:color="D9D9D9"/>
              <w:left w:val="single" w:sz="4" w:color="D9D9D9"/>
              <w:bottom w:val="single" w:sz="4" w:color="D9D9D9"/>
              <w:right w:val="single" w:sz="4" w:color="D9D9D9"/>
            </w:tcBorders>
          </w:tcPr>
          <w:p>
            <w:pPr>
              <w:spacing w:after="100" w:before="100"/>
            </w:pPr>
            <w:r>
              <w:rPr>
                <w:sz w:val="20"/>
              </w:rPr>
              <w:t>assets/base.png</w:t>
            </w:r>
          </w:p>
        </w:tc>
        <w:tc>
          <w:tcPr>
            <w:tcW w:type="dxa" w:w="5040"/>
            <w:tcBorders>
              <w:top w:val="single" w:sz="4" w:color="D9D9D9"/>
              <w:left w:val="single" w:sz="4" w:color="D9D9D9"/>
              <w:bottom w:val="single" w:sz="4" w:color="D9D9D9"/>
              <w:right w:val="single" w:sz="4" w:color="D9D9D9"/>
            </w:tcBorders>
          </w:tcPr>
          <w:p>
            <w:pPr>
              <w:spacing w:after="100" w:before="100"/>
            </w:pPr>
            <w:r>
              <w:rPr>
                <w:sz w:val="20"/>
              </w:rPr>
              <w:t>Основа пакета</w:t>
            </w:r>
          </w:p>
        </w:tc>
      </w:tr>
      <w:tr>
        <w:trPr>
          <w:cantSplit/>
          <w:cantSplit/>
        </w:trPr>
        <w:tc>
          <w:tcPr>
            <w:tcW w:type="dxa" w:w="5040"/>
            <w:tcBorders>
              <w:top w:val="single" w:sz="4" w:color="D9D9D9"/>
              <w:left w:val="single" w:sz="4" w:color="D9D9D9"/>
              <w:bottom w:val="single" w:sz="4" w:color="D9D9D9"/>
              <w:right w:val="single" w:sz="4" w:color="D9D9D9"/>
            </w:tcBorders>
          </w:tcPr>
          <w:p>
            <w:pPr>
              <w:spacing w:after="100" w:before="100"/>
            </w:pPr>
            <w:r>
              <w:rPr>
                <w:sz w:val="20"/>
              </w:rPr>
              <w:t>assets/zip.png</w:t>
            </w:r>
          </w:p>
        </w:tc>
        <w:tc>
          <w:tcPr>
            <w:tcW w:type="dxa" w:w="5040"/>
            <w:tcBorders>
              <w:top w:val="single" w:sz="4" w:color="D9D9D9"/>
              <w:left w:val="single" w:sz="4" w:color="D9D9D9"/>
              <w:bottom w:val="single" w:sz="4" w:color="D9D9D9"/>
              <w:right w:val="single" w:sz="4" w:color="D9D9D9"/>
            </w:tcBorders>
          </w:tcPr>
          <w:p>
            <w:pPr>
              <w:spacing w:after="100" w:before="100"/>
            </w:pPr>
            <w:r>
              <w:rPr>
                <w:sz w:val="20"/>
              </w:rPr>
              <w:t>Блики пакета для количества больше 1</w:t>
            </w:r>
          </w:p>
        </w:tc>
      </w:tr>
      <w:tr>
        <w:trPr>
          <w:cantSplit/>
          <w:cantSplit/>
        </w:trPr>
        <w:tc>
          <w:tcPr>
            <w:tcW w:type="dxa" w:w="5040"/>
            <w:tcBorders>
              <w:top w:val="single" w:sz="4" w:color="D9D9D9"/>
              <w:left w:val="single" w:sz="4" w:color="D9D9D9"/>
              <w:bottom w:val="single" w:sz="4" w:color="D9D9D9"/>
              <w:right w:val="single" w:sz="4" w:color="D9D9D9"/>
            </w:tcBorders>
          </w:tcPr>
          <w:p>
            <w:pPr>
              <w:spacing w:after="100" w:before="100"/>
            </w:pPr>
            <w:r>
              <w:rPr>
                <w:sz w:val="20"/>
              </w:rPr>
              <w:t>assets/single.png</w:t>
            </w:r>
          </w:p>
        </w:tc>
        <w:tc>
          <w:tcPr>
            <w:tcW w:type="dxa" w:w="5040"/>
            <w:tcBorders>
              <w:top w:val="single" w:sz="4" w:color="D9D9D9"/>
              <w:left w:val="single" w:sz="4" w:color="D9D9D9"/>
              <w:bottom w:val="single" w:sz="4" w:color="D9D9D9"/>
              <w:right w:val="single" w:sz="4" w:color="D9D9D9"/>
            </w:tcBorders>
          </w:tcPr>
          <w:p>
            <w:pPr>
              <w:spacing w:after="100" w:before="100"/>
            </w:pPr>
            <w:r>
              <w:rPr>
                <w:sz w:val="20"/>
              </w:rPr>
              <w:t>Блики пакета для количества 1</w:t>
            </w:r>
          </w:p>
        </w:tc>
      </w:tr>
      <w:tr>
        <w:trPr>
          <w:cantSplit/>
          <w:cantSplit/>
        </w:trPr>
        <w:tc>
          <w:tcPr>
            <w:tcW w:type="dxa" w:w="5040"/>
            <w:tcBorders>
              <w:top w:val="single" w:sz="4" w:color="D9D9D9"/>
              <w:left w:val="single" w:sz="4" w:color="D9D9D9"/>
              <w:bottom w:val="single" w:sz="4" w:color="D9D9D9"/>
              <w:right w:val="single" w:sz="4" w:color="D9D9D9"/>
            </w:tcBorders>
          </w:tcPr>
          <w:p>
            <w:pPr>
              <w:spacing w:after="100" w:before="100"/>
            </w:pPr>
            <w:r>
              <w:rPr>
                <w:sz w:val="20"/>
              </w:rPr>
              <w:t>assets/hole.png</w:t>
            </w:r>
          </w:p>
        </w:tc>
        <w:tc>
          <w:tcPr>
            <w:tcW w:type="dxa" w:w="5040"/>
            <w:tcBorders>
              <w:top w:val="single" w:sz="4" w:color="D9D9D9"/>
              <w:left w:val="single" w:sz="4" w:color="D9D9D9"/>
              <w:bottom w:val="single" w:sz="4" w:color="D9D9D9"/>
              <w:right w:val="single" w:sz="4" w:color="D9D9D9"/>
            </w:tcBorders>
          </w:tcPr>
          <w:p>
            <w:pPr>
              <w:spacing w:after="100" w:before="100"/>
            </w:pPr>
            <w:r>
              <w:rPr>
                <w:sz w:val="20"/>
              </w:rPr>
              <w:t>Форма евроотверстия</w:t>
            </w:r>
          </w:p>
        </w:tc>
      </w:tr>
    </w:tbl>
    <w:p>
      <w:r>
        <w:t>Распакуйте ZIP полностью в обычную папку. Не запускайте сценарий из архива. Не переносите JSX отдельно от assets и не переименовывайте файлы элементов пакета.</w:t>
      </w:r>
    </w:p>
    <w:p>
      <w:pPr>
        <w:pStyle w:val="Heading2"/>
      </w:pPr>
      <w:r>
        <w:t>PDF макеты</w:t>
      </w:r>
    </w:p>
    <w:p>
      <w:pPr>
        <w:pStyle w:val="ListBullet"/>
      </w:pPr>
      <w:r>
        <w:t>Первая страница — лицевая сторона, вторая — оборот. Третья и последующие страницы не используются.</w:t>
      </w:r>
    </w:p>
    <w:p>
      <w:pPr>
        <w:pStyle w:val="ListBullet"/>
      </w:pPr>
      <w:r>
        <w:t>Артикул должен стоять в начале имени. Для первого запуска используйте макет того же типа, на котором уже настроен скрипт: фиолетовая шапка, центральное евроотверстие и серое окно на лицевой стороне.</w:t>
      </w:r>
    </w:p>
    <w:p>
      <w:pPr>
        <w:pStyle w:val="ListBullet"/>
      </w:pPr>
      <w:r>
        <w:t>Если изменились расположение отверстия, цвет окна или дизайн шапки, сначала проверьте новый макет отдельно. Восстановление паттерна рассчитано на чистую полосу ниже старого отверстия.</w:t>
      </w:r>
    </w:p>
    <w:p>
      <w:pPr>
        <w:pStyle w:val="Heading2"/>
      </w:pPr>
      <w:r>
        <w:t>Изображения товаров</w:t>
      </w:r>
    </w:p>
    <w:p>
      <w:r>
        <w:t>Положите в отдельную папку изображения единичных товаров на прозрачном фоне. Предпочтителен PNG: один целый предмет без рамки, текста, лишних деталей и готовой тени. Скрипт ищет также во вложенных папках; поддерживает PNG, PSD, TIF и TIFF. Для многослойного PSD лучше заранее сохранить прозрачный PNG: импортируется активный слой, а не вся композиция PSD.</w:t>
      </w:r>
    </w:p>
    <w:p>
      <w:pPr>
        <w:pStyle w:val="Heading2"/>
      </w:pPr>
      <w:r>
        <w:t>Пример совпадения артикулов</w:t>
      </w:r>
    </w:p>
    <w:p>
      <w:r>
        <w:t>PDF: 26706 5 color 93х140mm JINH curves.pdf</w:t>
        <w:br/>
        <w:t>Товар: 26706 5-1+.png</w:t>
        <w:br/>
        <w:t>Результат: front/267065.png и back/267065.png</w:t>
      </w:r>
    </w:p>
    <w:p>
      <w:r>
        <w:t>Пробел перед отдельной контрольной цифрой убирается. Имя с цельным артикулом 267065.png также подходит. Если совпадений несколько или товар не найден, появится выбор файла вручную. Проверьте артикул перед подтверждением.</w:t>
      </w:r>
    </w:p>
    <w:p>
      <w:r>
        <w:br w:type="page"/>
      </w:r>
    </w:p>
    <w:p>
      <w:pPr>
        <w:pStyle w:val="Heading1"/>
      </w:pPr>
      <w:r>
        <w:t>2 Первый запуск и настройка</w:t>
      </w:r>
    </w:p>
    <w:p>
      <w:r>
        <w:t>1. Откройте настольный Photoshop. Сохраните текущую работу.</w:t>
      </w:r>
    </w:p>
    <w:p>
      <w:r>
        <w:t>2. Выберите Файл → Сценарии → Обзор… (File → Scripts → Browse…).</w:t>
      </w:r>
    </w:p>
    <w:p>
      <w:r>
        <w:t>3. Найдите распакованную папку v6 и откройте Package_Mockups.jsx.</w:t>
      </w:r>
    </w:p>
    <w:p>
      <w:r>
        <w:t>4. В окне выбора отметьте один PDF для пробы. Для партии можно выбрать несколько файлов, удерживая Ctrl в Windows.</w:t>
      </w:r>
    </w:p>
    <w:p>
      <w:r>
        <w:t>5. Выберите папку с единичными изображениями товаров. Затем выберите новую пустую папку результата.</w:t>
      </w:r>
    </w:p>
    <w:p>
      <w:r>
        <w:t>6. В окне артикула задайте количество, размер и область размещения. Все параметры находятся в одном окне.</w:t>
      </w:r>
    </w:p>
    <w:p>
      <w:pPr>
        <w:pStyle w:val="Heading2"/>
      </w:pPr>
      <w:r>
        <w:t>Параметры товара</w:t>
      </w:r>
    </w:p>
    <w:tbl>
      <w:tblPr>
        <w:tblW w:type="auto" w:w="0"/>
        <w:tblLayout w:type="fixed"/>
        <w:tblLook w:firstColumn="1" w:firstRow="1" w:lastColumn="0" w:lastRow="0" w:noHBand="0" w:noVBand="1" w:val="04A0"/>
      </w:tblPr>
      <w:tblGrid>
        <w:gridCol w:w="5040"/>
        <w:gridCol w:w="5040"/>
      </w:tblGrid>
      <w:tr>
        <w:trPr>
          <w:cantSplit/>
          <w:cantSplit/>
        </w:trPr>
        <w:tc>
          <w:tcPr>
            <w:tcW w:type="dxa" w:w="5040"/>
            <w:tcBorders>
              <w:top w:val="single" w:sz="4" w:color="D9D9D9"/>
              <w:left w:val="single" w:sz="4" w:color="D9D9D9"/>
              <w:bottom w:val="single" w:sz="4" w:color="D9D9D9"/>
              <w:right w:val="single" w:sz="4" w:color="D9D9D9"/>
            </w:tcBorders>
            <w:shd w:fill="E9EDF2"/>
          </w:tcPr>
          <w:p>
            <w:pPr>
              <w:spacing w:after="100" w:before="100"/>
            </w:pPr>
            <w:r>
              <w:rPr>
                <w:sz w:val="20"/>
              </w:rPr>
              <w:t>Поле</w:t>
            </w:r>
          </w:p>
        </w:tc>
        <w:tc>
          <w:tcPr>
            <w:tcW w:type="dxa" w:w="5040"/>
            <w:tcBorders>
              <w:top w:val="single" w:sz="4" w:color="D9D9D9"/>
              <w:left w:val="single" w:sz="4" w:color="D9D9D9"/>
              <w:bottom w:val="single" w:sz="4" w:color="D9D9D9"/>
              <w:right w:val="single" w:sz="4" w:color="D9D9D9"/>
            </w:tcBorders>
            <w:shd w:fill="E9EDF2"/>
          </w:tcPr>
          <w:p>
            <w:pPr>
              <w:spacing w:after="100" w:before="100"/>
            </w:pPr>
            <w:r>
              <w:rPr>
                <w:sz w:val="20"/>
              </w:rPr>
              <w:t>Как работает</w:t>
            </w:r>
          </w:p>
        </w:tc>
      </w:tr>
      <w:tr>
        <w:trPr>
          <w:cantSplit/>
          <w:cantSplit/>
        </w:trPr>
        <w:tc>
          <w:tcPr>
            <w:tcW w:type="dxa" w:w="5040"/>
            <w:tcBorders>
              <w:top w:val="single" w:sz="4" w:color="D9D9D9"/>
              <w:left w:val="single" w:sz="4" w:color="D9D9D9"/>
              <w:bottom w:val="single" w:sz="4" w:color="D9D9D9"/>
              <w:right w:val="single" w:sz="4" w:color="D9D9D9"/>
            </w:tcBorders>
          </w:tcPr>
          <w:p>
            <w:pPr>
              <w:spacing w:after="100" w:before="100"/>
            </w:pPr>
            <w:r>
              <w:rPr>
                <w:sz w:val="20"/>
              </w:rPr>
              <w:t>Количество</w:t>
            </w:r>
          </w:p>
        </w:tc>
        <w:tc>
          <w:tcPr>
            <w:tcW w:type="dxa" w:w="5040"/>
            <w:tcBorders>
              <w:top w:val="single" w:sz="4" w:color="D9D9D9"/>
              <w:left w:val="single" w:sz="4" w:color="D9D9D9"/>
              <w:bottom w:val="single" w:sz="4" w:color="D9D9D9"/>
              <w:right w:val="single" w:sz="4" w:color="D9D9D9"/>
            </w:tcBorders>
          </w:tcPr>
          <w:p>
            <w:pPr>
              <w:spacing w:after="100" w:before="100"/>
            </w:pPr>
            <w:r>
              <w:rPr>
                <w:sz w:val="20"/>
              </w:rPr>
              <w:t>Число копий товара. 1 выбирает верх без зипа; любое число больше 1 — верх с зипом.</w:t>
            </w:r>
          </w:p>
        </w:tc>
      </w:tr>
      <w:tr>
        <w:trPr>
          <w:cantSplit/>
          <w:cantSplit/>
        </w:trPr>
        <w:tc>
          <w:tcPr>
            <w:tcW w:type="dxa" w:w="5040"/>
            <w:tcBorders>
              <w:top w:val="single" w:sz="4" w:color="D9D9D9"/>
              <w:left w:val="single" w:sz="4" w:color="D9D9D9"/>
              <w:bottom w:val="single" w:sz="4" w:color="D9D9D9"/>
              <w:right w:val="single" w:sz="4" w:color="D9D9D9"/>
            </w:tcBorders>
          </w:tcPr>
          <w:p>
            <w:pPr>
              <w:spacing w:after="100" w:before="100"/>
            </w:pPr>
            <w:r>
              <w:rPr>
                <w:sz w:val="20"/>
              </w:rPr>
              <w:t>Размер товара</w:t>
            </w:r>
          </w:p>
        </w:tc>
        <w:tc>
          <w:tcPr>
            <w:tcW w:type="dxa" w:w="5040"/>
            <w:tcBorders>
              <w:top w:val="single" w:sz="4" w:color="D9D9D9"/>
              <w:left w:val="single" w:sz="4" w:color="D9D9D9"/>
              <w:bottom w:val="single" w:sz="4" w:color="D9D9D9"/>
              <w:right w:val="single" w:sz="4" w:color="D9D9D9"/>
            </w:tcBorders>
          </w:tcPr>
          <w:p>
            <w:pPr>
              <w:spacing w:after="100" w:before="100"/>
            </w:pPr>
            <w:r>
              <w:rPr>
                <w:sz w:val="20"/>
              </w:rPr>
              <w:t>Длинная сторона исходного предмета до поворота в % от ширины пакета. 26% — примерно четверть ширины.</w:t>
            </w:r>
          </w:p>
        </w:tc>
      </w:tr>
      <w:tr>
        <w:trPr>
          <w:cantSplit/>
          <w:cantSplit/>
        </w:trPr>
        <w:tc>
          <w:tcPr>
            <w:tcW w:type="dxa" w:w="5040"/>
            <w:tcBorders>
              <w:top w:val="single" w:sz="4" w:color="D9D9D9"/>
              <w:left w:val="single" w:sz="4" w:color="D9D9D9"/>
              <w:bottom w:val="single" w:sz="4" w:color="D9D9D9"/>
              <w:right w:val="single" w:sz="4" w:color="D9D9D9"/>
            </w:tcBorders>
          </w:tcPr>
          <w:p>
            <w:pPr>
              <w:spacing w:after="100" w:before="100"/>
            </w:pPr>
            <w:r>
              <w:rPr>
                <w:sz w:val="20"/>
              </w:rPr>
              <w:t>Слева</w:t>
            </w:r>
          </w:p>
        </w:tc>
        <w:tc>
          <w:tcPr>
            <w:tcW w:type="dxa" w:w="5040"/>
            <w:tcBorders>
              <w:top w:val="single" w:sz="4" w:color="D9D9D9"/>
              <w:left w:val="single" w:sz="4" w:color="D9D9D9"/>
              <w:bottom w:val="single" w:sz="4" w:color="D9D9D9"/>
              <w:right w:val="single" w:sz="4" w:color="D9D9D9"/>
            </w:tcBorders>
          </w:tcPr>
          <w:p>
            <w:pPr>
              <w:spacing w:after="100" w:before="100"/>
            </w:pPr>
            <w:r>
              <w:rPr>
                <w:sz w:val="20"/>
              </w:rPr>
              <w:t>Левый край области размещения в % ширины пакета.</w:t>
            </w:r>
          </w:p>
        </w:tc>
      </w:tr>
      <w:tr>
        <w:trPr>
          <w:cantSplit/>
          <w:cantSplit/>
        </w:trPr>
        <w:tc>
          <w:tcPr>
            <w:tcW w:type="dxa" w:w="5040"/>
            <w:tcBorders>
              <w:top w:val="single" w:sz="4" w:color="D9D9D9"/>
              <w:left w:val="single" w:sz="4" w:color="D9D9D9"/>
              <w:bottom w:val="single" w:sz="4" w:color="D9D9D9"/>
              <w:right w:val="single" w:sz="4" w:color="D9D9D9"/>
            </w:tcBorders>
          </w:tcPr>
          <w:p>
            <w:pPr>
              <w:spacing w:after="100" w:before="100"/>
            </w:pPr>
            <w:r>
              <w:rPr>
                <w:sz w:val="20"/>
              </w:rPr>
              <w:t>Сверху</w:t>
            </w:r>
          </w:p>
        </w:tc>
        <w:tc>
          <w:tcPr>
            <w:tcW w:type="dxa" w:w="5040"/>
            <w:tcBorders>
              <w:top w:val="single" w:sz="4" w:color="D9D9D9"/>
              <w:left w:val="single" w:sz="4" w:color="D9D9D9"/>
              <w:bottom w:val="single" w:sz="4" w:color="D9D9D9"/>
              <w:right w:val="single" w:sz="4" w:color="D9D9D9"/>
            </w:tcBorders>
          </w:tcPr>
          <w:p>
            <w:pPr>
              <w:spacing w:after="100" w:before="100"/>
            </w:pPr>
            <w:r>
              <w:rPr>
                <w:sz w:val="20"/>
              </w:rPr>
              <w:t>Верхний край области в % высоты пакета.</w:t>
            </w:r>
          </w:p>
        </w:tc>
      </w:tr>
      <w:tr>
        <w:trPr>
          <w:cantSplit/>
          <w:cantSplit/>
        </w:trPr>
        <w:tc>
          <w:tcPr>
            <w:tcW w:type="dxa" w:w="5040"/>
            <w:tcBorders>
              <w:top w:val="single" w:sz="4" w:color="D9D9D9"/>
              <w:left w:val="single" w:sz="4" w:color="D9D9D9"/>
              <w:bottom w:val="single" w:sz="4" w:color="D9D9D9"/>
              <w:right w:val="single" w:sz="4" w:color="D9D9D9"/>
            </w:tcBorders>
          </w:tcPr>
          <w:p>
            <w:pPr>
              <w:spacing w:after="100" w:before="100"/>
            </w:pPr>
            <w:r>
              <w:rPr>
                <w:sz w:val="20"/>
              </w:rPr>
              <w:t>Ширина области</w:t>
            </w:r>
          </w:p>
        </w:tc>
        <w:tc>
          <w:tcPr>
            <w:tcW w:type="dxa" w:w="5040"/>
            <w:tcBorders>
              <w:top w:val="single" w:sz="4" w:color="D9D9D9"/>
              <w:left w:val="single" w:sz="4" w:color="D9D9D9"/>
              <w:bottom w:val="single" w:sz="4" w:color="D9D9D9"/>
              <w:right w:val="single" w:sz="4" w:color="D9D9D9"/>
            </w:tcBorders>
          </w:tcPr>
          <w:p>
            <w:pPr>
              <w:spacing w:after="100" w:before="100"/>
            </w:pPr>
            <w:r>
              <w:rPr>
                <w:sz w:val="20"/>
              </w:rPr>
              <w:t>Ширина прямоугольника размещения в % ширины пакета.</w:t>
            </w:r>
          </w:p>
        </w:tc>
      </w:tr>
      <w:tr>
        <w:trPr>
          <w:cantSplit/>
          <w:cantSplit/>
        </w:trPr>
        <w:tc>
          <w:tcPr>
            <w:tcW w:type="dxa" w:w="5040"/>
            <w:tcBorders>
              <w:top w:val="single" w:sz="4" w:color="D9D9D9"/>
              <w:left w:val="single" w:sz="4" w:color="D9D9D9"/>
              <w:bottom w:val="single" w:sz="4" w:color="D9D9D9"/>
              <w:right w:val="single" w:sz="4" w:color="D9D9D9"/>
            </w:tcBorders>
          </w:tcPr>
          <w:p>
            <w:pPr>
              <w:spacing w:after="100" w:before="100"/>
            </w:pPr>
            <w:r>
              <w:rPr>
                <w:sz w:val="20"/>
              </w:rPr>
              <w:t>Высота области</w:t>
            </w:r>
          </w:p>
        </w:tc>
        <w:tc>
          <w:tcPr>
            <w:tcW w:type="dxa" w:w="5040"/>
            <w:tcBorders>
              <w:top w:val="single" w:sz="4" w:color="D9D9D9"/>
              <w:left w:val="single" w:sz="4" w:color="D9D9D9"/>
              <w:bottom w:val="single" w:sz="4" w:color="D9D9D9"/>
              <w:right w:val="single" w:sz="4" w:color="D9D9D9"/>
            </w:tcBorders>
          </w:tcPr>
          <w:p>
            <w:pPr>
              <w:spacing w:after="100" w:before="100"/>
            </w:pPr>
            <w:r>
              <w:rPr>
                <w:sz w:val="20"/>
              </w:rPr>
              <w:t>Высота прямоугольника размещения в % высоты пакета.</w:t>
            </w:r>
          </w:p>
        </w:tc>
      </w:tr>
    </w:tbl>
    <w:p>
      <w:r>
        <w:t>Стартовые значения области: слева 5%, сверху 44%, ширина 90%, высота 42%. Они управляют только размещением предметов. Удаление серого от этих процентов не зависит.</w:t>
      </w:r>
    </w:p>
    <w:p>
      <w:r>
        <w:t>Область размещения дополнительно ограничивается найденным окном пакета. Если заданная область выходит за окно, используется только их пересечение. Если пересечения нет, файл не будет собран. Сумма «Слева + Ширина» и «Сверху + Высота» не должна превышать 100%.</w:t>
      </w:r>
    </w:p>
    <w:p>
      <w:r>
        <w:t>Количество может быть от 1 до 1000, размер — больше 0 и до 100%. Большие количества создают много слоёв и увеличивают время обработки. Для нового артикула проверяйте размер и область заново: они не наследуются автоматически от предыдущего.</w:t>
      </w:r>
    </w:p>
    <w:p>
      <w:r>
        <w:br w:type="page"/>
      </w:r>
    </w:p>
    <w:p>
      <w:pPr>
        <w:pStyle w:val="Heading1"/>
      </w:pPr>
      <w:r>
        <w:t>3 Цвет фона и пробная проверка</w:t>
      </w:r>
    </w:p>
    <w:p>
      <w:pPr>
        <w:pStyle w:val="Heading2"/>
      </w:pPr>
      <w:r>
        <w:t>Удаление серого</w:t>
      </w:r>
    </w:p>
    <w:p>
      <w:r>
        <w:t>Для приложенных макетов включите «Удалить серый цвет на всём слое PDF». Значения по умолчанию: HEX BBBDBF, допуск 6. Выделение выполняется по цвету на первой странице до добавления основы и бликов. Оно переводится в жёсткое выделение, чтобы после удаления не осталось полупрозрачного серого.</w:t>
      </w:r>
    </w:p>
    <w:p>
      <w:r>
        <w:t>Если цвет окна в новом PDF другой, откройте его отдельно в Photoshop, возьмите цвет пипеткой на чистом сером участке и перенесите шестизначный HEX в окно скрипта. Символ # можно не вводить. Большой допуск может захватить похожие серые детали в иллюстрациях — не увеличивайте его без проверки.</w:t>
      </w:r>
    </w:p>
    <w:p>
      <w:r>
        <w:t>Если окно в PDF уже прозрачное, снимите флажок удаления серого. При ошибке определения окна или отверстия прочитайте журнал: скрипт пропускает проблемный артикул.</w:t>
      </w:r>
    </w:p>
    <w:p>
      <w:pPr>
        <w:pStyle w:val="Heading2"/>
      </w:pPr>
      <w:r>
        <w:t>Проверка до сохранения</w:t>
      </w:r>
    </w:p>
    <w:p>
      <w:r>
        <w:t>1. Включите «Оставить для проверки перед сохранением» и нажмите «Собрать».</w:t>
      </w:r>
    </w:p>
    <w:p>
      <w:r>
        <w:t>2. Дождитесь сообщения о завершении. В этом режиме скрипт обрабатывает один артикул, оставляет два документа открытыми и ещё не записывает итоговые PNG.</w:t>
      </w:r>
    </w:p>
    <w:p>
      <w:r>
        <w:t>3. Закройте сообщения. Переключитесь между документами «артикул — лицевая» и «артикул — оборот». При необходимости поправьте отдельные слои.</w:t>
      </w:r>
    </w:p>
    <w:p>
      <w:r>
        <w:t>4. Не переименовывайте документы. Запустите Continue_Save.jsx через Файл → Сценарии → Обзор…</w:t>
      </w:r>
    </w:p>
    <w:p>
      <w:r>
        <w:t>5. Выберите папку результата. Скрипт сохранит обе стороны в PNG и PSD. В этом режиме PSD сохраняются всегда. Документы останутся открытыми.</w:t>
      </w:r>
    </w:p>
    <w:p>
      <w:pPr>
        <w:pStyle w:val="Heading2"/>
      </w:pPr>
      <w:r>
        <w:t>Что проверить визуально</w:t>
      </w:r>
    </w:p>
    <w:p>
      <w:pPr>
        <w:pStyle w:val="ListBullet"/>
      </w:pPr>
      <w:r>
        <w:t>Верный артикул и нужный тип товара; количество слоёв соответствует введённому числу.</w:t>
      </w:r>
    </w:p>
    <w:p>
      <w:pPr>
        <w:pStyle w:val="ListBullet"/>
      </w:pPr>
      <w:r>
        <w:t>Нет серых полос и остатков подложки PDF; блики выглядят как плёнка, а не непрозрачная заливка.</w:t>
      </w:r>
    </w:p>
    <w:p>
      <w:pPr>
        <w:pStyle w:val="ListBullet"/>
      </w:pPr>
      <w:r>
        <w:t>Предметы целиком находятся в выбранной области и не искажены.</w:t>
      </w:r>
    </w:p>
    <w:p>
      <w:pPr>
        <w:pStyle w:val="ListBullet"/>
      </w:pPr>
      <w:r>
        <w:t>У каждого товара есть тень. Тень не обрезается прямоугольником области размещения.</w:t>
      </w:r>
    </w:p>
    <w:p>
      <w:pPr>
        <w:pStyle w:val="ListBullet"/>
      </w:pPr>
      <w:r>
        <w:t>Евроотверстие прозрачное, одно; вокруг нет белой каймы и фрагментов логотипа. На обороте вокруг выреза остаётся паттерн.</w:t>
      </w:r>
    </w:p>
    <w:p>
      <w:pPr>
        <w:pStyle w:val="ListBullet"/>
      </w:pPr>
      <w:r>
        <w:t>Обе стороны полностью помещаются в холст; текст, штрихкод и технические данные читаемы.</w:t>
      </w:r>
    </w:p>
    <w:p>
      <w:r>
        <w:br w:type="page"/>
      </w:r>
    </w:p>
    <w:p>
      <w:pPr>
        <w:pStyle w:val="Heading1"/>
      </w:pPr>
      <w:r>
        <w:t>4 Пакетная обработка и результат</w:t>
      </w:r>
    </w:p>
    <w:p>
      <w:pPr>
        <w:pStyle w:val="Heading2"/>
      </w:pPr>
      <w:r>
        <w:t>Запуск партии</w:t>
      </w:r>
    </w:p>
    <w:p>
      <w:r>
        <w:t>После удачного образца снова запустите основной сценарий, выберите нужные PDF и новую папку результата. Для каждого артикула заполните его окно параметров. Снимите «Оставить для проверки перед сохранением»: файлы будут сохраняться автоматически, а созданные документы закроются после сохранения.</w:t>
      </w:r>
    </w:p>
    <w:p>
      <w:r>
        <w:t>Флажок «Сохранить также PSD» оставляйте включённым, если результат потребуется редактировать. Для более быстрого экспорта снимите его: останутся PNG без изменения разрешения. После обработки просмотрите журнал mockup_log_…txt в папке результата и проверьте несколько готовых изображений.</w:t>
      </w:r>
    </w:p>
    <w:p>
      <w:pPr>
        <w:pStyle w:val="Heading2"/>
      </w:pPr>
      <w:r>
        <w:t>Где искать файлы</w:t>
      </w:r>
    </w:p>
    <w:p>
      <w:r>
        <w:t>front — лицевые стороны, back — оборотные. В каждой папке имя файла состоит из артикула. При включённом PSD рядом с PNG лежит файл с тем же именем и расширением .psd. Холст каждого результата — 3000×3000 px, пакет по центру, поля прозрачные.</w:t>
      </w:r>
    </w:p>
    <w:p>
      <w:r>
        <w:t>Существующие результаты не перезаписываются. Если уже есть PNG или PSD этого артикула хотя бы в одной из двух папок, артикул пропускается. Для повторной сборки удобнее выбрать новую пустую папку. После ошибки сохранения проверьте обе стороны: в папке могла остаться неполная пара.</w:t>
      </w:r>
    </w:p>
    <w:p>
      <w:pPr>
        <w:pStyle w:val="Heading2"/>
      </w:pPr>
      <w:r>
        <w:t>Как устроен PSD</w:t>
      </w:r>
    </w:p>
    <w:p>
      <w:pPr>
        <w:pStyle w:val="ListBullet"/>
      </w:pPr>
      <w:r>
        <w:t>01 Основа — нижняя плёнка и форма пакета.</w:t>
      </w:r>
    </w:p>
    <w:p>
      <w:pPr>
        <w:pStyle w:val="ListBullet"/>
      </w:pPr>
      <w:r>
        <w:t>02 Товар — отдельный слой для каждого экземпляра, у каждого свой Drop Shadow.</w:t>
      </w:r>
    </w:p>
    <w:p>
      <w:pPr>
        <w:pStyle w:val="ListBullet"/>
      </w:pPr>
      <w:r>
        <w:t>03 PDF — исходное оформление первой страницы с очищенным окном.</w:t>
      </w:r>
    </w:p>
    <w:p>
      <w:pPr>
        <w:pStyle w:val="ListBullet"/>
      </w:pPr>
      <w:r>
        <w:t>04 Блики — исходный верхний PNG в Screen, непрозрачность 100%.</w:t>
      </w:r>
    </w:p>
    <w:p>
      <w:pPr>
        <w:pStyle w:val="ListBullet"/>
      </w:pPr>
      <w:r>
        <w:t>Общая маска пакета — внешний контур и евроотверстие. Шаблон отверстия хранится отдельно скрытым.</w:t>
      </w:r>
    </w:p>
    <w:p>
      <w:r>
        <w:t>Тени выходят за область размещения товара, но ограничены внешней формой пакета. Непрозрачная печать PDF над товаром может естественно перекрывать часть тени. Перемещение скрытого шаблона отверстия вручную само по себе не обновляет общую маску — редактировать нужно и маску.</w:t>
      </w:r>
    </w:p>
    <w:p>
      <w:pPr>
        <w:pStyle w:val="Heading2"/>
      </w:pPr>
      <w:r>
        <w:t>Настройки тени в версии v6</w:t>
      </w:r>
    </w:p>
    <w:p>
      <w:r>
        <w:t>Multiply • чёрный • непрозрачность 88% • угол 120° • глобальное освещение выключено • смещение 16 px • размах 23% • размер 46 px • контур Linear • сглаживание включено • шум 0%. Параметры можно проверить двойным щелчком по эффекту Drop Shadow конкретного товара.</w:t>
      </w:r>
    </w:p>
    <w:p>
      <w:r>
        <w:br w:type="page"/>
      </w:r>
    </w:p>
    <w:p>
      <w:pPr>
        <w:pStyle w:val="Heading1"/>
      </w:pPr>
      <w:r>
        <w:t>5 Решение типичных проблем</w:t>
      </w:r>
    </w:p>
    <w:p>
      <w:pPr>
        <w:pStyle w:val="Heading2"/>
      </w:pPr>
      <w:r>
        <w:t>Товар не найден или выбран не тот</w:t>
      </w:r>
    </w:p>
    <w:p>
      <w:r>
        <w:t>Сверьте начало имён PDF и изображения. Уберите дубликаты из папки товаров или выберите правильный файл вручную. Не добавляйте изображения с разными артикулами под одинаковым именем. Отмена ручного выбора пропускает текущий артикул.</w:t>
      </w:r>
    </w:p>
    <w:p>
      <w:pPr>
        <w:pStyle w:val="Heading2"/>
      </w:pPr>
      <w:r>
        <w:t>Предметы слишком крупные или скучены</w:t>
      </w:r>
    </w:p>
    <w:p>
      <w:r>
        <w:t>Уменьшите «Размер товара». Если в окне достаточно свободного места, увеличьте ширину или высоту области размещения. Повороты и небольшие изменения масштаба случайны; перекрытие предметов допускается. Если предмет после поворота не помещается, скрипт дополнительно уменьшает его до границ области.</w:t>
      </w:r>
    </w:p>
    <w:p>
      <w:pPr>
        <w:pStyle w:val="Heading2"/>
      </w:pPr>
      <w:r>
        <w:t>Предметы находятся не там</w:t>
      </w:r>
    </w:p>
    <w:p>
      <w:r>
        <w:t>Увеличьте «Сверху», чтобы сдвинуть область вниз, или «Слева», чтобы сдвинуть вправо. «Ширина» и «Высота» меняют доступную область, а не размер одного предмета. Начните с одного PDF в режиме проверки и скорректируйте проценты. Поиск серого при этом не меняется.</w:t>
      </w:r>
    </w:p>
    <w:p>
      <w:pPr>
        <w:pStyle w:val="Heading2"/>
      </w:pPr>
      <w:r>
        <w:t>Остался серый фон или появилась пелена</w:t>
      </w:r>
    </w:p>
    <w:p>
      <w:r>
        <w:t>Проверьте цвет и допуск удаления серого. В режиме проверки временно выключите слой «04 Блики»: если пелена исчезла, её даёт светлая плёнка в Screen, а не PDF. Не удаляйте белый цвет со всего макета — исчезнут надписи и белые части дизайна. При другом дизайне PDF передайте файл ответственному за настройку сценария.</w:t>
      </w:r>
    </w:p>
    <w:p>
      <w:pPr>
        <w:pStyle w:val="Heading2"/>
      </w:pPr>
      <w:r>
        <w:t>Нет тени или она кажется обрезанной</w:t>
      </w:r>
    </w:p>
    <w:p>
      <w:r>
        <w:t>Проверьте значок fx у отдельного слоя товара и его видимость. Сверьте параметры с разделом 4. У группы товара не должно быть прямоугольной маски размещения. У внешней границы пакета тень ограничивается общей маской; печать PDF также может её перекрывать.</w:t>
      </w:r>
    </w:p>
    <w:p>
      <w:pPr>
        <w:pStyle w:val="Heading2"/>
      </w:pPr>
      <w:r>
        <w:t>Белая кайма или неправильный паттерн у отверстия</w:t>
      </w:r>
    </w:p>
    <w:p>
      <w:r>
        <w:t>Убедитесь, что запущен именно комплект v6. Для других PDF полоса ниже старого отверстия может содержать текст или отличаться от паттерна. Такой файл проверьте отдельно и передайте на настройку вместе с исходным PDF. Не исправляйте проблему удалением белого по всей странице.</w:t>
      </w:r>
    </w:p>
    <w:p>
      <w:pPr>
        <w:pStyle w:val="Heading2"/>
      </w:pPr>
      <w:r>
        <w:t>Медленная работа или ошибка</w:t>
      </w:r>
    </w:p>
    <w:p>
      <w:r>
        <w:t>Для ускорения отключите PSD, не включайте проверку для всей партии и не запускайте несколько копий сценария одновременно. Для большой партии делите PDF на удобные группы. При ошибке сохраните журнал, текст сообщения, артикул и версию Photoshop. После прерывания проверьте front и back; следующий запуск в ту же папку пропустит уже существующие результаты.</w:t>
      </w:r>
    </w:p>
    <w:p>
      <w:r>
        <w:t>Финальный контроль перед передачей: есть обе стороны каждого артикула, размеры PNG 3000×3000, прозрачный фон, читаемый текст, правильный товар, чистое евроотверстие. Разные повороты здесь являются 2D-трансформациями одного изображения, а не новыми 3D-ракурсами.</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Создание мокапов пакетов в Photoshop</dc:title>
  <dc:subject>Инструкция для сотрудников по версии v6</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