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0EB0F" w14:textId="77777777" w:rsidR="00126922" w:rsidRPr="00126922" w:rsidRDefault="00126922" w:rsidP="00126922">
      <w:pPr>
        <w:spacing w:before="300" w:line="450" w:lineRule="atLeast"/>
        <w:ind w:firstLine="245"/>
        <w:jc w:val="both"/>
        <w:outlineLvl w:val="1"/>
        <w:rPr>
          <w:rFonts w:ascii="Times New Roman" w:eastAsia="Times New Roman" w:hAnsi="Times New Roman" w:cs="Times New Roman"/>
          <w:b/>
          <w:bCs/>
          <w:caps/>
        </w:rPr>
      </w:pPr>
      <w:r w:rsidRPr="00126922">
        <w:rPr>
          <w:rFonts w:ascii="Times New Roman" w:eastAsia="Times New Roman" w:hAnsi="Times New Roman" w:cs="Times New Roman"/>
          <w:b/>
          <w:bCs/>
          <w:caps/>
        </w:rPr>
        <w:t>Discussion1:</w:t>
      </w:r>
    </w:p>
    <w:p w14:paraId="2E1BCB78" w14:textId="77777777" w:rsidR="00126922" w:rsidRPr="00126922" w:rsidRDefault="00126922" w:rsidP="00126922">
      <w:pPr>
        <w:spacing w:before="300" w:line="450" w:lineRule="atLeast"/>
        <w:ind w:firstLine="245"/>
        <w:jc w:val="both"/>
        <w:outlineLvl w:val="1"/>
        <w:rPr>
          <w:rFonts w:ascii="Times New Roman" w:eastAsia="Times New Roman" w:hAnsi="Times New Roman" w:cs="Times New Roman"/>
          <w:b/>
          <w:bCs/>
          <w:caps/>
        </w:rPr>
      </w:pPr>
      <w:r w:rsidRPr="00126922">
        <w:rPr>
          <w:rFonts w:ascii="Times New Roman" w:eastAsia="Times New Roman" w:hAnsi="Times New Roman" w:cs="Times New Roman"/>
          <w:b/>
          <w:bCs/>
          <w:caps/>
        </w:rPr>
        <w:t>The Application of Data to Problem-Solvin</w:t>
      </w:r>
      <w:r w:rsidRPr="00126922">
        <w:rPr>
          <w:rFonts w:ascii="Times New Roman" w:eastAsia="Times New Roman" w:hAnsi="Times New Roman" w:cs="Times New Roman"/>
          <w:b/>
          <w:bCs/>
          <w:caps/>
        </w:rPr>
        <w:t>g.</w:t>
      </w:r>
    </w:p>
    <w:p w14:paraId="636D90FB" w14:textId="5C0DF038" w:rsidR="00126922" w:rsidRDefault="00126922" w:rsidP="00126922">
      <w:pPr>
        <w:spacing w:before="300" w:line="450" w:lineRule="atLeast"/>
        <w:ind w:firstLine="245"/>
        <w:jc w:val="both"/>
        <w:outlineLvl w:val="1"/>
        <w:rPr>
          <w:rFonts w:ascii="Lato" w:hAnsi="Lato"/>
          <w:color w:val="273540"/>
          <w:shd w:val="clear" w:color="auto" w:fill="FFFFFF"/>
        </w:rPr>
      </w:pPr>
      <w:r w:rsidRPr="00126922">
        <w:rPr>
          <w:rStyle w:val="Strong"/>
          <w:rFonts w:ascii="Lato" w:hAnsi="Lato"/>
          <w:color w:val="273540"/>
          <w:shd w:val="clear" w:color="auto" w:fill="FFFFFF"/>
        </w:rPr>
        <w:t>Post</w:t>
      </w:r>
      <w:r w:rsidRPr="00126922">
        <w:rPr>
          <w:rFonts w:ascii="Lato" w:hAnsi="Lato"/>
          <w:b/>
          <w:bCs/>
          <w:color w:val="273540"/>
          <w:shd w:val="clear" w:color="auto" w:fill="FFFFFF"/>
        </w:rPr>
        <w:t> a description of the focus of your scenario. Describe the data that could be used and how the data might be collected and accessed. What knowledge might be derived from that data? How would a nurse leader use clinical reasoning and judgment in the formation of knowledge from this experience</w:t>
      </w:r>
      <w:r>
        <w:rPr>
          <w:rFonts w:ascii="Lato" w:hAnsi="Lato"/>
          <w:color w:val="273540"/>
          <w:shd w:val="clear" w:color="auto" w:fill="FFFFFF"/>
        </w:rPr>
        <w:t>?</w:t>
      </w:r>
    </w:p>
    <w:p w14:paraId="1DC56DCF" w14:textId="77777777" w:rsidR="00126922" w:rsidRPr="00126922" w:rsidRDefault="00126922" w:rsidP="00126922">
      <w:pPr>
        <w:spacing w:before="300" w:line="450" w:lineRule="atLeast"/>
        <w:ind w:firstLine="245"/>
        <w:outlineLvl w:val="1"/>
        <w:rPr>
          <w:rFonts w:ascii="Lato" w:hAnsi="Lato"/>
          <w:color w:val="273540"/>
          <w:shd w:val="clear" w:color="auto" w:fill="FFFFFF"/>
        </w:rPr>
      </w:pPr>
    </w:p>
    <w:p w14:paraId="34D05D03" w14:textId="7CA34587" w:rsidR="00417AC3" w:rsidRPr="00A41C59" w:rsidRDefault="00417AC3" w:rsidP="00A41C59">
      <w:pPr>
        <w:pStyle w:val="NormalWeb"/>
        <w:shd w:val="clear" w:color="auto" w:fill="FFFFFF"/>
        <w:spacing w:before="180" w:beforeAutospacing="0" w:after="180" w:afterAutospacing="0" w:line="480" w:lineRule="auto"/>
        <w:rPr>
          <w:color w:val="444444"/>
        </w:rPr>
      </w:pPr>
      <w:r w:rsidRPr="00A41C59">
        <w:rPr>
          <w:color w:val="444444"/>
        </w:rPr>
        <w:t>In this modern world, data is very much used to solve a problem, if there is any issue in an institution then they will gather all the data relevant to that issue and try to resolve the issue. Because of EHR and other data systems we can gather a lot of data that hospitals use to manage and analyze (Sweeney, 2017). Electronic surveillance promises to make our task more objective and efficient in this era of new financial and regulatory imperatives. (Sanger et al., 2018). Having access to medical records is crucial for healthcare professionals to ensure that their patients are receiving the best care. I work with the critically ill neuro population, and we rely on the data to identify the cause and solve the problem whether it is CLABSI, Hospital-acquired pressure ulcers, or CAUTIs. Since I am one of the CAUTI auditors in my organization and the neuro population is at high risk for getting CAUTI I would like to bring up CAUTI to the discussion board.</w:t>
      </w:r>
    </w:p>
    <w:p w14:paraId="388D0811" w14:textId="77777777" w:rsidR="00417AC3" w:rsidRPr="00A41C59" w:rsidRDefault="00417AC3" w:rsidP="00A41C59">
      <w:pPr>
        <w:pStyle w:val="NormalWeb"/>
        <w:shd w:val="clear" w:color="auto" w:fill="FFFFFF"/>
        <w:spacing w:before="180" w:beforeAutospacing="0" w:after="180" w:afterAutospacing="0" w:line="480" w:lineRule="auto"/>
        <w:rPr>
          <w:color w:val="444444"/>
        </w:rPr>
      </w:pPr>
      <w:r w:rsidRPr="00A41C59">
        <w:rPr>
          <w:color w:val="444444"/>
        </w:rPr>
        <w:t> </w:t>
      </w:r>
    </w:p>
    <w:p w14:paraId="157B5510" w14:textId="77777777" w:rsidR="00417AC3" w:rsidRPr="00A41C59" w:rsidRDefault="00417AC3" w:rsidP="00A41C59">
      <w:pPr>
        <w:pStyle w:val="NormalWeb"/>
        <w:shd w:val="clear" w:color="auto" w:fill="FFFFFF"/>
        <w:spacing w:before="180" w:beforeAutospacing="0" w:after="180" w:afterAutospacing="0" w:line="480" w:lineRule="auto"/>
        <w:rPr>
          <w:color w:val="444444"/>
        </w:rPr>
      </w:pPr>
      <w:r w:rsidRPr="00A41C59">
        <w:rPr>
          <w:rStyle w:val="Strong"/>
          <w:color w:val="444444"/>
        </w:rPr>
        <w:t>Description of Scenario</w:t>
      </w:r>
    </w:p>
    <w:p w14:paraId="377AF4F8" w14:textId="77777777" w:rsidR="00417AC3" w:rsidRPr="00A41C59" w:rsidRDefault="00417AC3" w:rsidP="00A41C59">
      <w:pPr>
        <w:pStyle w:val="NormalWeb"/>
        <w:shd w:val="clear" w:color="auto" w:fill="FFFFFF"/>
        <w:spacing w:before="180" w:beforeAutospacing="0" w:after="180" w:afterAutospacing="0" w:line="480" w:lineRule="auto"/>
        <w:rPr>
          <w:color w:val="444444"/>
        </w:rPr>
      </w:pPr>
      <w:r w:rsidRPr="00A41C59">
        <w:rPr>
          <w:color w:val="444444"/>
        </w:rPr>
        <w:lastRenderedPageBreak/>
        <w:t>CAUTI is a common issue we can see in all healthcare institutions that greatly affects patients and the organization. It is one of the costliest healthcare-associated infections, it contributes to the death of up to 13,000 patients and costs at least $400 million annually. (Perrin et al.,) Critically ill neuro patients are at 2-5 times higher risk of getting CAUTI because of increased use of foley catheters due to neurogenic urinary retention. Because of this increasing CAUTI rates we have created a urinary catheter audit tool where we gather information from at least 3 patients that has foley each week and document it under the Nursing quality site, This tool consists of yes or no questions where yes means they are compliant with foley protocol if the nurses are not compliant with the protocol, and they click no, it immediately sends alert to the nurse who is taking care of that patient and the CAUTI auditor, then the auditor can immediately educate the nurse and give constructive feedback. This is also reviewed by quality improvement staff and Nurse managers on the unit every 2 to 3 months.  They will assess all the data that was gathered to see if any improvement must be done, what are the things we are not doing right, and what is that we are doing right so that we can continue to do the right thing and come out with different ideas if it's not working.</w:t>
      </w:r>
    </w:p>
    <w:p w14:paraId="0314A3BE" w14:textId="77777777" w:rsidR="00417AC3" w:rsidRPr="00A41C59" w:rsidRDefault="00417AC3" w:rsidP="00A41C59">
      <w:pPr>
        <w:pStyle w:val="NormalWeb"/>
        <w:shd w:val="clear" w:color="auto" w:fill="FFFFFF"/>
        <w:spacing w:before="180" w:beforeAutospacing="0" w:after="180" w:afterAutospacing="0" w:line="480" w:lineRule="auto"/>
        <w:rPr>
          <w:color w:val="444444"/>
        </w:rPr>
      </w:pPr>
      <w:r w:rsidRPr="00A41C59">
        <w:rPr>
          <w:color w:val="444444"/>
        </w:rPr>
        <w:t> </w:t>
      </w:r>
    </w:p>
    <w:p w14:paraId="49DA54BD" w14:textId="77777777" w:rsidR="00417AC3" w:rsidRPr="00A41C59" w:rsidRDefault="00417AC3" w:rsidP="00A41C59">
      <w:pPr>
        <w:pStyle w:val="NormalWeb"/>
        <w:shd w:val="clear" w:color="auto" w:fill="FFFFFF"/>
        <w:spacing w:before="180" w:beforeAutospacing="0" w:after="180" w:afterAutospacing="0" w:line="480" w:lineRule="auto"/>
        <w:rPr>
          <w:color w:val="444444"/>
        </w:rPr>
      </w:pPr>
      <w:r w:rsidRPr="00A41C59">
        <w:rPr>
          <w:rStyle w:val="Strong"/>
          <w:color w:val="444444"/>
        </w:rPr>
        <w:t>Clinical reasoning and Judgement.</w:t>
      </w:r>
    </w:p>
    <w:p w14:paraId="57F1B0A6" w14:textId="77777777" w:rsidR="00417AC3" w:rsidRPr="00A41C59" w:rsidRDefault="00417AC3" w:rsidP="00A41C59">
      <w:pPr>
        <w:pStyle w:val="NormalWeb"/>
        <w:shd w:val="clear" w:color="auto" w:fill="FFFFFF"/>
        <w:spacing w:before="180" w:beforeAutospacing="0" w:after="180" w:afterAutospacing="0" w:line="480" w:lineRule="auto"/>
        <w:rPr>
          <w:color w:val="444444"/>
        </w:rPr>
      </w:pPr>
      <w:r w:rsidRPr="00A41C59">
        <w:rPr>
          <w:color w:val="444444"/>
        </w:rPr>
        <w:t>With a thorough examination of documentation practices, Nurse leaders can come up with a set of rules that can identify positive and negatively asserted symptoms of CAUTI. The sources of error and suggestions for more computable future definitions can be identified and discussed based on the data collected. Leaders can use clinical reasoning and judgment with the knowledge they obtained from data collection. Because of the information provided via data, leaders can apply their knowledge, think in action, and reason as a situation changes over time.</w:t>
      </w:r>
    </w:p>
    <w:p w14:paraId="6E12C6EA" w14:textId="77777777" w:rsidR="00417AC3" w:rsidRPr="00A41C59" w:rsidRDefault="00417AC3" w:rsidP="00A41C59">
      <w:pPr>
        <w:pStyle w:val="NormalWeb"/>
        <w:shd w:val="clear" w:color="auto" w:fill="FFFFFF"/>
        <w:spacing w:before="180" w:beforeAutospacing="0" w:after="180" w:afterAutospacing="0" w:line="480" w:lineRule="auto"/>
        <w:rPr>
          <w:color w:val="444444"/>
        </w:rPr>
      </w:pPr>
      <w:r w:rsidRPr="00A41C59">
        <w:rPr>
          <w:color w:val="444444"/>
        </w:rPr>
        <w:lastRenderedPageBreak/>
        <w:t> </w:t>
      </w:r>
    </w:p>
    <w:p w14:paraId="1E534B17" w14:textId="10B44685" w:rsidR="00417AC3" w:rsidRPr="00A41C59" w:rsidRDefault="00417AC3" w:rsidP="00A41C59">
      <w:pPr>
        <w:pStyle w:val="NormalWeb"/>
        <w:shd w:val="clear" w:color="auto" w:fill="FFFFFF"/>
        <w:spacing w:before="180" w:beforeAutospacing="0" w:after="180" w:afterAutospacing="0" w:line="480" w:lineRule="auto"/>
        <w:rPr>
          <w:color w:val="444444"/>
        </w:rPr>
      </w:pPr>
      <w:r w:rsidRPr="00A41C59">
        <w:rPr>
          <w:rStyle w:val="Strong"/>
          <w:color w:val="444444"/>
        </w:rPr>
        <w:t>References:</w:t>
      </w:r>
    </w:p>
    <w:p w14:paraId="7C7483EC" w14:textId="77777777" w:rsidR="00417AC3" w:rsidRPr="00A41C59" w:rsidRDefault="00417AC3" w:rsidP="00A41C59">
      <w:pPr>
        <w:pStyle w:val="NormalWeb"/>
        <w:shd w:val="clear" w:color="auto" w:fill="FFFFFF"/>
        <w:spacing w:before="180" w:beforeAutospacing="0" w:after="180" w:afterAutospacing="0" w:line="480" w:lineRule="auto"/>
        <w:rPr>
          <w:color w:val="444444"/>
        </w:rPr>
      </w:pPr>
      <w:r w:rsidRPr="00A41C59">
        <w:rPr>
          <w:color w:val="444444"/>
        </w:rPr>
        <w:t xml:space="preserve">Perrin K; Vats A; Qureshi A; Hester J; Larson A; Felipe A; Sleiman A; Baron-Lee J; </w:t>
      </w:r>
      <w:proofErr w:type="spellStart"/>
      <w:r w:rsidRPr="00A41C59">
        <w:rPr>
          <w:color w:val="444444"/>
        </w:rPr>
        <w:t>Busl</w:t>
      </w:r>
      <w:proofErr w:type="spellEnd"/>
      <w:r w:rsidRPr="00A41C59">
        <w:rPr>
          <w:color w:val="444444"/>
        </w:rPr>
        <w:t xml:space="preserve"> K; (n.d.). </w:t>
      </w:r>
      <w:r w:rsidRPr="00A41C59">
        <w:rPr>
          <w:rStyle w:val="Emphasis"/>
          <w:color w:val="444444"/>
        </w:rPr>
        <w:t xml:space="preserve">Catheter-associated urinary tract infection (CAUTI) in the </w:t>
      </w:r>
      <w:proofErr w:type="spellStart"/>
      <w:r w:rsidRPr="00A41C59">
        <w:rPr>
          <w:rStyle w:val="Emphasis"/>
          <w:color w:val="444444"/>
        </w:rPr>
        <w:t>neuroicu</w:t>
      </w:r>
      <w:proofErr w:type="spellEnd"/>
      <w:r w:rsidRPr="00A41C59">
        <w:rPr>
          <w:rStyle w:val="Emphasis"/>
          <w:color w:val="444444"/>
        </w:rPr>
        <w:t>: Identification of risk factors and time-to-CAUTI using a case-control design</w:t>
      </w:r>
      <w:r w:rsidRPr="00A41C59">
        <w:rPr>
          <w:color w:val="444444"/>
        </w:rPr>
        <w:t>. Neurocritical care. Retrieved November 30, 2022, from</w:t>
      </w:r>
    </w:p>
    <w:p w14:paraId="1CF5FB62" w14:textId="77777777" w:rsidR="00417AC3" w:rsidRPr="00A41C59" w:rsidRDefault="00000000" w:rsidP="00A41C59">
      <w:pPr>
        <w:pStyle w:val="NormalWeb"/>
        <w:shd w:val="clear" w:color="auto" w:fill="FFFFFF"/>
        <w:spacing w:before="0" w:beforeAutospacing="0" w:after="0" w:afterAutospacing="0" w:line="480" w:lineRule="auto"/>
        <w:rPr>
          <w:color w:val="444444"/>
        </w:rPr>
      </w:pPr>
      <w:hyperlink r:id="rId6" w:tgtFrame="_blank" w:history="1">
        <w:r w:rsidR="00417AC3" w:rsidRPr="00A41C59">
          <w:rPr>
            <w:rStyle w:val="Hyperlink"/>
          </w:rPr>
          <w:t>https://pubmed.ncbi.nlm.nih.gov/32556857/</w:t>
        </w:r>
        <w:r w:rsidR="00417AC3" w:rsidRPr="00A41C59">
          <w:rPr>
            <w:rStyle w:val="screenreader-only"/>
            <w:color w:val="0000FF"/>
            <w:u w:val="single"/>
            <w:bdr w:val="none" w:sz="0" w:space="0" w:color="auto" w:frame="1"/>
          </w:rPr>
          <w:t>Links to an external site.</w:t>
        </w:r>
      </w:hyperlink>
    </w:p>
    <w:p w14:paraId="23B9A1D0" w14:textId="77777777" w:rsidR="00417AC3" w:rsidRPr="00A41C59" w:rsidRDefault="00417AC3" w:rsidP="00A41C59">
      <w:pPr>
        <w:pStyle w:val="NormalWeb"/>
        <w:shd w:val="clear" w:color="auto" w:fill="FFFFFF"/>
        <w:spacing w:before="180" w:beforeAutospacing="0" w:after="180" w:afterAutospacing="0" w:line="480" w:lineRule="auto"/>
        <w:rPr>
          <w:color w:val="444444"/>
        </w:rPr>
      </w:pPr>
      <w:r w:rsidRPr="00A41C59">
        <w:rPr>
          <w:color w:val="444444"/>
        </w:rPr>
        <w:t xml:space="preserve">Sanger, P. C., </w:t>
      </w:r>
      <w:proofErr w:type="spellStart"/>
      <w:r w:rsidRPr="00A41C59">
        <w:rPr>
          <w:color w:val="444444"/>
        </w:rPr>
        <w:t>Granich</w:t>
      </w:r>
      <w:proofErr w:type="spellEnd"/>
      <w:r w:rsidRPr="00A41C59">
        <w:rPr>
          <w:color w:val="444444"/>
        </w:rPr>
        <w:t xml:space="preserve">, M., Olsen-Scribner, R., Jain, R., </w:t>
      </w:r>
      <w:proofErr w:type="spellStart"/>
      <w:r w:rsidRPr="00A41C59">
        <w:rPr>
          <w:color w:val="444444"/>
        </w:rPr>
        <w:t>Lober</w:t>
      </w:r>
      <w:proofErr w:type="spellEnd"/>
      <w:r w:rsidRPr="00A41C59">
        <w:rPr>
          <w:color w:val="444444"/>
        </w:rPr>
        <w:t>, W. B., Stapleton, A., &amp; Pottinger, P. S. (2018, April 16). </w:t>
      </w:r>
      <w:r w:rsidRPr="00A41C59">
        <w:rPr>
          <w:rStyle w:val="Emphasis"/>
          <w:color w:val="444444"/>
        </w:rPr>
        <w:t>Electronic surveillance for catheter-associated urinary tract infection using natural language processing</w:t>
      </w:r>
      <w:r w:rsidRPr="00A41C59">
        <w:rPr>
          <w:color w:val="444444"/>
        </w:rPr>
        <w:t>. AMIA ... Annual Symposium proceedings. AMIA Symposium. Retrieved November 30, 2022, from</w:t>
      </w:r>
    </w:p>
    <w:p w14:paraId="23817FC8" w14:textId="77777777" w:rsidR="00417AC3" w:rsidRPr="00A41C59" w:rsidRDefault="00000000" w:rsidP="00A41C59">
      <w:pPr>
        <w:pStyle w:val="NormalWeb"/>
        <w:shd w:val="clear" w:color="auto" w:fill="FFFFFF"/>
        <w:spacing w:before="0" w:beforeAutospacing="0" w:after="0" w:afterAutospacing="0" w:line="480" w:lineRule="auto"/>
        <w:rPr>
          <w:color w:val="444444"/>
        </w:rPr>
      </w:pPr>
      <w:hyperlink r:id="rId7" w:tgtFrame="_blank" w:history="1">
        <w:r w:rsidR="00417AC3" w:rsidRPr="00A41C59">
          <w:rPr>
            <w:rStyle w:val="Hyperlink"/>
          </w:rPr>
          <w:t>https://www.ncbi.nlm.nih.gov/pmc/articles/PMC5977673/</w:t>
        </w:r>
        <w:r w:rsidR="00417AC3" w:rsidRPr="00A41C59">
          <w:rPr>
            <w:rStyle w:val="screenreader-only"/>
            <w:color w:val="0000FF"/>
            <w:u w:val="single"/>
            <w:bdr w:val="none" w:sz="0" w:space="0" w:color="auto" w:frame="1"/>
          </w:rPr>
          <w:t>Links to an external site.</w:t>
        </w:r>
      </w:hyperlink>
    </w:p>
    <w:p w14:paraId="3A0FDF9E" w14:textId="77777777" w:rsidR="00417AC3" w:rsidRPr="00A41C59" w:rsidRDefault="00417AC3" w:rsidP="00A41C59">
      <w:pPr>
        <w:pStyle w:val="NormalWeb"/>
        <w:shd w:val="clear" w:color="auto" w:fill="FFFFFF"/>
        <w:spacing w:before="180" w:beforeAutospacing="0" w:after="180" w:afterAutospacing="0" w:line="480" w:lineRule="auto"/>
        <w:rPr>
          <w:color w:val="444444"/>
        </w:rPr>
      </w:pPr>
      <w:r w:rsidRPr="00A41C59">
        <w:rPr>
          <w:color w:val="444444"/>
        </w:rPr>
        <w:t> </w:t>
      </w:r>
    </w:p>
    <w:p w14:paraId="0E028093" w14:textId="77777777" w:rsidR="00417AC3" w:rsidRPr="00A41C59" w:rsidRDefault="00417AC3" w:rsidP="00A41C59">
      <w:pPr>
        <w:pStyle w:val="NormalWeb"/>
        <w:shd w:val="clear" w:color="auto" w:fill="FFFFFF"/>
        <w:spacing w:before="180" w:beforeAutospacing="0" w:after="180" w:afterAutospacing="0" w:line="480" w:lineRule="auto"/>
        <w:rPr>
          <w:color w:val="444444"/>
        </w:rPr>
      </w:pPr>
      <w:r w:rsidRPr="00A41C59">
        <w:rPr>
          <w:color w:val="444444"/>
        </w:rPr>
        <w:t xml:space="preserve"> Sweeney, </w:t>
      </w:r>
      <w:proofErr w:type="spellStart"/>
      <w:r w:rsidRPr="00A41C59">
        <w:rPr>
          <w:color w:val="444444"/>
        </w:rPr>
        <w:t>julianne</w:t>
      </w:r>
      <w:proofErr w:type="spellEnd"/>
      <w:r w:rsidRPr="00A41C59">
        <w:rPr>
          <w:color w:val="444444"/>
        </w:rPr>
        <w:t>. (2017). </w:t>
      </w:r>
      <w:r w:rsidRPr="00A41C59">
        <w:rPr>
          <w:rStyle w:val="Emphasis"/>
          <w:color w:val="444444"/>
        </w:rPr>
        <w:t>Healthcare Informatics</w:t>
      </w:r>
      <w:r w:rsidRPr="00A41C59">
        <w:rPr>
          <w:color w:val="444444"/>
        </w:rPr>
        <w:t>. EBSCO Information Services, Inc. | www.ebsco.com. Retrieved November 30, 2022, from</w:t>
      </w:r>
    </w:p>
    <w:p w14:paraId="110B4885" w14:textId="77777777" w:rsidR="00417AC3" w:rsidRPr="00A41C59" w:rsidRDefault="00000000" w:rsidP="00A41C59">
      <w:pPr>
        <w:pStyle w:val="NormalWeb"/>
        <w:shd w:val="clear" w:color="auto" w:fill="FFFFFF"/>
        <w:spacing w:before="0" w:beforeAutospacing="0" w:after="0" w:afterAutospacing="0" w:line="480" w:lineRule="auto"/>
        <w:rPr>
          <w:color w:val="444444"/>
        </w:rPr>
      </w:pPr>
      <w:hyperlink r:id="rId8" w:tgtFrame="_blank" w:history="1">
        <w:r w:rsidR="00417AC3" w:rsidRPr="00A41C59">
          <w:rPr>
            <w:rStyle w:val="Hyperlink"/>
          </w:rPr>
          <w:t>https://www.ebsco.com/products/ebscohost-research-platform</w:t>
        </w:r>
        <w:r w:rsidR="00417AC3" w:rsidRPr="00A41C59">
          <w:rPr>
            <w:rStyle w:val="screenreader-only"/>
            <w:color w:val="0000FF"/>
            <w:u w:val="single"/>
            <w:bdr w:val="none" w:sz="0" w:space="0" w:color="auto" w:frame="1"/>
          </w:rPr>
          <w:t>Links to an external site.</w:t>
        </w:r>
      </w:hyperlink>
    </w:p>
    <w:p w14:paraId="78E9C3DF" w14:textId="65C0A335" w:rsidR="00417AC3" w:rsidRPr="00A41C59" w:rsidRDefault="00417AC3" w:rsidP="00A41C59">
      <w:pPr>
        <w:pStyle w:val="NormalWeb"/>
        <w:shd w:val="clear" w:color="auto" w:fill="FFFFFF"/>
        <w:spacing w:before="180" w:beforeAutospacing="0" w:after="180" w:afterAutospacing="0" w:line="480" w:lineRule="auto"/>
        <w:rPr>
          <w:color w:val="444444"/>
        </w:rPr>
      </w:pPr>
      <w:r w:rsidRPr="00A41C59">
        <w:rPr>
          <w:color w:val="444444"/>
        </w:rPr>
        <w:t> </w:t>
      </w:r>
      <w:r w:rsidR="00A41C59" w:rsidRPr="00A41C59">
        <w:rPr>
          <w:color w:val="444444"/>
        </w:rPr>
        <w:t>RESPONSE1:</w:t>
      </w:r>
    </w:p>
    <w:p w14:paraId="41E9BDCC" w14:textId="77777777" w:rsidR="00A41C59" w:rsidRPr="00A41C59" w:rsidRDefault="00A41C59" w:rsidP="00A41C59">
      <w:pPr>
        <w:shd w:val="clear" w:color="auto" w:fill="FFFFFF"/>
        <w:spacing w:before="180" w:after="180" w:line="480" w:lineRule="auto"/>
        <w:rPr>
          <w:rFonts w:ascii="Times New Roman" w:eastAsia="Times New Roman" w:hAnsi="Times New Roman" w:cs="Times New Roman"/>
          <w:color w:val="444444"/>
        </w:rPr>
      </w:pPr>
      <w:r w:rsidRPr="00A41C59">
        <w:rPr>
          <w:rFonts w:ascii="Times New Roman" w:eastAsia="Times New Roman" w:hAnsi="Times New Roman" w:cs="Times New Roman"/>
          <w:color w:val="444444"/>
        </w:rPr>
        <w:t>Hi Laura</w:t>
      </w:r>
    </w:p>
    <w:p w14:paraId="3F230224" w14:textId="77777777" w:rsidR="00A41C59" w:rsidRPr="00A41C59" w:rsidRDefault="00A41C59" w:rsidP="00A41C59">
      <w:pPr>
        <w:shd w:val="clear" w:color="auto" w:fill="FFFFFF"/>
        <w:spacing w:before="180" w:after="180" w:line="480" w:lineRule="auto"/>
        <w:rPr>
          <w:rFonts w:ascii="Times New Roman" w:eastAsia="Times New Roman" w:hAnsi="Times New Roman" w:cs="Times New Roman"/>
          <w:color w:val="444444"/>
        </w:rPr>
      </w:pPr>
      <w:r w:rsidRPr="00A41C59">
        <w:rPr>
          <w:rFonts w:ascii="Times New Roman" w:eastAsia="Times New Roman" w:hAnsi="Times New Roman" w:cs="Times New Roman"/>
          <w:color w:val="444444"/>
        </w:rPr>
        <w:t xml:space="preserve">You brought up an interesting as well as an important topic. Adverse reactions to a medication can </w:t>
      </w:r>
      <w:proofErr w:type="gramStart"/>
      <w:r w:rsidRPr="00A41C59">
        <w:rPr>
          <w:rFonts w:ascii="Times New Roman" w:eastAsia="Times New Roman" w:hAnsi="Times New Roman" w:cs="Times New Roman"/>
          <w:color w:val="444444"/>
        </w:rPr>
        <w:t>lead</w:t>
      </w:r>
      <w:proofErr w:type="gramEnd"/>
      <w:r w:rsidRPr="00A41C59">
        <w:rPr>
          <w:rFonts w:ascii="Times New Roman" w:eastAsia="Times New Roman" w:hAnsi="Times New Roman" w:cs="Times New Roman"/>
          <w:color w:val="444444"/>
        </w:rPr>
        <w:t xml:space="preserve"> to life-threatening complications and even death, so as a nurse we have to be extra </w:t>
      </w:r>
      <w:r w:rsidRPr="00A41C59">
        <w:rPr>
          <w:rFonts w:ascii="Times New Roman" w:eastAsia="Times New Roman" w:hAnsi="Times New Roman" w:cs="Times New Roman"/>
          <w:color w:val="444444"/>
        </w:rPr>
        <w:lastRenderedPageBreak/>
        <w:t>careful as we are the last person to approve the medication before administering it, and this can be verified via previous records. Enough data is needed to see if the patient has an adverse reaction to the medication or any component of the medication so that Nurses can see if the patient can get that medication or not. This can prevent life-threatening complications and even death and this is all possible because we have access to all the data. So, I feel like When healthcare informatics is involved in the development, the healthcare team can deliver a strong and safe product to the patient and the organization. (Sweeney, 2017). When healthcare providers have access to a complete picture of a patient's health history, they can offer a thorough treatment plan. If the patient data is not shared between doctors, researchers, and hospitals, it holds back development and can cost lives. The Electronic health record is becoming an integral part of health care as it transforms health care service quality, facilitates patient decisions, and improves health care members satisfaction. Accurate information we get from EHR enables physicians order entry as well as measures clinical validity that will ultimately upgrade the quality of patient care therefore this is very much crucial during diagnosis and therapy that benefits both medical and legal practices too. (</w:t>
      </w:r>
      <w:proofErr w:type="spellStart"/>
      <w:r w:rsidRPr="00A41C59">
        <w:rPr>
          <w:rFonts w:ascii="Times New Roman" w:eastAsia="Times New Roman" w:hAnsi="Times New Roman" w:cs="Times New Roman"/>
          <w:color w:val="444444"/>
        </w:rPr>
        <w:t>Adane</w:t>
      </w:r>
      <w:proofErr w:type="spellEnd"/>
      <w:r w:rsidRPr="00A41C59">
        <w:rPr>
          <w:rFonts w:ascii="Times New Roman" w:eastAsia="Times New Roman" w:hAnsi="Times New Roman" w:cs="Times New Roman"/>
          <w:color w:val="444444"/>
        </w:rPr>
        <w:t xml:space="preserve"> et al., 2019)</w:t>
      </w:r>
    </w:p>
    <w:p w14:paraId="3D160069" w14:textId="77777777" w:rsidR="00A41C59" w:rsidRPr="00A41C59" w:rsidRDefault="00A41C59" w:rsidP="00A41C59">
      <w:pPr>
        <w:shd w:val="clear" w:color="auto" w:fill="FFFFFF"/>
        <w:spacing w:before="180" w:after="180" w:line="480" w:lineRule="auto"/>
        <w:rPr>
          <w:rFonts w:ascii="Times New Roman" w:eastAsia="Times New Roman" w:hAnsi="Times New Roman" w:cs="Times New Roman"/>
          <w:color w:val="444444"/>
        </w:rPr>
      </w:pPr>
      <w:r w:rsidRPr="00A41C59">
        <w:rPr>
          <w:rFonts w:ascii="Times New Roman" w:eastAsia="Times New Roman" w:hAnsi="Times New Roman" w:cs="Times New Roman"/>
          <w:color w:val="444444"/>
        </w:rPr>
        <w:t> </w:t>
      </w:r>
    </w:p>
    <w:p w14:paraId="101A941D" w14:textId="77777777" w:rsidR="00A41C59" w:rsidRPr="00A41C59" w:rsidRDefault="00A41C59" w:rsidP="00A41C59">
      <w:pPr>
        <w:shd w:val="clear" w:color="auto" w:fill="FFFFFF"/>
        <w:spacing w:before="180" w:after="180" w:line="480" w:lineRule="auto"/>
        <w:rPr>
          <w:rFonts w:ascii="Times New Roman" w:eastAsia="Times New Roman" w:hAnsi="Times New Roman" w:cs="Times New Roman"/>
          <w:color w:val="444444"/>
        </w:rPr>
      </w:pPr>
      <w:r w:rsidRPr="00A41C59">
        <w:rPr>
          <w:rFonts w:ascii="Times New Roman" w:eastAsia="Times New Roman" w:hAnsi="Times New Roman" w:cs="Times New Roman"/>
          <w:b/>
          <w:bCs/>
          <w:color w:val="444444"/>
        </w:rPr>
        <w:t>Reference:</w:t>
      </w:r>
    </w:p>
    <w:p w14:paraId="66B0D973" w14:textId="77777777" w:rsidR="00A41C59" w:rsidRPr="00A41C59" w:rsidRDefault="00A41C59" w:rsidP="00A41C59">
      <w:pPr>
        <w:shd w:val="clear" w:color="auto" w:fill="FFFFFF"/>
        <w:spacing w:before="180" w:after="180" w:line="480" w:lineRule="auto"/>
        <w:rPr>
          <w:rFonts w:ascii="Times New Roman" w:eastAsia="Times New Roman" w:hAnsi="Times New Roman" w:cs="Times New Roman"/>
          <w:color w:val="444444"/>
        </w:rPr>
      </w:pPr>
      <w:r w:rsidRPr="00A41C59">
        <w:rPr>
          <w:rFonts w:ascii="Times New Roman" w:eastAsia="Times New Roman" w:hAnsi="Times New Roman" w:cs="Times New Roman"/>
          <w:color w:val="444444"/>
        </w:rPr>
        <w:t> </w:t>
      </w:r>
    </w:p>
    <w:p w14:paraId="29930478" w14:textId="77777777" w:rsidR="00A41C59" w:rsidRPr="00A41C59" w:rsidRDefault="00A41C59" w:rsidP="00A41C59">
      <w:pPr>
        <w:shd w:val="clear" w:color="auto" w:fill="FFFFFF"/>
        <w:spacing w:before="180" w:after="180" w:line="480" w:lineRule="auto"/>
        <w:rPr>
          <w:rFonts w:ascii="Times New Roman" w:eastAsia="Times New Roman" w:hAnsi="Times New Roman" w:cs="Times New Roman"/>
          <w:color w:val="444444"/>
        </w:rPr>
      </w:pPr>
      <w:proofErr w:type="spellStart"/>
      <w:r w:rsidRPr="00A41C59">
        <w:rPr>
          <w:rFonts w:ascii="Times New Roman" w:eastAsia="Times New Roman" w:hAnsi="Times New Roman" w:cs="Times New Roman"/>
          <w:color w:val="444444"/>
        </w:rPr>
        <w:t>Adane</w:t>
      </w:r>
      <w:proofErr w:type="spellEnd"/>
      <w:r w:rsidRPr="00A41C59">
        <w:rPr>
          <w:rFonts w:ascii="Times New Roman" w:eastAsia="Times New Roman" w:hAnsi="Times New Roman" w:cs="Times New Roman"/>
          <w:color w:val="444444"/>
        </w:rPr>
        <w:t xml:space="preserve">, K., </w:t>
      </w:r>
      <w:proofErr w:type="spellStart"/>
      <w:r w:rsidRPr="00A41C59">
        <w:rPr>
          <w:rFonts w:ascii="Times New Roman" w:eastAsia="Times New Roman" w:hAnsi="Times New Roman" w:cs="Times New Roman"/>
          <w:color w:val="444444"/>
        </w:rPr>
        <w:t>Gizachew</w:t>
      </w:r>
      <w:proofErr w:type="spellEnd"/>
      <w:r w:rsidRPr="00A41C59">
        <w:rPr>
          <w:rFonts w:ascii="Times New Roman" w:eastAsia="Times New Roman" w:hAnsi="Times New Roman" w:cs="Times New Roman"/>
          <w:color w:val="444444"/>
        </w:rPr>
        <w:t xml:space="preserve">, M., &amp; </w:t>
      </w:r>
      <w:proofErr w:type="spellStart"/>
      <w:r w:rsidRPr="00A41C59">
        <w:rPr>
          <w:rFonts w:ascii="Times New Roman" w:eastAsia="Times New Roman" w:hAnsi="Times New Roman" w:cs="Times New Roman"/>
          <w:color w:val="444444"/>
        </w:rPr>
        <w:t>Kendie</w:t>
      </w:r>
      <w:proofErr w:type="spellEnd"/>
      <w:r w:rsidRPr="00A41C59">
        <w:rPr>
          <w:rFonts w:ascii="Times New Roman" w:eastAsia="Times New Roman" w:hAnsi="Times New Roman" w:cs="Times New Roman"/>
          <w:color w:val="444444"/>
        </w:rPr>
        <w:t>, S. (2019, April 24). </w:t>
      </w:r>
      <w:r w:rsidRPr="00A41C59">
        <w:rPr>
          <w:rFonts w:ascii="Times New Roman" w:eastAsia="Times New Roman" w:hAnsi="Times New Roman" w:cs="Times New Roman"/>
          <w:i/>
          <w:iCs/>
          <w:color w:val="444444"/>
        </w:rPr>
        <w:t>The role of medical data in Efficient Patient Care Delivery: A Review</w:t>
      </w:r>
      <w:r w:rsidRPr="00A41C59">
        <w:rPr>
          <w:rFonts w:ascii="Times New Roman" w:eastAsia="Times New Roman" w:hAnsi="Times New Roman" w:cs="Times New Roman"/>
          <w:color w:val="444444"/>
        </w:rPr>
        <w:t>. Risk management and healthcare policy. Retrieved December 2, 2022, from</w:t>
      </w:r>
    </w:p>
    <w:p w14:paraId="081F3475" w14:textId="77777777" w:rsidR="00A41C59" w:rsidRPr="00A41C59" w:rsidRDefault="00A41C59" w:rsidP="00A41C59">
      <w:pPr>
        <w:shd w:val="clear" w:color="auto" w:fill="FFFFFF"/>
        <w:spacing w:line="480" w:lineRule="auto"/>
        <w:rPr>
          <w:rFonts w:ascii="Times New Roman" w:eastAsia="Times New Roman" w:hAnsi="Times New Roman" w:cs="Times New Roman"/>
          <w:color w:val="444444"/>
        </w:rPr>
      </w:pPr>
      <w:r w:rsidRPr="00A41C59">
        <w:rPr>
          <w:rFonts w:ascii="Times New Roman" w:eastAsia="Times New Roman" w:hAnsi="Times New Roman" w:cs="Times New Roman"/>
          <w:color w:val="444444"/>
        </w:rPr>
        <w:t> </w:t>
      </w:r>
      <w:hyperlink r:id="rId9" w:tgtFrame="_blank" w:history="1">
        <w:r w:rsidRPr="00A41C59">
          <w:rPr>
            <w:rFonts w:ascii="Times New Roman" w:eastAsia="Times New Roman" w:hAnsi="Times New Roman" w:cs="Times New Roman"/>
            <w:color w:val="0000FF"/>
            <w:u w:val="single"/>
          </w:rPr>
          <w:t>https://www.ncbi.nlm.nih.gov/pmc/articles/PMC6486797/</w:t>
        </w:r>
        <w:r w:rsidRPr="00A41C59">
          <w:rPr>
            <w:rFonts w:ascii="Times New Roman" w:eastAsia="Times New Roman" w:hAnsi="Times New Roman" w:cs="Times New Roman"/>
            <w:color w:val="0000FF"/>
            <w:u w:val="single"/>
            <w:bdr w:val="none" w:sz="0" w:space="0" w:color="auto" w:frame="1"/>
          </w:rPr>
          <w:t>Links to an external site.</w:t>
        </w:r>
      </w:hyperlink>
    </w:p>
    <w:p w14:paraId="302C1D35" w14:textId="77777777" w:rsidR="00A41C59" w:rsidRPr="00A41C59" w:rsidRDefault="00A41C59" w:rsidP="00A41C59">
      <w:pPr>
        <w:shd w:val="clear" w:color="auto" w:fill="FFFFFF"/>
        <w:spacing w:before="180" w:after="180" w:line="480" w:lineRule="auto"/>
        <w:rPr>
          <w:rFonts w:ascii="Times New Roman" w:eastAsia="Times New Roman" w:hAnsi="Times New Roman" w:cs="Times New Roman"/>
          <w:color w:val="444444"/>
        </w:rPr>
      </w:pPr>
      <w:r w:rsidRPr="00A41C59">
        <w:rPr>
          <w:rFonts w:ascii="Times New Roman" w:eastAsia="Times New Roman" w:hAnsi="Times New Roman" w:cs="Times New Roman"/>
          <w:color w:val="444444"/>
        </w:rPr>
        <w:lastRenderedPageBreak/>
        <w:t> </w:t>
      </w:r>
    </w:p>
    <w:p w14:paraId="276956A4" w14:textId="77777777" w:rsidR="00A41C59" w:rsidRPr="00A41C59" w:rsidRDefault="00A41C59" w:rsidP="00A41C59">
      <w:pPr>
        <w:shd w:val="clear" w:color="auto" w:fill="FFFFFF"/>
        <w:spacing w:before="180" w:after="180" w:line="480" w:lineRule="auto"/>
        <w:rPr>
          <w:rFonts w:ascii="Times New Roman" w:eastAsia="Times New Roman" w:hAnsi="Times New Roman" w:cs="Times New Roman"/>
          <w:color w:val="444444"/>
        </w:rPr>
      </w:pPr>
      <w:r w:rsidRPr="00A41C59">
        <w:rPr>
          <w:rFonts w:ascii="Times New Roman" w:eastAsia="Times New Roman" w:hAnsi="Times New Roman" w:cs="Times New Roman"/>
          <w:color w:val="444444"/>
        </w:rPr>
        <w:t xml:space="preserve">Sweeney, </w:t>
      </w:r>
      <w:proofErr w:type="spellStart"/>
      <w:r w:rsidRPr="00A41C59">
        <w:rPr>
          <w:rFonts w:ascii="Times New Roman" w:eastAsia="Times New Roman" w:hAnsi="Times New Roman" w:cs="Times New Roman"/>
          <w:color w:val="444444"/>
        </w:rPr>
        <w:t>julianne</w:t>
      </w:r>
      <w:proofErr w:type="spellEnd"/>
      <w:r w:rsidRPr="00A41C59">
        <w:rPr>
          <w:rFonts w:ascii="Times New Roman" w:eastAsia="Times New Roman" w:hAnsi="Times New Roman" w:cs="Times New Roman"/>
          <w:color w:val="444444"/>
        </w:rPr>
        <w:t>. (2017). </w:t>
      </w:r>
      <w:r w:rsidRPr="00A41C59">
        <w:rPr>
          <w:rFonts w:ascii="Times New Roman" w:eastAsia="Times New Roman" w:hAnsi="Times New Roman" w:cs="Times New Roman"/>
          <w:i/>
          <w:iCs/>
          <w:color w:val="444444"/>
        </w:rPr>
        <w:t>Healthcare Informatics</w:t>
      </w:r>
      <w:r w:rsidRPr="00A41C59">
        <w:rPr>
          <w:rFonts w:ascii="Times New Roman" w:eastAsia="Times New Roman" w:hAnsi="Times New Roman" w:cs="Times New Roman"/>
          <w:color w:val="444444"/>
        </w:rPr>
        <w:t>. EBSCO Information Services, Inc. | www.ebsco.com. Retrieved November 30, 2022, from</w:t>
      </w:r>
    </w:p>
    <w:p w14:paraId="0F2DA9FF" w14:textId="77777777" w:rsidR="00A41C59" w:rsidRPr="00A41C59" w:rsidRDefault="00000000" w:rsidP="00A41C59">
      <w:pPr>
        <w:shd w:val="clear" w:color="auto" w:fill="FFFFFF"/>
        <w:spacing w:line="480" w:lineRule="auto"/>
        <w:rPr>
          <w:rFonts w:ascii="Times New Roman" w:eastAsia="Times New Roman" w:hAnsi="Times New Roman" w:cs="Times New Roman"/>
          <w:color w:val="444444"/>
        </w:rPr>
      </w:pPr>
      <w:hyperlink r:id="rId10" w:tgtFrame="_blank" w:history="1">
        <w:r w:rsidR="00A41C59" w:rsidRPr="00A41C59">
          <w:rPr>
            <w:rFonts w:ascii="Times New Roman" w:eastAsia="Times New Roman" w:hAnsi="Times New Roman" w:cs="Times New Roman"/>
            <w:color w:val="0000FF"/>
            <w:u w:val="single"/>
          </w:rPr>
          <w:t>https://www.ebsco.com/products/ebscohost-research-platform</w:t>
        </w:r>
        <w:r w:rsidR="00A41C59" w:rsidRPr="00A41C59">
          <w:rPr>
            <w:rFonts w:ascii="Times New Roman" w:eastAsia="Times New Roman" w:hAnsi="Times New Roman" w:cs="Times New Roman"/>
            <w:color w:val="0000FF"/>
            <w:u w:val="single"/>
            <w:bdr w:val="none" w:sz="0" w:space="0" w:color="auto" w:frame="1"/>
          </w:rPr>
          <w:t>Links to an external site.</w:t>
        </w:r>
      </w:hyperlink>
    </w:p>
    <w:p w14:paraId="65DF5C00" w14:textId="77777777" w:rsidR="00A41C59" w:rsidRPr="00A41C59" w:rsidRDefault="00A41C59" w:rsidP="00A41C59">
      <w:pPr>
        <w:shd w:val="clear" w:color="auto" w:fill="FFFFFF"/>
        <w:spacing w:before="180" w:after="180" w:line="480" w:lineRule="auto"/>
        <w:rPr>
          <w:rFonts w:ascii="Times New Roman" w:eastAsia="Times New Roman" w:hAnsi="Times New Roman" w:cs="Times New Roman"/>
          <w:color w:val="444444"/>
        </w:rPr>
      </w:pPr>
      <w:r w:rsidRPr="00A41C59">
        <w:rPr>
          <w:rFonts w:ascii="Times New Roman" w:eastAsia="Times New Roman" w:hAnsi="Times New Roman" w:cs="Times New Roman"/>
          <w:color w:val="444444"/>
        </w:rPr>
        <w:t> </w:t>
      </w:r>
    </w:p>
    <w:p w14:paraId="44D946F7" w14:textId="77777777" w:rsidR="00A41C59" w:rsidRPr="00A41C59" w:rsidRDefault="00A41C59" w:rsidP="00A41C59">
      <w:pPr>
        <w:shd w:val="clear" w:color="auto" w:fill="FFFFFF"/>
        <w:spacing w:before="180" w:after="180" w:line="480" w:lineRule="auto"/>
        <w:rPr>
          <w:rFonts w:ascii="Times New Roman" w:eastAsia="Times New Roman" w:hAnsi="Times New Roman" w:cs="Times New Roman"/>
          <w:color w:val="444444"/>
        </w:rPr>
      </w:pPr>
      <w:r w:rsidRPr="00A41C59">
        <w:rPr>
          <w:rFonts w:ascii="Times New Roman" w:eastAsia="Times New Roman" w:hAnsi="Times New Roman" w:cs="Times New Roman"/>
          <w:color w:val="444444"/>
        </w:rPr>
        <w:t> </w:t>
      </w:r>
    </w:p>
    <w:p w14:paraId="353983A6" w14:textId="77777777" w:rsidR="00A41C59" w:rsidRPr="00A41C59" w:rsidRDefault="00A41C59" w:rsidP="00A41C59">
      <w:pPr>
        <w:shd w:val="clear" w:color="auto" w:fill="FFFFFF"/>
        <w:spacing w:before="180" w:after="180" w:line="480" w:lineRule="auto"/>
        <w:rPr>
          <w:rFonts w:ascii="Times New Roman" w:eastAsia="Times New Roman" w:hAnsi="Times New Roman" w:cs="Times New Roman"/>
          <w:color w:val="444444"/>
        </w:rPr>
      </w:pPr>
      <w:r w:rsidRPr="00A41C59">
        <w:rPr>
          <w:rFonts w:ascii="Times New Roman" w:eastAsia="Times New Roman" w:hAnsi="Times New Roman" w:cs="Times New Roman"/>
          <w:color w:val="444444"/>
        </w:rPr>
        <w:t>RESPONSE2:</w:t>
      </w:r>
    </w:p>
    <w:p w14:paraId="4CBE42D6" w14:textId="3234F8CC" w:rsidR="00A41C59" w:rsidRPr="00A41C59" w:rsidRDefault="00A41C59" w:rsidP="00A41C59">
      <w:pPr>
        <w:shd w:val="clear" w:color="auto" w:fill="FFFFFF"/>
        <w:spacing w:before="180" w:after="180" w:line="480" w:lineRule="auto"/>
        <w:rPr>
          <w:rFonts w:ascii="Times New Roman" w:eastAsia="Times New Roman" w:hAnsi="Times New Roman" w:cs="Times New Roman"/>
          <w:color w:val="444444"/>
        </w:rPr>
      </w:pPr>
      <w:r w:rsidRPr="00A41C59">
        <w:rPr>
          <w:rFonts w:ascii="Times New Roman" w:eastAsia="Times New Roman" w:hAnsi="Times New Roman" w:cs="Times New Roman"/>
          <w:color w:val="444444"/>
        </w:rPr>
        <w:t>Hi Megan,</w:t>
      </w:r>
    </w:p>
    <w:p w14:paraId="3A16D95E" w14:textId="77777777" w:rsidR="00A41C59" w:rsidRPr="00A41C59" w:rsidRDefault="00A41C59" w:rsidP="00A41C59">
      <w:pPr>
        <w:shd w:val="clear" w:color="auto" w:fill="FFFFFF"/>
        <w:spacing w:before="180" w:after="180" w:line="480" w:lineRule="auto"/>
        <w:rPr>
          <w:rFonts w:ascii="Times New Roman" w:eastAsia="Times New Roman" w:hAnsi="Times New Roman" w:cs="Times New Roman"/>
          <w:color w:val="444444"/>
        </w:rPr>
      </w:pPr>
      <w:r w:rsidRPr="00A41C59">
        <w:rPr>
          <w:rFonts w:ascii="Times New Roman" w:eastAsia="Times New Roman" w:hAnsi="Times New Roman" w:cs="Times New Roman"/>
          <w:color w:val="444444"/>
        </w:rPr>
        <w:t>Thank you for this informative post, Hospital falls can lead to life-threatening complications, so fall prevention strategies are essential in preventing falls in healthcare settings. Hospital-acquired falls are a common condition reported in hospitals and has been estimated that 700,000 to 1 million falls occur in US hospitals each year with associated estimated medical cost of 50 billion US dollars. (Robert et al. 2018) Morse fall scale, the commonly used fall score works based on the scores low, moderate, and high documented on patient electronic health records. Prevention strategies are targeted at those most at risk. The use of semi- and fully automated approaches with expert clinical knowledge over expert or data-driven-only approaches can significantly improve identifying patient, clinical, and organizational risk factors of iatrogenic conditions, such as hospital-acquired falls. Electronic health record data provides opportunities for new approaches to identify risk factors associated with hospital falls. Documented information in EHR will be automatically integrated and embedded into electronic patient records and include new algorithms for decision support systems. (</w:t>
      </w:r>
      <w:proofErr w:type="spellStart"/>
      <w:r w:rsidRPr="00A41C59">
        <w:rPr>
          <w:rFonts w:ascii="Times New Roman" w:eastAsia="Times New Roman" w:hAnsi="Times New Roman" w:cs="Times New Roman"/>
          <w:color w:val="444444"/>
        </w:rPr>
        <w:t>Naglea</w:t>
      </w:r>
      <w:proofErr w:type="spellEnd"/>
      <w:r w:rsidRPr="00A41C59">
        <w:rPr>
          <w:rFonts w:ascii="Times New Roman" w:eastAsia="Times New Roman" w:hAnsi="Times New Roman" w:cs="Times New Roman"/>
          <w:color w:val="444444"/>
        </w:rPr>
        <w:t xml:space="preserve"> et al.)</w:t>
      </w:r>
    </w:p>
    <w:p w14:paraId="199DCBE2" w14:textId="77777777" w:rsidR="00A41C59" w:rsidRPr="00A41C59" w:rsidRDefault="00A41C59" w:rsidP="00A41C59">
      <w:pPr>
        <w:shd w:val="clear" w:color="auto" w:fill="FFFFFF"/>
        <w:spacing w:before="180" w:after="180" w:line="480" w:lineRule="auto"/>
        <w:rPr>
          <w:rFonts w:ascii="Times New Roman" w:eastAsia="Times New Roman" w:hAnsi="Times New Roman" w:cs="Times New Roman"/>
          <w:color w:val="444444"/>
        </w:rPr>
      </w:pPr>
      <w:r w:rsidRPr="00A41C59">
        <w:rPr>
          <w:rFonts w:ascii="Times New Roman" w:eastAsia="Times New Roman" w:hAnsi="Times New Roman" w:cs="Times New Roman"/>
          <w:color w:val="444444"/>
        </w:rPr>
        <w:lastRenderedPageBreak/>
        <w:t> </w:t>
      </w:r>
    </w:p>
    <w:p w14:paraId="55A363AF" w14:textId="77777777" w:rsidR="00A41C59" w:rsidRPr="00A41C59" w:rsidRDefault="00A41C59" w:rsidP="00A41C59">
      <w:pPr>
        <w:shd w:val="clear" w:color="auto" w:fill="FFFFFF"/>
        <w:spacing w:before="180" w:after="180" w:line="480" w:lineRule="auto"/>
        <w:rPr>
          <w:rFonts w:ascii="Times New Roman" w:eastAsia="Times New Roman" w:hAnsi="Times New Roman" w:cs="Times New Roman"/>
          <w:color w:val="444444"/>
        </w:rPr>
      </w:pPr>
      <w:r w:rsidRPr="00A41C59">
        <w:rPr>
          <w:rFonts w:ascii="Times New Roman" w:eastAsia="Times New Roman" w:hAnsi="Times New Roman" w:cs="Times New Roman"/>
          <w:b/>
          <w:bCs/>
          <w:color w:val="444444"/>
        </w:rPr>
        <w:t>References</w:t>
      </w:r>
    </w:p>
    <w:p w14:paraId="78340E75" w14:textId="77777777" w:rsidR="00A41C59" w:rsidRPr="00A41C59" w:rsidRDefault="00A41C59" w:rsidP="00A41C59">
      <w:pPr>
        <w:shd w:val="clear" w:color="auto" w:fill="FFFFFF"/>
        <w:spacing w:before="180" w:after="180" w:line="480" w:lineRule="auto"/>
        <w:rPr>
          <w:rFonts w:ascii="Times New Roman" w:eastAsia="Times New Roman" w:hAnsi="Times New Roman" w:cs="Times New Roman"/>
          <w:color w:val="444444"/>
        </w:rPr>
      </w:pPr>
      <w:r w:rsidRPr="00A41C59">
        <w:rPr>
          <w:rFonts w:ascii="Times New Roman" w:eastAsia="Times New Roman" w:hAnsi="Times New Roman" w:cs="Times New Roman"/>
          <w:color w:val="444444"/>
        </w:rPr>
        <w:t xml:space="preserve">Author links open overlay </w:t>
      </w:r>
      <w:proofErr w:type="spellStart"/>
      <w:r w:rsidRPr="00A41C59">
        <w:rPr>
          <w:rFonts w:ascii="Times New Roman" w:eastAsia="Times New Roman" w:hAnsi="Times New Roman" w:cs="Times New Roman"/>
          <w:color w:val="444444"/>
        </w:rPr>
        <w:t>panelRobert</w:t>
      </w:r>
      <w:proofErr w:type="spellEnd"/>
      <w:r w:rsidRPr="00A41C59">
        <w:rPr>
          <w:rFonts w:ascii="Times New Roman" w:eastAsia="Times New Roman" w:hAnsi="Times New Roman" w:cs="Times New Roman"/>
          <w:color w:val="444444"/>
        </w:rPr>
        <w:t xml:space="preserve"> </w:t>
      </w:r>
      <w:proofErr w:type="spellStart"/>
      <w:r w:rsidRPr="00A41C59">
        <w:rPr>
          <w:rFonts w:ascii="Times New Roman" w:eastAsia="Times New Roman" w:hAnsi="Times New Roman" w:cs="Times New Roman"/>
          <w:color w:val="444444"/>
        </w:rPr>
        <w:t>JamesLuceroaefgPersonEnvelopeDavid</w:t>
      </w:r>
      <w:proofErr w:type="spellEnd"/>
      <w:r w:rsidRPr="00A41C59">
        <w:rPr>
          <w:rFonts w:ascii="Times New Roman" w:eastAsia="Times New Roman" w:hAnsi="Times New Roman" w:cs="Times New Roman"/>
          <w:color w:val="444444"/>
        </w:rPr>
        <w:t xml:space="preserve"> </w:t>
      </w:r>
      <w:proofErr w:type="spellStart"/>
      <w:r w:rsidRPr="00A41C59">
        <w:rPr>
          <w:rFonts w:ascii="Times New Roman" w:eastAsia="Times New Roman" w:hAnsi="Times New Roman" w:cs="Times New Roman"/>
          <w:color w:val="444444"/>
        </w:rPr>
        <w:t>S.LindbergdElizabeth</w:t>
      </w:r>
      <w:proofErr w:type="spellEnd"/>
      <w:r w:rsidRPr="00A41C59">
        <w:rPr>
          <w:rFonts w:ascii="Times New Roman" w:eastAsia="Times New Roman" w:hAnsi="Times New Roman" w:cs="Times New Roman"/>
          <w:color w:val="444444"/>
        </w:rPr>
        <w:t xml:space="preserve"> </w:t>
      </w:r>
      <w:proofErr w:type="spellStart"/>
      <w:r w:rsidRPr="00A41C59">
        <w:rPr>
          <w:rFonts w:ascii="Times New Roman" w:eastAsia="Times New Roman" w:hAnsi="Times New Roman" w:cs="Times New Roman"/>
          <w:color w:val="444444"/>
        </w:rPr>
        <w:t>A.FehlbergiRagnhildur</w:t>
      </w:r>
      <w:proofErr w:type="spellEnd"/>
      <w:r w:rsidRPr="00A41C59">
        <w:rPr>
          <w:rFonts w:ascii="Times New Roman" w:eastAsia="Times New Roman" w:hAnsi="Times New Roman" w:cs="Times New Roman"/>
          <w:color w:val="444444"/>
        </w:rPr>
        <w:t xml:space="preserve"> </w:t>
      </w:r>
      <w:proofErr w:type="spellStart"/>
      <w:r w:rsidRPr="00A41C59">
        <w:rPr>
          <w:rFonts w:ascii="Times New Roman" w:eastAsia="Times New Roman" w:hAnsi="Times New Roman" w:cs="Times New Roman"/>
          <w:color w:val="444444"/>
        </w:rPr>
        <w:t>I.BjarnadottiragYinLijJeannie</w:t>
      </w:r>
      <w:proofErr w:type="spellEnd"/>
      <w:r w:rsidRPr="00A41C59">
        <w:rPr>
          <w:rFonts w:ascii="Times New Roman" w:eastAsia="Times New Roman" w:hAnsi="Times New Roman" w:cs="Times New Roman"/>
          <w:color w:val="444444"/>
        </w:rPr>
        <w:t xml:space="preserve"> </w:t>
      </w:r>
      <w:proofErr w:type="spellStart"/>
      <w:r w:rsidRPr="00A41C59">
        <w:rPr>
          <w:rFonts w:ascii="Times New Roman" w:eastAsia="Times New Roman" w:hAnsi="Times New Roman" w:cs="Times New Roman"/>
          <w:color w:val="444444"/>
        </w:rPr>
        <w:t>P.CimiottijMarshaCranehMattiaProsperibc</w:t>
      </w:r>
      <w:proofErr w:type="spellEnd"/>
      <w:r w:rsidRPr="00A41C59">
        <w:rPr>
          <w:rFonts w:ascii="Times New Roman" w:eastAsia="Times New Roman" w:hAnsi="Times New Roman" w:cs="Times New Roman"/>
          <w:color w:val="444444"/>
        </w:rPr>
        <w:t xml:space="preserve">, </w:t>
      </w:r>
      <w:proofErr w:type="spellStart"/>
      <w:r w:rsidRPr="00A41C59">
        <w:rPr>
          <w:rFonts w:ascii="Times New Roman" w:eastAsia="Times New Roman" w:hAnsi="Times New Roman" w:cs="Times New Roman"/>
          <w:color w:val="444444"/>
        </w:rPr>
        <w:t>JamesLuceroaefgPersonEnvelope</w:t>
      </w:r>
      <w:proofErr w:type="spellEnd"/>
      <w:r w:rsidRPr="00A41C59">
        <w:rPr>
          <w:rFonts w:ascii="Times New Roman" w:eastAsia="Times New Roman" w:hAnsi="Times New Roman" w:cs="Times New Roman"/>
          <w:color w:val="444444"/>
        </w:rPr>
        <w:t xml:space="preserve">, R., a, e, f, g, </w:t>
      </w:r>
      <w:proofErr w:type="spellStart"/>
      <w:r w:rsidRPr="00A41C59">
        <w:rPr>
          <w:rFonts w:ascii="Times New Roman" w:eastAsia="Times New Roman" w:hAnsi="Times New Roman" w:cs="Times New Roman"/>
          <w:color w:val="444444"/>
        </w:rPr>
        <w:t>S.Lindbergd</w:t>
      </w:r>
      <w:proofErr w:type="spellEnd"/>
      <w:r w:rsidRPr="00A41C59">
        <w:rPr>
          <w:rFonts w:ascii="Times New Roman" w:eastAsia="Times New Roman" w:hAnsi="Times New Roman" w:cs="Times New Roman"/>
          <w:color w:val="444444"/>
        </w:rPr>
        <w:t xml:space="preserve">, D., d, </w:t>
      </w:r>
      <w:proofErr w:type="spellStart"/>
      <w:r w:rsidRPr="00A41C59">
        <w:rPr>
          <w:rFonts w:ascii="Times New Roman" w:eastAsia="Times New Roman" w:hAnsi="Times New Roman" w:cs="Times New Roman"/>
          <w:color w:val="444444"/>
        </w:rPr>
        <w:t>A.Fehlbergi</w:t>
      </w:r>
      <w:proofErr w:type="spellEnd"/>
      <w:r w:rsidRPr="00A41C59">
        <w:rPr>
          <w:rFonts w:ascii="Times New Roman" w:eastAsia="Times New Roman" w:hAnsi="Times New Roman" w:cs="Times New Roman"/>
          <w:color w:val="444444"/>
        </w:rPr>
        <w:t xml:space="preserve">, E., </w:t>
      </w:r>
      <w:proofErr w:type="spellStart"/>
      <w:r w:rsidRPr="00A41C59">
        <w:rPr>
          <w:rFonts w:ascii="Times New Roman" w:eastAsia="Times New Roman" w:hAnsi="Times New Roman" w:cs="Times New Roman"/>
          <w:color w:val="444444"/>
        </w:rPr>
        <w:t>i</w:t>
      </w:r>
      <w:proofErr w:type="spellEnd"/>
      <w:r w:rsidRPr="00A41C59">
        <w:rPr>
          <w:rFonts w:ascii="Times New Roman" w:eastAsia="Times New Roman" w:hAnsi="Times New Roman" w:cs="Times New Roman"/>
          <w:color w:val="444444"/>
        </w:rPr>
        <w:t xml:space="preserve">, </w:t>
      </w:r>
      <w:proofErr w:type="spellStart"/>
      <w:r w:rsidRPr="00A41C59">
        <w:rPr>
          <w:rFonts w:ascii="Times New Roman" w:eastAsia="Times New Roman" w:hAnsi="Times New Roman" w:cs="Times New Roman"/>
          <w:color w:val="444444"/>
        </w:rPr>
        <w:t>I.Bjarnadottirag</w:t>
      </w:r>
      <w:proofErr w:type="spellEnd"/>
      <w:r w:rsidRPr="00A41C59">
        <w:rPr>
          <w:rFonts w:ascii="Times New Roman" w:eastAsia="Times New Roman" w:hAnsi="Times New Roman" w:cs="Times New Roman"/>
          <w:color w:val="444444"/>
        </w:rPr>
        <w:t xml:space="preserve">, R., </w:t>
      </w:r>
      <w:proofErr w:type="spellStart"/>
      <w:r w:rsidRPr="00A41C59">
        <w:rPr>
          <w:rFonts w:ascii="Times New Roman" w:eastAsia="Times New Roman" w:hAnsi="Times New Roman" w:cs="Times New Roman"/>
          <w:color w:val="444444"/>
        </w:rPr>
        <w:t>YinLij</w:t>
      </w:r>
      <w:proofErr w:type="spellEnd"/>
      <w:r w:rsidRPr="00A41C59">
        <w:rPr>
          <w:rFonts w:ascii="Times New Roman" w:eastAsia="Times New Roman" w:hAnsi="Times New Roman" w:cs="Times New Roman"/>
          <w:color w:val="444444"/>
        </w:rPr>
        <w:t xml:space="preserve">, j, </w:t>
      </w:r>
      <w:proofErr w:type="spellStart"/>
      <w:r w:rsidRPr="00A41C59">
        <w:rPr>
          <w:rFonts w:ascii="Times New Roman" w:eastAsia="Times New Roman" w:hAnsi="Times New Roman" w:cs="Times New Roman"/>
          <w:color w:val="444444"/>
        </w:rPr>
        <w:t>P.Cimiottij</w:t>
      </w:r>
      <w:proofErr w:type="spellEnd"/>
      <w:r w:rsidRPr="00A41C59">
        <w:rPr>
          <w:rFonts w:ascii="Times New Roman" w:eastAsia="Times New Roman" w:hAnsi="Times New Roman" w:cs="Times New Roman"/>
          <w:color w:val="444444"/>
        </w:rPr>
        <w:t xml:space="preserve">, J., </w:t>
      </w:r>
      <w:proofErr w:type="spellStart"/>
      <w:r w:rsidRPr="00A41C59">
        <w:rPr>
          <w:rFonts w:ascii="Times New Roman" w:eastAsia="Times New Roman" w:hAnsi="Times New Roman" w:cs="Times New Roman"/>
          <w:color w:val="444444"/>
        </w:rPr>
        <w:t>MarshaCraneh</w:t>
      </w:r>
      <w:proofErr w:type="spellEnd"/>
      <w:r w:rsidRPr="00A41C59">
        <w:rPr>
          <w:rFonts w:ascii="Times New Roman" w:eastAsia="Times New Roman" w:hAnsi="Times New Roman" w:cs="Times New Roman"/>
          <w:color w:val="444444"/>
        </w:rPr>
        <w:t xml:space="preserve">, h, </w:t>
      </w:r>
      <w:proofErr w:type="spellStart"/>
      <w:r w:rsidRPr="00A41C59">
        <w:rPr>
          <w:rFonts w:ascii="Times New Roman" w:eastAsia="Times New Roman" w:hAnsi="Times New Roman" w:cs="Times New Roman"/>
          <w:color w:val="444444"/>
        </w:rPr>
        <w:t>MattiaProsperibc</w:t>
      </w:r>
      <w:proofErr w:type="spellEnd"/>
      <w:r w:rsidRPr="00A41C59">
        <w:rPr>
          <w:rFonts w:ascii="Times New Roman" w:eastAsia="Times New Roman" w:hAnsi="Times New Roman" w:cs="Times New Roman"/>
          <w:color w:val="444444"/>
        </w:rPr>
        <w:t xml:space="preserve">, b, c, … </w:t>
      </w:r>
      <w:proofErr w:type="spellStart"/>
      <w:r w:rsidRPr="00A41C59">
        <w:rPr>
          <w:rFonts w:ascii="Times New Roman" w:eastAsia="Times New Roman" w:hAnsi="Times New Roman" w:cs="Times New Roman"/>
          <w:color w:val="444444"/>
        </w:rPr>
        <w:t>AbstractBackground</w:t>
      </w:r>
      <w:proofErr w:type="spellEnd"/>
      <w:r w:rsidRPr="00A41C59">
        <w:rPr>
          <w:rFonts w:ascii="Times New Roman" w:eastAsia="Times New Roman" w:hAnsi="Times New Roman" w:cs="Times New Roman"/>
          <w:color w:val="444444"/>
        </w:rPr>
        <w:t xml:space="preserve"> and </w:t>
      </w:r>
      <w:proofErr w:type="spellStart"/>
      <w:r w:rsidRPr="00A41C59">
        <w:rPr>
          <w:rFonts w:ascii="Times New Roman" w:eastAsia="Times New Roman" w:hAnsi="Times New Roman" w:cs="Times New Roman"/>
          <w:color w:val="444444"/>
        </w:rPr>
        <w:t>purposeElectronic</w:t>
      </w:r>
      <w:proofErr w:type="spellEnd"/>
      <w:r w:rsidRPr="00A41C59">
        <w:rPr>
          <w:rFonts w:ascii="Times New Roman" w:eastAsia="Times New Roman" w:hAnsi="Times New Roman" w:cs="Times New Roman"/>
          <w:color w:val="444444"/>
        </w:rPr>
        <w:t xml:space="preserve"> health record (EHR) data provides opportunities for new approaches to identify risk factors associated with iatrogenic conditions. (2018, November 27). </w:t>
      </w:r>
      <w:r w:rsidRPr="00A41C59">
        <w:rPr>
          <w:rFonts w:ascii="Times New Roman" w:eastAsia="Times New Roman" w:hAnsi="Times New Roman" w:cs="Times New Roman"/>
          <w:i/>
          <w:iCs/>
          <w:color w:val="444444"/>
        </w:rPr>
        <w:t xml:space="preserve">A data-driven and practice-based approach to identify risk factors associated with hospital-acquired falls: Applying manual and semi- and </w:t>
      </w:r>
      <w:proofErr w:type="gramStart"/>
      <w:r w:rsidRPr="00A41C59">
        <w:rPr>
          <w:rFonts w:ascii="Times New Roman" w:eastAsia="Times New Roman" w:hAnsi="Times New Roman" w:cs="Times New Roman"/>
          <w:i/>
          <w:iCs/>
          <w:color w:val="444444"/>
        </w:rPr>
        <w:t>fully-automated</w:t>
      </w:r>
      <w:proofErr w:type="gramEnd"/>
      <w:r w:rsidRPr="00A41C59">
        <w:rPr>
          <w:rFonts w:ascii="Times New Roman" w:eastAsia="Times New Roman" w:hAnsi="Times New Roman" w:cs="Times New Roman"/>
          <w:i/>
          <w:iCs/>
          <w:color w:val="444444"/>
        </w:rPr>
        <w:t xml:space="preserve"> methods</w:t>
      </w:r>
      <w:r w:rsidRPr="00A41C59">
        <w:rPr>
          <w:rFonts w:ascii="Times New Roman" w:eastAsia="Times New Roman" w:hAnsi="Times New Roman" w:cs="Times New Roman"/>
          <w:color w:val="444444"/>
        </w:rPr>
        <w:t>. International Journal of Medical Informatics. Retrieved December 3, 2022, from</w:t>
      </w:r>
    </w:p>
    <w:p w14:paraId="001B8F33" w14:textId="77777777" w:rsidR="00A41C59" w:rsidRPr="00A41C59" w:rsidRDefault="00000000" w:rsidP="00A41C59">
      <w:pPr>
        <w:shd w:val="clear" w:color="auto" w:fill="FFFFFF"/>
        <w:spacing w:line="480" w:lineRule="auto"/>
        <w:rPr>
          <w:rFonts w:ascii="Times New Roman" w:eastAsia="Times New Roman" w:hAnsi="Times New Roman" w:cs="Times New Roman"/>
          <w:color w:val="444444"/>
        </w:rPr>
      </w:pPr>
      <w:hyperlink r:id="rId11" w:tgtFrame="_blank" w:history="1">
        <w:r w:rsidR="00A41C59" w:rsidRPr="00A41C59">
          <w:rPr>
            <w:rFonts w:ascii="Times New Roman" w:eastAsia="Times New Roman" w:hAnsi="Times New Roman" w:cs="Times New Roman"/>
            <w:color w:val="0000FF"/>
            <w:u w:val="single"/>
          </w:rPr>
          <w:t>https://www.sciencedirect.com/science/article/pii/S1386505618308682</w:t>
        </w:r>
        <w:r w:rsidR="00A41C59" w:rsidRPr="00A41C59">
          <w:rPr>
            <w:rFonts w:ascii="Times New Roman" w:eastAsia="Times New Roman" w:hAnsi="Times New Roman" w:cs="Times New Roman"/>
            <w:color w:val="0000FF"/>
            <w:u w:val="single"/>
            <w:bdr w:val="none" w:sz="0" w:space="0" w:color="auto" w:frame="1"/>
          </w:rPr>
          <w:t>Links to an external site.</w:t>
        </w:r>
      </w:hyperlink>
    </w:p>
    <w:p w14:paraId="3C515232" w14:textId="77777777" w:rsidR="00A41C59" w:rsidRPr="00A41C59" w:rsidRDefault="00A41C59" w:rsidP="00A41C59">
      <w:pPr>
        <w:shd w:val="clear" w:color="auto" w:fill="FFFFFF"/>
        <w:spacing w:before="180" w:after="180" w:line="480" w:lineRule="auto"/>
        <w:rPr>
          <w:rFonts w:ascii="Times New Roman" w:eastAsia="Times New Roman" w:hAnsi="Times New Roman" w:cs="Times New Roman"/>
          <w:color w:val="444444"/>
        </w:rPr>
      </w:pPr>
      <w:r w:rsidRPr="00A41C59">
        <w:rPr>
          <w:rFonts w:ascii="Times New Roman" w:eastAsia="Times New Roman" w:hAnsi="Times New Roman" w:cs="Times New Roman"/>
          <w:color w:val="444444"/>
        </w:rPr>
        <w:t> </w:t>
      </w:r>
    </w:p>
    <w:p w14:paraId="16CB2AA0" w14:textId="77777777" w:rsidR="00A41C59" w:rsidRPr="00A41C59" w:rsidRDefault="00A41C59" w:rsidP="00A41C59">
      <w:pPr>
        <w:shd w:val="clear" w:color="auto" w:fill="FFFFFF"/>
        <w:spacing w:before="180" w:after="180" w:line="480" w:lineRule="auto"/>
        <w:rPr>
          <w:rFonts w:ascii="Times New Roman" w:eastAsia="Times New Roman" w:hAnsi="Times New Roman" w:cs="Times New Roman"/>
          <w:color w:val="444444"/>
        </w:rPr>
      </w:pPr>
      <w:proofErr w:type="spellStart"/>
      <w:r w:rsidRPr="00A41C59">
        <w:rPr>
          <w:rFonts w:ascii="Times New Roman" w:eastAsia="Times New Roman" w:hAnsi="Times New Roman" w:cs="Times New Roman"/>
          <w:color w:val="444444"/>
        </w:rPr>
        <w:t>Naglea</w:t>
      </w:r>
      <w:proofErr w:type="spellEnd"/>
      <w:r w:rsidRPr="00A41C59">
        <w:rPr>
          <w:rFonts w:ascii="Times New Roman" w:eastAsia="Times New Roman" w:hAnsi="Times New Roman" w:cs="Times New Roman"/>
          <w:color w:val="444444"/>
        </w:rPr>
        <w:t>, L. M., Bloomberg, L. S., Junger, A., &amp; S, W. S. (n.d.). </w:t>
      </w:r>
      <w:r w:rsidRPr="00A41C59">
        <w:rPr>
          <w:rFonts w:ascii="Times New Roman" w:eastAsia="Times New Roman" w:hAnsi="Times New Roman" w:cs="Times New Roman"/>
          <w:i/>
          <w:iCs/>
          <w:color w:val="444444"/>
        </w:rPr>
        <w:t>Evolving role of the Nursing Informatics Specialist - Serval</w:t>
      </w:r>
      <w:r w:rsidRPr="00A41C59">
        <w:rPr>
          <w:rFonts w:ascii="Times New Roman" w:eastAsia="Times New Roman" w:hAnsi="Times New Roman" w:cs="Times New Roman"/>
          <w:color w:val="444444"/>
        </w:rPr>
        <w:t>. Retrieved December 3, 2022, from</w:t>
      </w:r>
    </w:p>
    <w:p w14:paraId="0B2EF18D" w14:textId="77777777" w:rsidR="00A41C59" w:rsidRPr="00A41C59" w:rsidRDefault="00000000" w:rsidP="00A41C59">
      <w:pPr>
        <w:shd w:val="clear" w:color="auto" w:fill="FFFFFF"/>
        <w:spacing w:line="480" w:lineRule="auto"/>
        <w:rPr>
          <w:rFonts w:ascii="Times New Roman" w:eastAsia="Times New Roman" w:hAnsi="Times New Roman" w:cs="Times New Roman"/>
          <w:color w:val="444444"/>
        </w:rPr>
      </w:pPr>
      <w:hyperlink r:id="rId12" w:tgtFrame="_blank" w:history="1">
        <w:r w:rsidR="00A41C59" w:rsidRPr="00A41C59">
          <w:rPr>
            <w:rFonts w:ascii="Times New Roman" w:eastAsia="Times New Roman" w:hAnsi="Times New Roman" w:cs="Times New Roman"/>
            <w:color w:val="0000FF"/>
            <w:u w:val="single"/>
          </w:rPr>
          <w:t>https://serval.unil.ch/resource/serval:BIB_4A0FEA56B8CB.P001/REF</w:t>
        </w:r>
        <w:r w:rsidR="00A41C59" w:rsidRPr="00A41C59">
          <w:rPr>
            <w:rFonts w:ascii="Times New Roman" w:eastAsia="Times New Roman" w:hAnsi="Times New Roman" w:cs="Times New Roman"/>
            <w:color w:val="0000FF"/>
            <w:u w:val="single"/>
            <w:bdr w:val="none" w:sz="0" w:space="0" w:color="auto" w:frame="1"/>
          </w:rPr>
          <w:t>Links to an external site.</w:t>
        </w:r>
      </w:hyperlink>
    </w:p>
    <w:p w14:paraId="2A4205EA" w14:textId="77777777" w:rsidR="00A41C59" w:rsidRPr="00A41C59" w:rsidRDefault="00A41C59" w:rsidP="00A41C59">
      <w:pPr>
        <w:pStyle w:val="NormalWeb"/>
        <w:shd w:val="clear" w:color="auto" w:fill="FFFFFF"/>
        <w:spacing w:before="180" w:beforeAutospacing="0" w:after="180" w:afterAutospacing="0" w:line="480" w:lineRule="auto"/>
        <w:rPr>
          <w:color w:val="444444"/>
        </w:rPr>
      </w:pPr>
    </w:p>
    <w:p w14:paraId="7A3DE6BB" w14:textId="6E52CB37" w:rsidR="00417AC3" w:rsidRPr="00A41C59" w:rsidRDefault="00417AC3" w:rsidP="00A41C59">
      <w:pPr>
        <w:pStyle w:val="NormalWeb"/>
        <w:shd w:val="clear" w:color="auto" w:fill="FFFFFF"/>
        <w:spacing w:before="180" w:beforeAutospacing="0" w:after="180" w:afterAutospacing="0" w:line="480" w:lineRule="auto"/>
        <w:rPr>
          <w:color w:val="444444"/>
        </w:rPr>
      </w:pPr>
      <w:r w:rsidRPr="00A41C59">
        <w:rPr>
          <w:color w:val="444444"/>
        </w:rPr>
        <w:t> </w:t>
      </w:r>
    </w:p>
    <w:sectPr w:rsidR="00417AC3" w:rsidRPr="00A41C59" w:rsidSect="00461E9F">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A69C3" w14:textId="77777777" w:rsidR="000236EA" w:rsidRDefault="000236EA" w:rsidP="00037ABB">
      <w:r>
        <w:separator/>
      </w:r>
    </w:p>
  </w:endnote>
  <w:endnote w:type="continuationSeparator" w:id="0">
    <w:p w14:paraId="3163F9CE" w14:textId="77777777" w:rsidR="000236EA" w:rsidRDefault="000236EA" w:rsidP="00037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62119171"/>
      <w:docPartObj>
        <w:docPartGallery w:val="Page Numbers (Bottom of Page)"/>
        <w:docPartUnique/>
      </w:docPartObj>
    </w:sdtPr>
    <w:sdtContent>
      <w:p w14:paraId="3F51DEE8" w14:textId="591B929E" w:rsidR="00037ABB" w:rsidRDefault="00037ABB" w:rsidP="00B41B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070B86" w14:textId="77777777" w:rsidR="00037ABB" w:rsidRDefault="00037ABB" w:rsidP="00037A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6286527"/>
      <w:docPartObj>
        <w:docPartGallery w:val="Page Numbers (Bottom of Page)"/>
        <w:docPartUnique/>
      </w:docPartObj>
    </w:sdtPr>
    <w:sdtContent>
      <w:p w14:paraId="680A3DC9" w14:textId="72B28F56" w:rsidR="00037ABB" w:rsidRDefault="00037ABB" w:rsidP="00B41B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9FBC5F" w14:textId="77777777" w:rsidR="00037ABB" w:rsidRDefault="00037ABB" w:rsidP="00037AB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0BEDA" w14:textId="77777777" w:rsidR="000236EA" w:rsidRDefault="000236EA" w:rsidP="00037ABB">
      <w:r>
        <w:separator/>
      </w:r>
    </w:p>
  </w:footnote>
  <w:footnote w:type="continuationSeparator" w:id="0">
    <w:p w14:paraId="1AC24A97" w14:textId="77777777" w:rsidR="000236EA" w:rsidRDefault="000236EA" w:rsidP="00037A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AC3"/>
    <w:rsid w:val="000236EA"/>
    <w:rsid w:val="00037ABB"/>
    <w:rsid w:val="00126922"/>
    <w:rsid w:val="00417AC3"/>
    <w:rsid w:val="00461E9F"/>
    <w:rsid w:val="005861DD"/>
    <w:rsid w:val="006B45EE"/>
    <w:rsid w:val="00715BF7"/>
    <w:rsid w:val="007D6F9B"/>
    <w:rsid w:val="00972879"/>
    <w:rsid w:val="00A41C59"/>
    <w:rsid w:val="00B02C7D"/>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14B5F"/>
  <w14:defaultImageDpi w14:val="32767"/>
  <w15:chartTrackingRefBased/>
  <w15:docId w15:val="{F8FD9B66-7A7C-CD49-B14B-4F68E6889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126922"/>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unhideWhenUsed/>
    <w:rsid w:val="00417AC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17AC3"/>
    <w:rPr>
      <w:b/>
      <w:bCs/>
    </w:rPr>
  </w:style>
  <w:style w:type="character" w:styleId="Emphasis">
    <w:name w:val="Emphasis"/>
    <w:basedOn w:val="DefaultParagraphFont"/>
    <w:uiPriority w:val="20"/>
    <w:qFormat/>
    <w:rsid w:val="00417AC3"/>
    <w:rPr>
      <w:i/>
      <w:iCs/>
    </w:rPr>
  </w:style>
  <w:style w:type="character" w:styleId="Hyperlink">
    <w:name w:val="Hyperlink"/>
    <w:basedOn w:val="DefaultParagraphFont"/>
    <w:uiPriority w:val="99"/>
    <w:semiHidden/>
    <w:unhideWhenUsed/>
    <w:rsid w:val="00417AC3"/>
    <w:rPr>
      <w:color w:val="0000FF"/>
      <w:u w:val="single"/>
    </w:rPr>
  </w:style>
  <w:style w:type="character" w:customStyle="1" w:styleId="screenreader-only">
    <w:name w:val="screenreader-only"/>
    <w:basedOn w:val="DefaultParagraphFont"/>
    <w:rsid w:val="00417AC3"/>
  </w:style>
  <w:style w:type="paragraph" w:styleId="Footer">
    <w:name w:val="footer"/>
    <w:basedOn w:val="Normal"/>
    <w:link w:val="FooterChar"/>
    <w:uiPriority w:val="99"/>
    <w:unhideWhenUsed/>
    <w:rsid w:val="00037ABB"/>
    <w:pPr>
      <w:tabs>
        <w:tab w:val="center" w:pos="4680"/>
        <w:tab w:val="right" w:pos="9360"/>
      </w:tabs>
    </w:pPr>
  </w:style>
  <w:style w:type="character" w:customStyle="1" w:styleId="FooterChar">
    <w:name w:val="Footer Char"/>
    <w:basedOn w:val="DefaultParagraphFont"/>
    <w:link w:val="Footer"/>
    <w:uiPriority w:val="99"/>
    <w:rsid w:val="00037ABB"/>
  </w:style>
  <w:style w:type="character" w:styleId="PageNumber">
    <w:name w:val="page number"/>
    <w:basedOn w:val="DefaultParagraphFont"/>
    <w:uiPriority w:val="99"/>
    <w:semiHidden/>
    <w:unhideWhenUsed/>
    <w:rsid w:val="00037ABB"/>
  </w:style>
  <w:style w:type="character" w:customStyle="1" w:styleId="Heading2Char">
    <w:name w:val="Heading 2 Char"/>
    <w:basedOn w:val="DefaultParagraphFont"/>
    <w:link w:val="Heading2"/>
    <w:uiPriority w:val="9"/>
    <w:rsid w:val="00126922"/>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804054">
      <w:bodyDiv w:val="1"/>
      <w:marLeft w:val="0"/>
      <w:marRight w:val="0"/>
      <w:marTop w:val="0"/>
      <w:marBottom w:val="0"/>
      <w:divBdr>
        <w:top w:val="none" w:sz="0" w:space="0" w:color="auto"/>
        <w:left w:val="none" w:sz="0" w:space="0" w:color="auto"/>
        <w:bottom w:val="none" w:sz="0" w:space="0" w:color="auto"/>
        <w:right w:val="none" w:sz="0" w:space="0" w:color="auto"/>
      </w:divBdr>
    </w:div>
    <w:div w:id="1692948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sco.com/products/ebscohost-research-platform"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ncbi.nlm.nih.gov/pmc/articles/PMC5977673/" TargetMode="External"/><Relationship Id="rId12" Type="http://schemas.openxmlformats.org/officeDocument/2006/relationships/hyperlink" Target="https://serval.unil.ch/resource/serval:BIB_4A0FEA56B8CB.P001/REF"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ubmed.ncbi.nlm.nih.gov/32556857/" TargetMode="External"/><Relationship Id="rId11" Type="http://schemas.openxmlformats.org/officeDocument/2006/relationships/hyperlink" Target="https://www.sciencedirect.com/science/article/pii/S1386505618308682"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ebsco.com/products/ebscohost-research-platform" TargetMode="External"/><Relationship Id="rId4" Type="http://schemas.openxmlformats.org/officeDocument/2006/relationships/footnotes" Target="footnotes.xml"/><Relationship Id="rId9" Type="http://schemas.openxmlformats.org/officeDocument/2006/relationships/hyperlink" Target="https://www.ncbi.nlm.nih.gov/pmc/articles/PMC6486797/"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1407</Words>
  <Characters>8025</Characters>
  <Application>Microsoft Office Word</Application>
  <DocSecurity>0</DocSecurity>
  <Lines>66</Lines>
  <Paragraphs>18</Paragraphs>
  <ScaleCrop>false</ScaleCrop>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6</cp:revision>
  <dcterms:created xsi:type="dcterms:W3CDTF">2023-06-15T16:20:00Z</dcterms:created>
  <dcterms:modified xsi:type="dcterms:W3CDTF">2025-08-07T17:43:00Z</dcterms:modified>
</cp:coreProperties>
</file>