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1001621434"/>
        <w:docPartObj>
          <w:docPartGallery w:val="Cover Pages"/>
          <w:docPartUnique/>
        </w:docPartObj>
      </w:sdtPr>
      <w:sdtEndPr>
        <w:rPr>
          <w:rFonts w:ascii="Lato" w:eastAsia="Times New Roman" w:hAnsi="Lato" w:cs="Times New Roman"/>
          <w:color w:val="2D3B45"/>
        </w:rPr>
      </w:sdtEndPr>
      <w:sdtContent>
        <w:p w14:paraId="35766B2D" w14:textId="3D3E5F61" w:rsidR="005730D3" w:rsidRDefault="005730D3" w:rsidP="001D4D6F">
          <w:pPr>
            <w:pStyle w:val="NoSpacing"/>
            <w:spacing w:before="1540" w:after="240"/>
            <w:jc w:val="center"/>
            <w:rPr>
              <w:color w:val="4472C4" w:themeColor="accent1"/>
            </w:rPr>
          </w:pPr>
        </w:p>
        <w:p w14:paraId="7697883F" w14:textId="15EAC008" w:rsidR="005730D3" w:rsidRDefault="005730D3" w:rsidP="001D4D6F">
          <w:pPr>
            <w:pStyle w:val="NoSpacing"/>
            <w:spacing w:before="480"/>
            <w:jc w:val="center"/>
            <w:rPr>
              <w:color w:val="4472C4" w:themeColor="accent1"/>
            </w:rPr>
          </w:pPr>
        </w:p>
        <w:p w14:paraId="69D5B25E" w14:textId="744FC32C" w:rsidR="005730D3" w:rsidRPr="00F43C5A" w:rsidRDefault="005730D3" w:rsidP="001D4D6F">
          <w:pPr>
            <w:pStyle w:val="NoSpacing"/>
            <w:spacing w:before="1540" w:after="240" w:line="480" w:lineRule="auto"/>
            <w:jc w:val="center"/>
            <w:rPr>
              <w:rFonts w:ascii="Times New Roman" w:hAnsi="Times New Roman" w:cs="Times New Roman"/>
              <w:color w:val="000000" w:themeColor="text1"/>
              <w:sz w:val="48"/>
              <w:szCs w:val="48"/>
            </w:rPr>
          </w:pPr>
          <w:r w:rsidRPr="00F43C5A">
            <w:rPr>
              <w:rFonts w:ascii="Times New Roman" w:hAnsi="Times New Roman" w:cs="Times New Roman"/>
              <w:color w:val="000000" w:themeColor="text1"/>
              <w:sz w:val="48"/>
              <w:szCs w:val="48"/>
            </w:rPr>
            <w:t>Ritu Adhikari</w:t>
          </w:r>
          <w:r w:rsidRPr="00F43C5A">
            <w:rPr>
              <w:rFonts w:ascii="Times New Roman" w:hAnsi="Times New Roman" w:cs="Times New Roman"/>
              <w:color w:val="000000" w:themeColor="text1"/>
              <w:sz w:val="48"/>
              <w:szCs w:val="48"/>
            </w:rPr>
            <w:br/>
            <w:t>Walden University</w:t>
          </w:r>
          <w:r w:rsidRPr="00F43C5A">
            <w:rPr>
              <w:rFonts w:ascii="Times New Roman" w:hAnsi="Times New Roman" w:cs="Times New Roman"/>
              <w:color w:val="000000" w:themeColor="text1"/>
              <w:sz w:val="48"/>
              <w:szCs w:val="48"/>
            </w:rPr>
            <w:br/>
            <w:t xml:space="preserve">Date: </w:t>
          </w:r>
          <w:r>
            <w:rPr>
              <w:rFonts w:ascii="Times New Roman" w:hAnsi="Times New Roman" w:cs="Times New Roman"/>
              <w:color w:val="000000" w:themeColor="text1"/>
              <w:sz w:val="48"/>
              <w:szCs w:val="48"/>
            </w:rPr>
            <w:t>03</w:t>
          </w:r>
          <w:r w:rsidRPr="00F43C5A">
            <w:rPr>
              <w:rFonts w:ascii="Times New Roman" w:hAnsi="Times New Roman" w:cs="Times New Roman"/>
              <w:color w:val="000000" w:themeColor="text1"/>
              <w:sz w:val="48"/>
              <w:szCs w:val="48"/>
            </w:rPr>
            <w:t>/</w:t>
          </w:r>
          <w:r>
            <w:rPr>
              <w:rFonts w:ascii="Times New Roman" w:hAnsi="Times New Roman" w:cs="Times New Roman"/>
              <w:color w:val="000000" w:themeColor="text1"/>
              <w:sz w:val="48"/>
              <w:szCs w:val="48"/>
            </w:rPr>
            <w:t>09</w:t>
          </w:r>
          <w:r w:rsidRPr="00F43C5A">
            <w:rPr>
              <w:rFonts w:ascii="Times New Roman" w:hAnsi="Times New Roman" w:cs="Times New Roman"/>
              <w:color w:val="000000" w:themeColor="text1"/>
              <w:sz w:val="48"/>
              <w:szCs w:val="48"/>
            </w:rPr>
            <w:t>/202</w:t>
          </w:r>
          <w:r>
            <w:rPr>
              <w:rFonts w:ascii="Times New Roman" w:hAnsi="Times New Roman" w:cs="Times New Roman"/>
              <w:color w:val="000000" w:themeColor="text1"/>
              <w:sz w:val="48"/>
              <w:szCs w:val="48"/>
            </w:rPr>
            <w:t>5</w:t>
          </w:r>
        </w:p>
        <w:p w14:paraId="34E97DB8" w14:textId="4628BA95" w:rsidR="005730D3" w:rsidRDefault="00000000" w:rsidP="001D4D6F">
          <w:pPr>
            <w:rPr>
              <w:rFonts w:ascii="Lato" w:eastAsia="Times New Roman" w:hAnsi="Lato" w:cs="Times New Roman"/>
              <w:color w:val="2D3B45"/>
            </w:rPr>
          </w:pPr>
        </w:p>
      </w:sdtContent>
    </w:sdt>
    <w:p w14:paraId="40734B2E" w14:textId="77777777" w:rsidR="00DC08DF" w:rsidRDefault="00DC08DF" w:rsidP="001D4D6F">
      <w:pPr>
        <w:spacing w:before="180" w:after="180"/>
        <w:rPr>
          <w:rFonts w:ascii="Lato" w:eastAsia="Times New Roman" w:hAnsi="Lato" w:cs="Times New Roman"/>
          <w:color w:val="2D3B45"/>
        </w:rPr>
      </w:pPr>
    </w:p>
    <w:p w14:paraId="793CD00D" w14:textId="2D068087" w:rsidR="00DC08DF" w:rsidRDefault="00DC08DF" w:rsidP="001D4D6F">
      <w:pPr>
        <w:spacing w:before="180" w:after="180"/>
        <w:rPr>
          <w:rFonts w:ascii="Lato" w:eastAsia="Times New Roman" w:hAnsi="Lato" w:cs="Times New Roman"/>
          <w:color w:val="2D3B45"/>
        </w:rPr>
      </w:pPr>
    </w:p>
    <w:p w14:paraId="6D7D93FB" w14:textId="05A2F554" w:rsidR="00DC08DF" w:rsidRPr="0072298C" w:rsidRDefault="00DC08DF" w:rsidP="001D4D6F">
      <w:pPr>
        <w:spacing w:before="180" w:after="180"/>
        <w:rPr>
          <w:rFonts w:ascii="Lato" w:eastAsia="Times New Roman" w:hAnsi="Lato" w:cs="Times New Roman"/>
          <w:b/>
          <w:bCs/>
          <w:color w:val="2D3B45"/>
        </w:rPr>
      </w:pPr>
    </w:p>
    <w:p w14:paraId="5886F3C1" w14:textId="77777777" w:rsidR="005730D3" w:rsidRDefault="005730D3" w:rsidP="001D4D6F">
      <w:pPr>
        <w:spacing w:before="180" w:after="180" w:line="480" w:lineRule="auto"/>
        <w:rPr>
          <w:rFonts w:ascii="Times New Roman" w:eastAsia="Times New Roman" w:hAnsi="Times New Roman" w:cs="Times New Roman"/>
          <w:b/>
          <w:bCs/>
          <w:color w:val="2D3B45"/>
        </w:rPr>
      </w:pPr>
    </w:p>
    <w:p w14:paraId="1DB855A6" w14:textId="77777777" w:rsidR="005730D3" w:rsidRDefault="005730D3" w:rsidP="001D4D6F">
      <w:pPr>
        <w:spacing w:before="180" w:after="180" w:line="480" w:lineRule="auto"/>
        <w:rPr>
          <w:rFonts w:ascii="Times New Roman" w:eastAsia="Times New Roman" w:hAnsi="Times New Roman" w:cs="Times New Roman"/>
          <w:b/>
          <w:bCs/>
          <w:color w:val="2D3B45"/>
        </w:rPr>
      </w:pPr>
    </w:p>
    <w:p w14:paraId="67AB19F3" w14:textId="77777777" w:rsidR="005730D3" w:rsidRDefault="005730D3" w:rsidP="001D4D6F">
      <w:pPr>
        <w:spacing w:before="180" w:after="180" w:line="480" w:lineRule="auto"/>
        <w:rPr>
          <w:rFonts w:ascii="Times New Roman" w:eastAsia="Times New Roman" w:hAnsi="Times New Roman" w:cs="Times New Roman"/>
          <w:b/>
          <w:bCs/>
          <w:color w:val="2D3B45"/>
        </w:rPr>
      </w:pPr>
    </w:p>
    <w:p w14:paraId="2CA0A5A1" w14:textId="77777777" w:rsidR="005730D3" w:rsidRDefault="005730D3" w:rsidP="001D4D6F">
      <w:pPr>
        <w:spacing w:before="180" w:after="180" w:line="480" w:lineRule="auto"/>
        <w:rPr>
          <w:rFonts w:ascii="Times New Roman" w:eastAsia="Times New Roman" w:hAnsi="Times New Roman" w:cs="Times New Roman"/>
          <w:b/>
          <w:bCs/>
          <w:color w:val="2D3B45"/>
        </w:rPr>
      </w:pPr>
    </w:p>
    <w:p w14:paraId="3074CB45" w14:textId="77777777" w:rsidR="005730D3" w:rsidRDefault="005730D3" w:rsidP="001D4D6F">
      <w:pPr>
        <w:spacing w:before="180" w:after="180" w:line="480" w:lineRule="auto"/>
        <w:rPr>
          <w:rFonts w:ascii="Times New Roman" w:eastAsia="Times New Roman" w:hAnsi="Times New Roman" w:cs="Times New Roman"/>
          <w:b/>
          <w:bCs/>
          <w:color w:val="2D3B45"/>
        </w:rPr>
      </w:pPr>
    </w:p>
    <w:p w14:paraId="57AA55C8" w14:textId="74063B40" w:rsidR="00DC08DF" w:rsidRPr="001D4D6F" w:rsidRDefault="00D90EE0" w:rsidP="001D4D6F">
      <w:pPr>
        <w:spacing w:before="180" w:after="180" w:line="480" w:lineRule="auto"/>
        <w:jc w:val="both"/>
        <w:rPr>
          <w:rFonts w:ascii="Times New Roman" w:eastAsia="Times New Roman" w:hAnsi="Times New Roman" w:cs="Times New Roman"/>
          <w:b/>
          <w:bCs/>
          <w:color w:val="2D3B45"/>
        </w:rPr>
      </w:pPr>
      <w:r w:rsidRPr="001D4D6F">
        <w:rPr>
          <w:rFonts w:ascii="Times New Roman" w:eastAsia="Times New Roman" w:hAnsi="Times New Roman" w:cs="Times New Roman"/>
          <w:b/>
          <w:bCs/>
          <w:color w:val="2D3B45"/>
        </w:rPr>
        <w:lastRenderedPageBreak/>
        <w:t>Discussion</w:t>
      </w:r>
      <w:r w:rsidR="001D4D6F" w:rsidRPr="001D4D6F">
        <w:rPr>
          <w:rFonts w:ascii="Times New Roman" w:eastAsia="Times New Roman" w:hAnsi="Times New Roman" w:cs="Times New Roman"/>
          <w:b/>
          <w:bCs/>
          <w:color w:val="2D3B45"/>
        </w:rPr>
        <w:t>: Week 6</w:t>
      </w:r>
    </w:p>
    <w:p w14:paraId="4609E544" w14:textId="2E1BEFAD" w:rsidR="001D4D6F" w:rsidRPr="001D4D6F" w:rsidRDefault="004C6DEF" w:rsidP="001D4D6F">
      <w:pPr>
        <w:pStyle w:val="NormalWeb"/>
        <w:spacing w:before="180" w:beforeAutospacing="0" w:after="180" w:afterAutospacing="0" w:line="480" w:lineRule="auto"/>
        <w:jc w:val="both"/>
        <w:rPr>
          <w:color w:val="444444"/>
        </w:rPr>
      </w:pPr>
      <w:r w:rsidRPr="001D4D6F">
        <w:rPr>
          <w:b/>
          <w:bCs/>
          <w:color w:val="2D3B45"/>
        </w:rPr>
        <w:t xml:space="preserve"> </w:t>
      </w:r>
      <w:r w:rsidR="001D4D6F" w:rsidRPr="001D4D6F">
        <w:rPr>
          <w:b/>
          <w:bCs/>
          <w:color w:val="2D3B45"/>
        </w:rPr>
        <w:t>T</w:t>
      </w:r>
      <w:r w:rsidR="001D4D6F" w:rsidRPr="001D4D6F">
        <w:rPr>
          <w:rStyle w:val="Strong"/>
          <w:color w:val="444444"/>
        </w:rPr>
        <w:t>echnology acceptance model:</w:t>
      </w:r>
    </w:p>
    <w:p w14:paraId="04AD3C72"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According to Theory Hub, the Technology acceptance model (TAM) was developed by Fred Davis in 1989. TAM is an information systems theory that models how users come to accept and use a technology. The three stages of this model are </w:t>
      </w:r>
      <w:r w:rsidRPr="001D4D6F">
        <w:rPr>
          <w:rStyle w:val="Strong"/>
          <w:color w:val="444444"/>
        </w:rPr>
        <w:t>external factors </w:t>
      </w:r>
      <w:r w:rsidRPr="001D4D6F">
        <w:rPr>
          <w:color w:val="444444"/>
        </w:rPr>
        <w:t>triggering a </w:t>
      </w:r>
      <w:r w:rsidRPr="001D4D6F">
        <w:rPr>
          <w:rStyle w:val="Strong"/>
          <w:color w:val="444444"/>
        </w:rPr>
        <w:t>cognitive response</w:t>
      </w:r>
      <w:r w:rsidRPr="001D4D6F">
        <w:rPr>
          <w:color w:val="444444"/>
        </w:rPr>
        <w:t> (Perceived ease of use and perceived usefulness), then, in turn, forming an </w:t>
      </w:r>
      <w:r w:rsidRPr="001D4D6F">
        <w:rPr>
          <w:rStyle w:val="Strong"/>
          <w:color w:val="444444"/>
        </w:rPr>
        <w:t>adequate response</w:t>
      </w:r>
      <w:r w:rsidRPr="001D4D6F">
        <w:rPr>
          <w:color w:val="444444"/>
        </w:rPr>
        <w:t> (attitude towards using technology) influencing use behavior. TAM represents the behavior as the outcome of perceived ease of use, perceived usefulness, and behavioral intention.</w:t>
      </w:r>
    </w:p>
    <w:p w14:paraId="04F4939F"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Uses</w:t>
      </w:r>
    </w:p>
    <w:p w14:paraId="35CFE2B3"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This can be used to assess how likely users are to adopt new technologies, it is applied across various industries, including healthcare, education, and business.</w:t>
      </w:r>
    </w:p>
    <w:p w14:paraId="0338BFC1"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Technology Acceptance Model (Pros)</w:t>
      </w:r>
    </w:p>
    <w:p w14:paraId="3320F09B"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When it comes to technology, Users’ knowledge and experience can be diverse, this can vary acceptance levels as well. At present, there is growth in technology, and individuals are forced to use the technology even though their knowledge and experience are not the same, because of this, their acceptance will never be the same, therefore it is important to study users’ acceptance of technology. This model provides insight into why new technology is accepted or not as analyzing user acceptance is a critical area of study.  (Holden et al., 2024) Can be adapted to different contexts with modifications such as TAM2 and UTAUT</w:t>
      </w:r>
    </w:p>
    <w:p w14:paraId="11BB4B92"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Technology Acceptance Model (Cons)</w:t>
      </w:r>
    </w:p>
    <w:p w14:paraId="594EE1AD"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lastRenderedPageBreak/>
        <w:t xml:space="preserve">It focuses on individual perception, not external factors like organizational support, long-term user satisfaction, or continued use, and </w:t>
      </w:r>
      <w:proofErr w:type="gramStart"/>
      <w:r w:rsidRPr="001D4D6F">
        <w:rPr>
          <w:color w:val="444444"/>
        </w:rPr>
        <w:t>It</w:t>
      </w:r>
      <w:proofErr w:type="gramEnd"/>
      <w:r w:rsidRPr="001D4D6F">
        <w:rPr>
          <w:color w:val="444444"/>
        </w:rPr>
        <w:t xml:space="preserve"> may oversimplify technology adoption by focusing on only two main factors.</w:t>
      </w:r>
    </w:p>
    <w:p w14:paraId="4234882F"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 </w:t>
      </w:r>
    </w:p>
    <w:p w14:paraId="745940D9"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Kirkpatrick Model of Training Evaluation:</w:t>
      </w:r>
    </w:p>
    <w:p w14:paraId="1F19B381"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This Model of Evaluation was developed by Donald Kirkpatrick in 1959 (Peck, 2023) The Kirkpatrick Model of Evaluation is a popular approach for evaluating training programs. Along with focusing on training programs, this model encompasses any type of program evaluation. The model is used to evaluate the effectiveness of the training, assessing the impact of training on healthcare professionals and their ability to use IT systems in healthcare. it consists of four levels:</w:t>
      </w:r>
      <w:r w:rsidRPr="001D4D6F">
        <w:rPr>
          <w:rStyle w:val="Strong"/>
          <w:color w:val="444444"/>
        </w:rPr>
        <w:t> </w:t>
      </w:r>
      <w:r w:rsidRPr="001D4D6F">
        <w:rPr>
          <w:color w:val="444444"/>
        </w:rPr>
        <w:t>Reaction, Learning, behavior, and Result</w:t>
      </w:r>
      <w:r w:rsidRPr="001D4D6F">
        <w:rPr>
          <w:rStyle w:val="Strong"/>
          <w:color w:val="444444"/>
        </w:rPr>
        <w:t>. </w:t>
      </w:r>
      <w:r w:rsidRPr="001D4D6F">
        <w:rPr>
          <w:color w:val="444444"/>
        </w:rPr>
        <w:t>(Peck, 2023)</w:t>
      </w:r>
    </w:p>
    <w:p w14:paraId="38081A48"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Uses</w:t>
      </w:r>
    </w:p>
    <w:p w14:paraId="29E4FB66"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This model has been used to understand people, what employees want, what the obstacles are that are holding them from performing as well as they could, and what their anxieties and concerns are. This is widely used in healthcare training programs, mainly for evaluating the adoption and proficiency of clinical or healthcare professionals using new systems.</w:t>
      </w:r>
    </w:p>
    <w:p w14:paraId="508D3738"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Pros:</w:t>
      </w:r>
    </w:p>
    <w:p w14:paraId="548C3DE7"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There is a comprehensive, step-by-step approach to evaluation that assists organizations in measuring both short-term and long-term impacts of training. It Can be applied to various industries and training contexts.</w:t>
      </w:r>
    </w:p>
    <w:p w14:paraId="232FA99A"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Cons:</w:t>
      </w:r>
    </w:p>
    <w:p w14:paraId="768A34E3"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lastRenderedPageBreak/>
        <w:t>Requires significant time and resources to implement all four levels, making it difficult to measure higher levels (behavior and results) effectively. It Focuses primarily on training programs, limiting its application to broader organizational change.</w:t>
      </w:r>
    </w:p>
    <w:p w14:paraId="2F1BCE4B"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w:t>
      </w:r>
    </w:p>
    <w:p w14:paraId="58C5E764"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Comparison:</w:t>
      </w:r>
    </w:p>
    <w:p w14:paraId="3B4AC07E"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xml:space="preserve">Both Models are evaluation frameworks, but they have different purposes. TAM focuses on technology adoption, </w:t>
      </w:r>
      <w:proofErr w:type="gramStart"/>
      <w:r w:rsidRPr="001D4D6F">
        <w:rPr>
          <w:color w:val="444444"/>
        </w:rPr>
        <w:t>it</w:t>
      </w:r>
      <w:proofErr w:type="gramEnd"/>
      <w:r w:rsidRPr="001D4D6F">
        <w:rPr>
          <w:color w:val="444444"/>
        </w:rPr>
        <w:t xml:space="preserve"> asses how users perceive and accept new systems, while </w:t>
      </w:r>
      <w:r w:rsidRPr="001D4D6F">
        <w:rPr>
          <w:rStyle w:val="Strong"/>
          <w:color w:val="444444"/>
        </w:rPr>
        <w:t>t</w:t>
      </w:r>
      <w:r w:rsidRPr="001D4D6F">
        <w:rPr>
          <w:color w:val="444444"/>
        </w:rPr>
        <w:t>he Kirkpatrick Model evaluates training effectiveness, measuring learning outcomes and behavioral changes.</w:t>
      </w:r>
    </w:p>
    <w:p w14:paraId="3DC78175"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There is a difference in scope in both models, TAM</w:t>
      </w:r>
      <w:r w:rsidRPr="001D4D6F">
        <w:rPr>
          <w:rStyle w:val="Strong"/>
          <w:color w:val="444444"/>
        </w:rPr>
        <w:t> </w:t>
      </w:r>
      <w:r w:rsidRPr="001D4D6F">
        <w:rPr>
          <w:color w:val="444444"/>
        </w:rPr>
        <w:t>is predictive, helping organizations anticipate user acceptance before implementation, whereas the Kirkpatrick Model is retrospective, analyzing the impact of training after it has been conducted. Additionally, TAM primarily considers</w:t>
      </w:r>
      <w:r w:rsidRPr="001D4D6F">
        <w:rPr>
          <w:rStyle w:val="Strong"/>
          <w:color w:val="444444"/>
        </w:rPr>
        <w:t> </w:t>
      </w:r>
      <w:r w:rsidRPr="001D4D6F">
        <w:rPr>
          <w:color w:val="444444"/>
        </w:rPr>
        <w:t>individual perceptions,</w:t>
      </w:r>
      <w:r w:rsidRPr="001D4D6F">
        <w:rPr>
          <w:rStyle w:val="Strong"/>
          <w:color w:val="444444"/>
        </w:rPr>
        <w:t> </w:t>
      </w:r>
      <w:r w:rsidRPr="001D4D6F">
        <w:rPr>
          <w:color w:val="444444"/>
        </w:rPr>
        <w:t>while the Kirkpatrick Model assesses organizational and behavioral outcomes.</w:t>
      </w:r>
    </w:p>
    <w:p w14:paraId="29BE3D9F"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w:t>
      </w:r>
    </w:p>
    <w:p w14:paraId="024EC79F"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Strong"/>
          <w:color w:val="444444"/>
        </w:rPr>
        <w:t>References:</w:t>
      </w:r>
    </w:p>
    <w:p w14:paraId="234CBD7C"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xml:space="preserve">Holden, R. J., Davis, F. D., Ajzen, I., </w:t>
      </w:r>
      <w:proofErr w:type="spellStart"/>
      <w:r w:rsidRPr="001D4D6F">
        <w:rPr>
          <w:color w:val="444444"/>
        </w:rPr>
        <w:t>Legris</w:t>
      </w:r>
      <w:proofErr w:type="spellEnd"/>
      <w:r w:rsidRPr="001D4D6F">
        <w:rPr>
          <w:color w:val="444444"/>
        </w:rPr>
        <w:t xml:space="preserve">, P., </w:t>
      </w:r>
      <w:proofErr w:type="spellStart"/>
      <w:r w:rsidRPr="001D4D6F">
        <w:rPr>
          <w:color w:val="444444"/>
        </w:rPr>
        <w:t>Shachak</w:t>
      </w:r>
      <w:proofErr w:type="spellEnd"/>
      <w:r w:rsidRPr="001D4D6F">
        <w:rPr>
          <w:color w:val="444444"/>
        </w:rPr>
        <w:t xml:space="preserve">, A., Lu, Y. C., Ward, R., Scott, R. E., </w:t>
      </w:r>
      <w:proofErr w:type="spellStart"/>
      <w:r w:rsidRPr="001D4D6F">
        <w:rPr>
          <w:color w:val="444444"/>
        </w:rPr>
        <w:t>Rahimpour</w:t>
      </w:r>
      <w:proofErr w:type="spellEnd"/>
      <w:r w:rsidRPr="001D4D6F">
        <w:rPr>
          <w:color w:val="444444"/>
        </w:rPr>
        <w:t xml:space="preserve">, M., </w:t>
      </w:r>
      <w:proofErr w:type="spellStart"/>
      <w:r w:rsidRPr="001D4D6F">
        <w:rPr>
          <w:color w:val="444444"/>
        </w:rPr>
        <w:t>Ammenwerth</w:t>
      </w:r>
      <w:proofErr w:type="spellEnd"/>
      <w:r w:rsidRPr="001D4D6F">
        <w:rPr>
          <w:color w:val="444444"/>
        </w:rPr>
        <w:t>, E., … Hwang, H. G. (2024, July 20). </w:t>
      </w:r>
      <w:r w:rsidRPr="001D4D6F">
        <w:rPr>
          <w:rStyle w:val="Emphasis"/>
          <w:color w:val="444444"/>
        </w:rPr>
        <w:t>Health Information Systems with Technology Acceptance Model Approach: A systematic review</w:t>
      </w:r>
      <w:r w:rsidRPr="001D4D6F">
        <w:rPr>
          <w:color w:val="444444"/>
        </w:rPr>
        <w:t>. International Journal of Medical Informatics.</w:t>
      </w:r>
    </w:p>
    <w:p w14:paraId="520E03A8" w14:textId="77777777" w:rsidR="001D4D6F" w:rsidRPr="001D4D6F" w:rsidRDefault="00000000" w:rsidP="001D4D6F">
      <w:pPr>
        <w:pStyle w:val="NormalWeb"/>
        <w:spacing w:before="0" w:beforeAutospacing="0" w:after="0" w:afterAutospacing="0" w:line="480" w:lineRule="auto"/>
        <w:jc w:val="both"/>
        <w:rPr>
          <w:color w:val="444444"/>
        </w:rPr>
      </w:pPr>
      <w:hyperlink r:id="rId7" w:tgtFrame="_blank" w:history="1">
        <w:r w:rsidR="001D4D6F" w:rsidRPr="001D4D6F">
          <w:rPr>
            <w:rStyle w:val="Hyperlink"/>
          </w:rPr>
          <w:t>https://www.sciencedirect.com/science/article/abs/pii/S1386505624002193</w:t>
        </w:r>
        <w:r w:rsidR="001D4D6F" w:rsidRPr="001D4D6F">
          <w:rPr>
            <w:rStyle w:val="screenreader-only"/>
            <w:color w:val="0000FF"/>
            <w:u w:val="single"/>
            <w:bdr w:val="none" w:sz="0" w:space="0" w:color="auto" w:frame="1"/>
          </w:rPr>
          <w:t>Links to an external site.</w:t>
        </w:r>
      </w:hyperlink>
    </w:p>
    <w:p w14:paraId="7EAF2B0E"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lastRenderedPageBreak/>
        <w:t> </w:t>
      </w:r>
    </w:p>
    <w:p w14:paraId="2113AEED"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Peck, D. (2023, May 5). </w:t>
      </w:r>
      <w:r w:rsidRPr="001D4D6F">
        <w:rPr>
          <w:rStyle w:val="Emphasis"/>
          <w:color w:val="444444"/>
        </w:rPr>
        <w:t>The Kirkpatrick Model of Training Evaluation (with examples): Devlin Peck</w:t>
      </w:r>
      <w:r w:rsidRPr="001D4D6F">
        <w:rPr>
          <w:color w:val="444444"/>
        </w:rPr>
        <w:t>. RSS.</w:t>
      </w:r>
    </w:p>
    <w:p w14:paraId="0B2A70E0" w14:textId="77777777" w:rsidR="001D4D6F" w:rsidRPr="001D4D6F" w:rsidRDefault="00000000" w:rsidP="001D4D6F">
      <w:pPr>
        <w:pStyle w:val="NormalWeb"/>
        <w:spacing w:before="0" w:beforeAutospacing="0" w:after="0" w:afterAutospacing="0" w:line="480" w:lineRule="auto"/>
        <w:jc w:val="both"/>
        <w:rPr>
          <w:color w:val="444444"/>
        </w:rPr>
      </w:pPr>
      <w:hyperlink r:id="rId8" w:tgtFrame="_blank" w:history="1">
        <w:r w:rsidR="001D4D6F" w:rsidRPr="001D4D6F">
          <w:rPr>
            <w:rStyle w:val="Hyperlink"/>
          </w:rPr>
          <w:t>https://www.devlinpeck.com/content/kirkpatrick-model-evaluation</w:t>
        </w:r>
        <w:r w:rsidR="001D4D6F" w:rsidRPr="001D4D6F">
          <w:rPr>
            <w:rStyle w:val="screenreader-only"/>
            <w:color w:val="0000FF"/>
            <w:u w:val="single"/>
            <w:bdr w:val="none" w:sz="0" w:space="0" w:color="auto" w:frame="1"/>
          </w:rPr>
          <w:t>Links to an external site.</w:t>
        </w:r>
      </w:hyperlink>
    </w:p>
    <w:p w14:paraId="7638EC62"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w:t>
      </w:r>
    </w:p>
    <w:p w14:paraId="00D14F7C" w14:textId="77777777" w:rsidR="001D4D6F" w:rsidRPr="001D4D6F" w:rsidRDefault="001D4D6F" w:rsidP="001D4D6F">
      <w:pPr>
        <w:pStyle w:val="NormalWeb"/>
        <w:spacing w:before="180" w:beforeAutospacing="0" w:after="180" w:afterAutospacing="0" w:line="480" w:lineRule="auto"/>
        <w:jc w:val="both"/>
        <w:rPr>
          <w:color w:val="444444"/>
        </w:rPr>
      </w:pPr>
      <w:r w:rsidRPr="001D4D6F">
        <w:rPr>
          <w:rStyle w:val="Emphasis"/>
          <w:color w:val="444444"/>
        </w:rPr>
        <w:t xml:space="preserve">Technology acceptance model - </w:t>
      </w:r>
      <w:proofErr w:type="spellStart"/>
      <w:r w:rsidRPr="001D4D6F">
        <w:rPr>
          <w:rStyle w:val="Emphasis"/>
          <w:color w:val="444444"/>
        </w:rPr>
        <w:t>theoryhub</w:t>
      </w:r>
      <w:proofErr w:type="spellEnd"/>
      <w:r w:rsidRPr="001D4D6F">
        <w:rPr>
          <w:rStyle w:val="Emphasis"/>
          <w:color w:val="444444"/>
        </w:rPr>
        <w:t xml:space="preserve"> - academic theories reviews for research and T&amp;L</w:t>
      </w:r>
      <w:r w:rsidRPr="001D4D6F">
        <w:rPr>
          <w:color w:val="444444"/>
        </w:rPr>
        <w:t xml:space="preserve">. </w:t>
      </w:r>
      <w:proofErr w:type="spellStart"/>
      <w:r w:rsidRPr="001D4D6F">
        <w:rPr>
          <w:color w:val="444444"/>
        </w:rPr>
        <w:t>TheoryHub</w:t>
      </w:r>
      <w:proofErr w:type="spellEnd"/>
      <w:r w:rsidRPr="001D4D6F">
        <w:rPr>
          <w:color w:val="444444"/>
        </w:rPr>
        <w:t xml:space="preserve"> - Reviews of academic theories. (2024a, December 2).</w:t>
      </w:r>
    </w:p>
    <w:p w14:paraId="78E30077" w14:textId="77777777" w:rsidR="001D4D6F" w:rsidRPr="001D4D6F" w:rsidRDefault="00000000" w:rsidP="001D4D6F">
      <w:pPr>
        <w:pStyle w:val="NormalWeb"/>
        <w:spacing w:before="0" w:beforeAutospacing="0" w:after="0" w:afterAutospacing="0" w:line="480" w:lineRule="auto"/>
        <w:jc w:val="both"/>
        <w:rPr>
          <w:color w:val="444444"/>
        </w:rPr>
      </w:pPr>
      <w:hyperlink r:id="rId9" w:tgtFrame="_blank" w:history="1">
        <w:r w:rsidR="001D4D6F" w:rsidRPr="001D4D6F">
          <w:rPr>
            <w:rStyle w:val="Hyperlink"/>
          </w:rPr>
          <w:t>https://open.ncl.ac.uk/theories/1/technology-acceptance-model/</w:t>
        </w:r>
        <w:r w:rsidR="001D4D6F" w:rsidRPr="001D4D6F">
          <w:rPr>
            <w:rStyle w:val="screenreader-only"/>
            <w:color w:val="0000FF"/>
            <w:u w:val="single"/>
            <w:bdr w:val="none" w:sz="0" w:space="0" w:color="auto" w:frame="1"/>
          </w:rPr>
          <w:t>Links to an external site.</w:t>
        </w:r>
      </w:hyperlink>
    </w:p>
    <w:p w14:paraId="55B7B8CD" w14:textId="77777777" w:rsidR="001D4D6F" w:rsidRDefault="001D4D6F" w:rsidP="001D4D6F">
      <w:pPr>
        <w:pStyle w:val="NormalWeb"/>
        <w:spacing w:before="180" w:beforeAutospacing="0" w:after="180" w:afterAutospacing="0" w:line="480" w:lineRule="auto"/>
        <w:jc w:val="both"/>
        <w:rPr>
          <w:rFonts w:eastAsiaTheme="minorHAnsi"/>
          <w:color w:val="444444"/>
        </w:rPr>
      </w:pPr>
    </w:p>
    <w:p w14:paraId="6D70B8E1" w14:textId="187182E8" w:rsidR="001D4D6F" w:rsidRDefault="001D4D6F" w:rsidP="001D4D6F">
      <w:pPr>
        <w:pStyle w:val="NormalWeb"/>
        <w:spacing w:before="180" w:beforeAutospacing="0" w:after="180" w:afterAutospacing="0" w:line="480" w:lineRule="auto"/>
        <w:jc w:val="both"/>
        <w:rPr>
          <w:color w:val="444444"/>
        </w:rPr>
      </w:pPr>
      <w:r>
        <w:rPr>
          <w:color w:val="444444"/>
        </w:rPr>
        <w:t>Response1:</w:t>
      </w:r>
    </w:p>
    <w:p w14:paraId="198EB730" w14:textId="3D25C7DA"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Hello April,</w:t>
      </w:r>
    </w:p>
    <w:p w14:paraId="1316714D"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That’s a great summary of the Technology Acceptance Model (TAM).  You’ve discussed the core concepts of the roles of </w:t>
      </w:r>
      <w:r w:rsidRPr="001D4D6F">
        <w:rPr>
          <w:rStyle w:val="Emphasis"/>
          <w:color w:val="444444"/>
        </w:rPr>
        <w:t>Perceived Usefulness </w:t>
      </w:r>
      <w:r w:rsidRPr="001D4D6F">
        <w:rPr>
          <w:color w:val="444444"/>
        </w:rPr>
        <w:t>and </w:t>
      </w:r>
      <w:r w:rsidRPr="001D4D6F">
        <w:rPr>
          <w:rStyle w:val="Emphasis"/>
          <w:color w:val="444444"/>
        </w:rPr>
        <w:t>Perceived Ease of Use </w:t>
      </w:r>
      <w:r w:rsidRPr="001D4D6F">
        <w:rPr>
          <w:color w:val="444444"/>
        </w:rPr>
        <w:t>in shaping user attitudes and behaviors.</w:t>
      </w:r>
    </w:p>
    <w:p w14:paraId="5F0547AD"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xml:space="preserve">I also identify the Technology acceptance model as a strong foundation for my evaluation plan. TAM offers insight into user perceptions, helping assess whether the system will likely be adopted based on perceived usefulness and ease of use. I included BCMA (Barcode Medication Administration) as a technology for my plan and in healthcare, where systems like BCMA significantly affect daily workflows, these perceptions are vital. </w:t>
      </w:r>
      <w:proofErr w:type="spellStart"/>
      <w:r w:rsidRPr="001D4D6F">
        <w:rPr>
          <w:color w:val="444444"/>
        </w:rPr>
        <w:t>AlQudah</w:t>
      </w:r>
      <w:proofErr w:type="spellEnd"/>
      <w:r w:rsidRPr="001D4D6F">
        <w:rPr>
          <w:color w:val="444444"/>
        </w:rPr>
        <w:t xml:space="preserve"> et al. (2021) emphasize </w:t>
      </w:r>
      <w:r w:rsidRPr="001D4D6F">
        <w:rPr>
          <w:color w:val="444444"/>
        </w:rPr>
        <w:lastRenderedPageBreak/>
        <w:t>that user attitudes toward technology evolve and are shaped by shifting social and cultural factors. Thus, continued support and training play a vital role in long-term acceptance.</w:t>
      </w:r>
    </w:p>
    <w:p w14:paraId="689B943B"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 </w:t>
      </w:r>
    </w:p>
    <w:p w14:paraId="33929A37" w14:textId="77777777" w:rsidR="001D4D6F" w:rsidRPr="001D4D6F" w:rsidRDefault="001D4D6F" w:rsidP="001D4D6F">
      <w:pPr>
        <w:pStyle w:val="NormalWeb"/>
        <w:spacing w:before="180" w:beforeAutospacing="0" w:after="180" w:afterAutospacing="0" w:line="480" w:lineRule="auto"/>
        <w:jc w:val="both"/>
        <w:rPr>
          <w:color w:val="444444"/>
        </w:rPr>
      </w:pPr>
      <w:r w:rsidRPr="001D4D6F">
        <w:rPr>
          <w:color w:val="444444"/>
        </w:rPr>
        <w:t>References:</w:t>
      </w:r>
    </w:p>
    <w:p w14:paraId="1A32F059" w14:textId="77777777" w:rsidR="001D4D6F" w:rsidRPr="001D4D6F" w:rsidRDefault="001D4D6F" w:rsidP="001D4D6F">
      <w:pPr>
        <w:pStyle w:val="NormalWeb"/>
        <w:spacing w:before="180" w:beforeAutospacing="0" w:after="180" w:afterAutospacing="0" w:line="480" w:lineRule="auto"/>
        <w:jc w:val="both"/>
        <w:rPr>
          <w:color w:val="444444"/>
        </w:rPr>
      </w:pPr>
      <w:proofErr w:type="spellStart"/>
      <w:r w:rsidRPr="001D4D6F">
        <w:rPr>
          <w:color w:val="444444"/>
        </w:rPr>
        <w:t>Alqudah</w:t>
      </w:r>
      <w:proofErr w:type="spellEnd"/>
      <w:r w:rsidRPr="001D4D6F">
        <w:rPr>
          <w:color w:val="444444"/>
        </w:rPr>
        <w:t xml:space="preserve">, A., Emran, M. A., &amp; </w:t>
      </w:r>
      <w:proofErr w:type="spellStart"/>
      <w:r w:rsidRPr="001D4D6F">
        <w:rPr>
          <w:color w:val="444444"/>
        </w:rPr>
        <w:t>Shaalan</w:t>
      </w:r>
      <w:proofErr w:type="spellEnd"/>
      <w:r w:rsidRPr="001D4D6F">
        <w:rPr>
          <w:color w:val="444444"/>
        </w:rPr>
        <w:t>, K. (2021, November). (PDF) technology acceptance in Healthcare: A systematic review.</w:t>
      </w:r>
    </w:p>
    <w:p w14:paraId="2F3B3AEF" w14:textId="77777777" w:rsidR="001D4D6F" w:rsidRPr="001D4D6F" w:rsidRDefault="00000000" w:rsidP="001D4D6F">
      <w:pPr>
        <w:pStyle w:val="NormalWeb"/>
        <w:spacing w:before="0" w:beforeAutospacing="0" w:after="0" w:afterAutospacing="0" w:line="480" w:lineRule="auto"/>
        <w:jc w:val="both"/>
        <w:rPr>
          <w:color w:val="444444"/>
        </w:rPr>
      </w:pPr>
      <w:hyperlink r:id="rId10" w:tgtFrame="_blank" w:history="1">
        <w:r w:rsidR="001D4D6F" w:rsidRPr="001D4D6F">
          <w:rPr>
            <w:rStyle w:val="Hyperlink"/>
          </w:rPr>
          <w:t>https://www.researchgate.net/publication/356101937_Technology_Acceptance_in_Healthcare_A_Systematic_Review</w:t>
        </w:r>
        <w:r w:rsidR="001D4D6F" w:rsidRPr="001D4D6F">
          <w:rPr>
            <w:rStyle w:val="screenreader-only"/>
            <w:color w:val="0000FF"/>
            <w:u w:val="single"/>
            <w:bdr w:val="none" w:sz="0" w:space="0" w:color="auto" w:frame="1"/>
          </w:rPr>
          <w:t>Links to an external site.</w:t>
        </w:r>
      </w:hyperlink>
    </w:p>
    <w:p w14:paraId="0E50A9EF" w14:textId="7DF8B322" w:rsidR="001D4D6F" w:rsidRDefault="001D4D6F" w:rsidP="001D4D6F">
      <w:pPr>
        <w:pStyle w:val="NormalWeb"/>
        <w:spacing w:before="180" w:beforeAutospacing="0" w:after="180" w:afterAutospacing="0" w:line="480" w:lineRule="auto"/>
        <w:jc w:val="both"/>
        <w:rPr>
          <w:color w:val="444444"/>
        </w:rPr>
      </w:pPr>
      <w:r w:rsidRPr="001D4D6F">
        <w:rPr>
          <w:color w:val="444444"/>
        </w:rPr>
        <w:t> </w:t>
      </w:r>
    </w:p>
    <w:p w14:paraId="48FD1B0F" w14:textId="368003C5" w:rsidR="00E30E22" w:rsidRDefault="00E30E22" w:rsidP="00E30E22">
      <w:pPr>
        <w:pStyle w:val="NormalWeb"/>
        <w:spacing w:before="180" w:beforeAutospacing="0" w:after="180" w:afterAutospacing="0" w:line="480" w:lineRule="auto"/>
        <w:jc w:val="both"/>
        <w:rPr>
          <w:color w:val="444444"/>
        </w:rPr>
      </w:pPr>
      <w:r>
        <w:rPr>
          <w:color w:val="444444"/>
        </w:rPr>
        <w:t>Response:2</w:t>
      </w:r>
    </w:p>
    <w:p w14:paraId="186B8775" w14:textId="77777777" w:rsidR="00E30E22" w:rsidRDefault="00E30E22" w:rsidP="00E30E22">
      <w:pPr>
        <w:pStyle w:val="NormalWeb"/>
        <w:spacing w:before="180" w:beforeAutospacing="0" w:after="180" w:afterAutospacing="0" w:line="480" w:lineRule="auto"/>
        <w:jc w:val="both"/>
        <w:rPr>
          <w:rFonts w:ascii="Lato" w:hAnsi="Lato"/>
          <w:color w:val="444444"/>
        </w:rPr>
      </w:pPr>
      <w:r>
        <w:rPr>
          <w:rFonts w:ascii="Lato" w:hAnsi="Lato"/>
          <w:color w:val="444444"/>
        </w:rPr>
        <w:t>Hello Matthew,</w:t>
      </w:r>
    </w:p>
    <w:p w14:paraId="703852E4" w14:textId="77777777" w:rsidR="00E30E22" w:rsidRDefault="00E30E22" w:rsidP="00E30E22">
      <w:pPr>
        <w:pStyle w:val="NormalWeb"/>
        <w:spacing w:before="180" w:beforeAutospacing="0" w:after="180" w:afterAutospacing="0" w:line="480" w:lineRule="auto"/>
        <w:jc w:val="both"/>
        <w:rPr>
          <w:rFonts w:ascii="Lato" w:hAnsi="Lato"/>
          <w:color w:val="444444"/>
        </w:rPr>
      </w:pPr>
      <w:r>
        <w:rPr>
          <w:rFonts w:ascii="Lato" w:hAnsi="Lato"/>
          <w:color w:val="444444"/>
        </w:rPr>
        <w:t>You clearly explain the core components of the Triangle Model, another health information technology evaluation framework that focuses on how technology influences the quality, safety, and efficiency of healthcare delivery. It considers the interactions among four core components: technology, providers, organizations, and patients. Additionally, it examines the interrelationships between technology and providers, technology and organizations, and organizations and providers to determine their collective impact on outcomes (</w:t>
      </w:r>
      <w:proofErr w:type="spellStart"/>
      <w:r>
        <w:rPr>
          <w:rFonts w:ascii="Lato" w:hAnsi="Lato"/>
          <w:color w:val="444444"/>
        </w:rPr>
        <w:t>Ancker</w:t>
      </w:r>
      <w:proofErr w:type="spellEnd"/>
      <w:r>
        <w:rPr>
          <w:rFonts w:ascii="Lato" w:hAnsi="Lato"/>
          <w:color w:val="444444"/>
        </w:rPr>
        <w:t xml:space="preserve"> et al., 2012). A significant strength of this model is its comprehensive nature it allows for an in-depth, multidimensional evaluation of a technology's impact. However, this complexity can also be a drawback, especially in cases </w:t>
      </w:r>
      <w:r>
        <w:rPr>
          <w:rFonts w:ascii="Lato" w:hAnsi="Lato"/>
          <w:color w:val="444444"/>
        </w:rPr>
        <w:lastRenderedPageBreak/>
        <w:t>where the focus is limited to specific variables or when resources to conduct a full-scale analysis are constrained.</w:t>
      </w:r>
    </w:p>
    <w:p w14:paraId="3BD0E84B" w14:textId="77777777" w:rsidR="00E30E22" w:rsidRDefault="00E30E22" w:rsidP="00E30E22">
      <w:pPr>
        <w:pStyle w:val="NormalWeb"/>
        <w:spacing w:before="180" w:beforeAutospacing="0" w:after="180" w:afterAutospacing="0" w:line="480" w:lineRule="auto"/>
        <w:jc w:val="both"/>
        <w:rPr>
          <w:rFonts w:ascii="Lato" w:hAnsi="Lato"/>
          <w:color w:val="444444"/>
        </w:rPr>
      </w:pPr>
      <w:r>
        <w:rPr>
          <w:rFonts w:ascii="Lato" w:hAnsi="Lato"/>
          <w:color w:val="444444"/>
        </w:rPr>
        <w:t>When the Triangle model is used with the Technology Acceptance model, which I have included in my evaluation plan, this alignment enables a more holistic evaluation that captures both user experience and systemic impact. TAM can provide detailed insights into user behavior and potential adoption barriers, while the Triangle Model contextualizes those behaviors within the larger healthcare ecosystem.</w:t>
      </w:r>
    </w:p>
    <w:p w14:paraId="586C5BA3" w14:textId="77777777" w:rsidR="00E30E22" w:rsidRDefault="00E30E22" w:rsidP="00E30E22">
      <w:pPr>
        <w:pStyle w:val="NormalWeb"/>
        <w:spacing w:before="180" w:beforeAutospacing="0" w:after="180" w:afterAutospacing="0" w:line="480" w:lineRule="auto"/>
        <w:jc w:val="both"/>
        <w:rPr>
          <w:rFonts w:ascii="Lato" w:hAnsi="Lato"/>
          <w:color w:val="444444"/>
        </w:rPr>
      </w:pPr>
      <w:r>
        <w:rPr>
          <w:rFonts w:ascii="Lato" w:hAnsi="Lato"/>
          <w:color w:val="444444"/>
        </w:rPr>
        <w:t> </w:t>
      </w:r>
    </w:p>
    <w:p w14:paraId="5004669D" w14:textId="77777777" w:rsidR="00E30E22" w:rsidRDefault="00E30E22" w:rsidP="00E30E22">
      <w:pPr>
        <w:pStyle w:val="NormalWeb"/>
        <w:spacing w:before="180" w:beforeAutospacing="0" w:after="180" w:afterAutospacing="0" w:line="480" w:lineRule="auto"/>
        <w:jc w:val="both"/>
        <w:rPr>
          <w:rFonts w:ascii="Lato" w:hAnsi="Lato"/>
          <w:color w:val="444444"/>
        </w:rPr>
      </w:pPr>
      <w:r>
        <w:rPr>
          <w:rFonts w:ascii="Lato" w:hAnsi="Lato"/>
          <w:color w:val="444444"/>
        </w:rPr>
        <w:t>References:</w:t>
      </w:r>
    </w:p>
    <w:p w14:paraId="53E16C2D" w14:textId="77777777" w:rsidR="00E30E22" w:rsidRDefault="00E30E22" w:rsidP="00E30E22">
      <w:pPr>
        <w:pStyle w:val="NormalWeb"/>
        <w:spacing w:before="180" w:beforeAutospacing="0" w:after="180" w:afterAutospacing="0" w:line="480" w:lineRule="auto"/>
        <w:jc w:val="both"/>
        <w:rPr>
          <w:rFonts w:ascii="Lato" w:hAnsi="Lato"/>
          <w:color w:val="444444"/>
        </w:rPr>
      </w:pPr>
      <w:proofErr w:type="spellStart"/>
      <w:r>
        <w:rPr>
          <w:rFonts w:ascii="Lato" w:hAnsi="Lato"/>
          <w:color w:val="444444"/>
        </w:rPr>
        <w:t>Ancker</w:t>
      </w:r>
      <w:proofErr w:type="spellEnd"/>
      <w:r>
        <w:rPr>
          <w:rFonts w:ascii="Lato" w:hAnsi="Lato"/>
          <w:color w:val="444444"/>
        </w:rPr>
        <w:t>, J. S., Kern, L. M., Abramson, E., &amp; Kaushal, R. (2012). The Triangle Model for evaluating the effect of health information technology on healthcare quality and safety. </w:t>
      </w:r>
      <w:r>
        <w:rPr>
          <w:rStyle w:val="Emphasis"/>
          <w:rFonts w:ascii="Lato" w:hAnsi="Lato"/>
          <w:color w:val="444444"/>
        </w:rPr>
        <w:t xml:space="preserve">Journal of the American Medical Informatics </w:t>
      </w:r>
      <w:proofErr w:type="gramStart"/>
      <w:r>
        <w:rPr>
          <w:rStyle w:val="Emphasis"/>
          <w:rFonts w:ascii="Lato" w:hAnsi="Lato"/>
          <w:color w:val="444444"/>
        </w:rPr>
        <w:t>Association :</w:t>
      </w:r>
      <w:proofErr w:type="gramEnd"/>
      <w:r>
        <w:rPr>
          <w:rStyle w:val="Emphasis"/>
          <w:rFonts w:ascii="Lato" w:hAnsi="Lato"/>
          <w:color w:val="444444"/>
        </w:rPr>
        <w:t xml:space="preserve"> JAMIA</w:t>
      </w:r>
      <w:r>
        <w:rPr>
          <w:rFonts w:ascii="Lato" w:hAnsi="Lato"/>
          <w:color w:val="444444"/>
        </w:rPr>
        <w:t>, </w:t>
      </w:r>
      <w:r>
        <w:rPr>
          <w:rStyle w:val="Emphasis"/>
          <w:rFonts w:ascii="Lato" w:hAnsi="Lato"/>
          <w:color w:val="444444"/>
        </w:rPr>
        <w:t>19</w:t>
      </w:r>
      <w:r>
        <w:rPr>
          <w:rFonts w:ascii="Lato" w:hAnsi="Lato"/>
          <w:color w:val="444444"/>
        </w:rPr>
        <w:t>(1), 61–65.</w:t>
      </w:r>
    </w:p>
    <w:p w14:paraId="09FFDDB5" w14:textId="77777777" w:rsidR="00E30E22" w:rsidRDefault="00E30E22" w:rsidP="00E30E22">
      <w:pPr>
        <w:pStyle w:val="NormalWeb"/>
        <w:spacing w:before="0" w:beforeAutospacing="0" w:after="0" w:afterAutospacing="0" w:line="480" w:lineRule="auto"/>
        <w:jc w:val="both"/>
        <w:rPr>
          <w:rFonts w:ascii="Lato" w:hAnsi="Lato"/>
          <w:color w:val="444444"/>
        </w:rPr>
      </w:pPr>
      <w:hyperlink r:id="rId11" w:tgtFrame="_blank" w:history="1">
        <w:r>
          <w:rPr>
            <w:rStyle w:val="Hyperlink"/>
            <w:rFonts w:ascii="Lato" w:hAnsi="Lato"/>
          </w:rPr>
          <w:t>https://doi.org/10.1136/amiajnl-2011-000385</w:t>
        </w:r>
        <w:r>
          <w:rPr>
            <w:rStyle w:val="screenreader-only"/>
            <w:rFonts w:ascii="Lato" w:hAnsi="Lato"/>
            <w:color w:val="0000FF"/>
            <w:u w:val="single"/>
            <w:bdr w:val="none" w:sz="0" w:space="0" w:color="auto" w:frame="1"/>
          </w:rPr>
          <w:t>Links to an external site.</w:t>
        </w:r>
      </w:hyperlink>
    </w:p>
    <w:p w14:paraId="681D6013" w14:textId="77777777" w:rsidR="00E30E22" w:rsidRPr="001D4D6F" w:rsidRDefault="00E30E22" w:rsidP="001D4D6F">
      <w:pPr>
        <w:pStyle w:val="NormalWeb"/>
        <w:spacing w:before="180" w:beforeAutospacing="0" w:after="180" w:afterAutospacing="0" w:line="480" w:lineRule="auto"/>
        <w:jc w:val="both"/>
        <w:rPr>
          <w:color w:val="444444"/>
        </w:rPr>
      </w:pPr>
    </w:p>
    <w:p w14:paraId="4793F7C3" w14:textId="77777777" w:rsidR="001D4D6F" w:rsidRPr="001D4D6F" w:rsidRDefault="001D4D6F" w:rsidP="001D4D6F">
      <w:pPr>
        <w:spacing w:line="480" w:lineRule="auto"/>
        <w:jc w:val="both"/>
        <w:rPr>
          <w:rFonts w:ascii="Times New Roman" w:hAnsi="Times New Roman" w:cs="Times New Roman"/>
          <w:color w:val="444444"/>
        </w:rPr>
      </w:pPr>
    </w:p>
    <w:p w14:paraId="6A179DE6" w14:textId="1294C7B0" w:rsidR="004C6DEF" w:rsidRPr="001D4D6F" w:rsidRDefault="004C6DEF" w:rsidP="001D4D6F">
      <w:pPr>
        <w:spacing w:before="180" w:after="180" w:line="480" w:lineRule="auto"/>
        <w:jc w:val="both"/>
        <w:rPr>
          <w:rFonts w:ascii="Times New Roman" w:eastAsia="Times New Roman" w:hAnsi="Times New Roman" w:cs="Times New Roman"/>
          <w:b/>
          <w:bCs/>
          <w:color w:val="2D3B45"/>
        </w:rPr>
      </w:pPr>
    </w:p>
    <w:sectPr w:rsidR="004C6DEF" w:rsidRPr="001D4D6F" w:rsidSect="005730D3">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8C254" w14:textId="77777777" w:rsidR="00C104CD" w:rsidRDefault="00C104CD" w:rsidP="00AD7048">
      <w:r>
        <w:separator/>
      </w:r>
    </w:p>
  </w:endnote>
  <w:endnote w:type="continuationSeparator" w:id="0">
    <w:p w14:paraId="2FAFC886" w14:textId="77777777" w:rsidR="00C104CD" w:rsidRDefault="00C104CD"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DC71A" w14:textId="77777777" w:rsidR="00C104CD" w:rsidRDefault="00C104CD" w:rsidP="00AD7048">
      <w:r>
        <w:separator/>
      </w:r>
    </w:p>
  </w:footnote>
  <w:footnote w:type="continuationSeparator" w:id="0">
    <w:p w14:paraId="0F3B1B9A" w14:textId="77777777" w:rsidR="00C104CD" w:rsidRDefault="00C104CD"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7"/>
  </w:num>
  <w:num w:numId="2" w16cid:durableId="137114539">
    <w:abstractNumId w:val="2"/>
  </w:num>
  <w:num w:numId="3" w16cid:durableId="1993630752">
    <w:abstractNumId w:val="0"/>
  </w:num>
  <w:num w:numId="4" w16cid:durableId="1939171395">
    <w:abstractNumId w:val="1"/>
  </w:num>
  <w:num w:numId="5" w16cid:durableId="691539221">
    <w:abstractNumId w:val="6"/>
  </w:num>
  <w:num w:numId="6" w16cid:durableId="1500926626">
    <w:abstractNumId w:val="8"/>
  </w:num>
  <w:num w:numId="7" w16cid:durableId="440685496">
    <w:abstractNumId w:val="3"/>
  </w:num>
  <w:num w:numId="8" w16cid:durableId="1209881763">
    <w:abstractNumId w:val="4"/>
  </w:num>
  <w:num w:numId="9" w16cid:durableId="14031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480A"/>
    <w:rsid w:val="00022750"/>
    <w:rsid w:val="00024E3B"/>
    <w:rsid w:val="00086A09"/>
    <w:rsid w:val="000A7D73"/>
    <w:rsid w:val="000F66A1"/>
    <w:rsid w:val="00101669"/>
    <w:rsid w:val="00124301"/>
    <w:rsid w:val="00155D29"/>
    <w:rsid w:val="001B062C"/>
    <w:rsid w:val="001D4D6F"/>
    <w:rsid w:val="0022432C"/>
    <w:rsid w:val="00276556"/>
    <w:rsid w:val="002C1ED2"/>
    <w:rsid w:val="00326242"/>
    <w:rsid w:val="003455AF"/>
    <w:rsid w:val="00370B3F"/>
    <w:rsid w:val="003B10B7"/>
    <w:rsid w:val="003B5CCF"/>
    <w:rsid w:val="003F2B68"/>
    <w:rsid w:val="00404D94"/>
    <w:rsid w:val="004154FD"/>
    <w:rsid w:val="0044011E"/>
    <w:rsid w:val="00461E9F"/>
    <w:rsid w:val="00495044"/>
    <w:rsid w:val="00495AD1"/>
    <w:rsid w:val="00496CBE"/>
    <w:rsid w:val="004A4CBF"/>
    <w:rsid w:val="004C2D4B"/>
    <w:rsid w:val="004C6DEF"/>
    <w:rsid w:val="00523E4D"/>
    <w:rsid w:val="005730D3"/>
    <w:rsid w:val="0059724F"/>
    <w:rsid w:val="005B673C"/>
    <w:rsid w:val="006036A3"/>
    <w:rsid w:val="00610865"/>
    <w:rsid w:val="00614DBE"/>
    <w:rsid w:val="0067668D"/>
    <w:rsid w:val="006B45EE"/>
    <w:rsid w:val="006E3375"/>
    <w:rsid w:val="006E3825"/>
    <w:rsid w:val="006F103A"/>
    <w:rsid w:val="006F4465"/>
    <w:rsid w:val="0072298C"/>
    <w:rsid w:val="00734A70"/>
    <w:rsid w:val="0075423B"/>
    <w:rsid w:val="00756EBF"/>
    <w:rsid w:val="007B6891"/>
    <w:rsid w:val="007D6A32"/>
    <w:rsid w:val="007F3873"/>
    <w:rsid w:val="0085619F"/>
    <w:rsid w:val="008B718F"/>
    <w:rsid w:val="008D28D4"/>
    <w:rsid w:val="00950227"/>
    <w:rsid w:val="00952CCD"/>
    <w:rsid w:val="00963E92"/>
    <w:rsid w:val="00974943"/>
    <w:rsid w:val="009758DE"/>
    <w:rsid w:val="00981999"/>
    <w:rsid w:val="009A45AE"/>
    <w:rsid w:val="009C4505"/>
    <w:rsid w:val="009E7811"/>
    <w:rsid w:val="00A10FEE"/>
    <w:rsid w:val="00A240FE"/>
    <w:rsid w:val="00A443E1"/>
    <w:rsid w:val="00A92126"/>
    <w:rsid w:val="00AD7048"/>
    <w:rsid w:val="00B47553"/>
    <w:rsid w:val="00B51799"/>
    <w:rsid w:val="00B5453C"/>
    <w:rsid w:val="00BA0437"/>
    <w:rsid w:val="00C06B59"/>
    <w:rsid w:val="00C104CD"/>
    <w:rsid w:val="00C20407"/>
    <w:rsid w:val="00C7598C"/>
    <w:rsid w:val="00C7602E"/>
    <w:rsid w:val="00C77D18"/>
    <w:rsid w:val="00CA0DC1"/>
    <w:rsid w:val="00CC79FD"/>
    <w:rsid w:val="00CE607F"/>
    <w:rsid w:val="00D04331"/>
    <w:rsid w:val="00D079AF"/>
    <w:rsid w:val="00D32AC7"/>
    <w:rsid w:val="00D90EE0"/>
    <w:rsid w:val="00DA5A3E"/>
    <w:rsid w:val="00DC08DF"/>
    <w:rsid w:val="00E30E22"/>
    <w:rsid w:val="00E33043"/>
    <w:rsid w:val="00E53933"/>
    <w:rsid w:val="00E61C58"/>
    <w:rsid w:val="00E87219"/>
    <w:rsid w:val="00EA6D29"/>
    <w:rsid w:val="00EC73C3"/>
    <w:rsid w:val="00F504B7"/>
    <w:rsid w:val="00FA00D9"/>
    <w:rsid w:val="00FA00E1"/>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6DEF"/>
    <w:rPr>
      <w:i/>
      <w:iCs/>
    </w:rPr>
  </w:style>
  <w:style w:type="character" w:customStyle="1" w:styleId="postmention">
    <w:name w:val="post_mention"/>
    <w:basedOn w:val="DefaultParagraphFont"/>
    <w:rsid w:val="004C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6200622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039">
          <w:marLeft w:val="120"/>
          <w:marRight w:val="120"/>
          <w:marTop w:val="0"/>
          <w:marBottom w:val="120"/>
          <w:divBdr>
            <w:top w:val="none" w:sz="0" w:space="0" w:color="auto"/>
            <w:left w:val="none" w:sz="0" w:space="0" w:color="auto"/>
            <w:bottom w:val="single" w:sz="6" w:space="6" w:color="DDDDDD"/>
            <w:right w:val="none" w:sz="0" w:space="0" w:color="auto"/>
          </w:divBdr>
          <w:divsChild>
            <w:div w:id="465973623">
              <w:marLeft w:val="0"/>
              <w:marRight w:val="0"/>
              <w:marTop w:val="0"/>
              <w:marBottom w:val="0"/>
              <w:divBdr>
                <w:top w:val="none" w:sz="0" w:space="0" w:color="auto"/>
                <w:left w:val="none" w:sz="0" w:space="0" w:color="auto"/>
                <w:bottom w:val="none" w:sz="0" w:space="0" w:color="auto"/>
                <w:right w:val="none" w:sz="0" w:space="0" w:color="auto"/>
              </w:divBdr>
              <w:divsChild>
                <w:div w:id="12690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199">
          <w:marLeft w:val="120"/>
          <w:marRight w:val="120"/>
          <w:marTop w:val="0"/>
          <w:marBottom w:val="120"/>
          <w:divBdr>
            <w:top w:val="none" w:sz="0" w:space="0" w:color="auto"/>
            <w:left w:val="none" w:sz="0" w:space="0" w:color="auto"/>
            <w:bottom w:val="single" w:sz="6" w:space="6" w:color="DDDDDD"/>
            <w:right w:val="none" w:sz="0" w:space="0" w:color="auto"/>
          </w:divBdr>
          <w:divsChild>
            <w:div w:id="1579897631">
              <w:marLeft w:val="0"/>
              <w:marRight w:val="0"/>
              <w:marTop w:val="0"/>
              <w:marBottom w:val="0"/>
              <w:divBdr>
                <w:top w:val="none" w:sz="0" w:space="0" w:color="auto"/>
                <w:left w:val="none" w:sz="0" w:space="0" w:color="auto"/>
                <w:bottom w:val="none" w:sz="0" w:space="0" w:color="auto"/>
                <w:right w:val="none" w:sz="0" w:space="0" w:color="auto"/>
              </w:divBdr>
              <w:divsChild>
                <w:div w:id="1684941936">
                  <w:marLeft w:val="0"/>
                  <w:marRight w:val="0"/>
                  <w:marTop w:val="0"/>
                  <w:marBottom w:val="0"/>
                  <w:divBdr>
                    <w:top w:val="none" w:sz="0" w:space="0" w:color="auto"/>
                    <w:left w:val="none" w:sz="0" w:space="0" w:color="auto"/>
                    <w:bottom w:val="none" w:sz="0" w:space="0" w:color="auto"/>
                    <w:right w:val="none" w:sz="0" w:space="0" w:color="auto"/>
                  </w:divBdr>
                </w:div>
                <w:div w:id="1213497035">
                  <w:marLeft w:val="0"/>
                  <w:marRight w:val="0"/>
                  <w:marTop w:val="0"/>
                  <w:marBottom w:val="0"/>
                  <w:divBdr>
                    <w:top w:val="none" w:sz="0" w:space="0" w:color="auto"/>
                    <w:left w:val="none" w:sz="0" w:space="0" w:color="auto"/>
                    <w:bottom w:val="none" w:sz="0" w:space="0" w:color="auto"/>
                    <w:right w:val="none" w:sz="0" w:space="0" w:color="auto"/>
                  </w:divBdr>
                </w:div>
              </w:divsChild>
            </w:div>
            <w:div w:id="1309089191">
              <w:marLeft w:val="0"/>
              <w:marRight w:val="0"/>
              <w:marTop w:val="0"/>
              <w:marBottom w:val="0"/>
              <w:divBdr>
                <w:top w:val="none" w:sz="0" w:space="0" w:color="auto"/>
                <w:left w:val="none" w:sz="0" w:space="0" w:color="auto"/>
                <w:bottom w:val="none" w:sz="0" w:space="0" w:color="auto"/>
                <w:right w:val="none" w:sz="0" w:space="0" w:color="auto"/>
              </w:divBdr>
              <w:divsChild>
                <w:div w:id="1750496571">
                  <w:marLeft w:val="-150"/>
                  <w:marRight w:val="75"/>
                  <w:marTop w:val="0"/>
                  <w:marBottom w:val="0"/>
                  <w:divBdr>
                    <w:top w:val="none" w:sz="0" w:space="0" w:color="auto"/>
                    <w:left w:val="none" w:sz="0" w:space="0" w:color="auto"/>
                    <w:bottom w:val="none" w:sz="0" w:space="0" w:color="auto"/>
                    <w:right w:val="none" w:sz="0" w:space="0" w:color="auto"/>
                  </w:divBdr>
                </w:div>
                <w:div w:id="572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1897">
          <w:marLeft w:val="120"/>
          <w:marRight w:val="120"/>
          <w:marTop w:val="0"/>
          <w:marBottom w:val="120"/>
          <w:divBdr>
            <w:top w:val="none" w:sz="0" w:space="0" w:color="auto"/>
            <w:left w:val="none" w:sz="0" w:space="0" w:color="auto"/>
            <w:bottom w:val="single" w:sz="6" w:space="6" w:color="DDDDDD"/>
            <w:right w:val="none" w:sz="0" w:space="0" w:color="auto"/>
          </w:divBdr>
          <w:divsChild>
            <w:div w:id="687171636">
              <w:marLeft w:val="0"/>
              <w:marRight w:val="0"/>
              <w:marTop w:val="0"/>
              <w:marBottom w:val="0"/>
              <w:divBdr>
                <w:top w:val="none" w:sz="0" w:space="0" w:color="auto"/>
                <w:left w:val="none" w:sz="0" w:space="0" w:color="auto"/>
                <w:bottom w:val="none" w:sz="0" w:space="0" w:color="auto"/>
                <w:right w:val="none" w:sz="0" w:space="0" w:color="auto"/>
              </w:divBdr>
              <w:divsChild>
                <w:div w:id="2058121887">
                  <w:marLeft w:val="0"/>
                  <w:marRight w:val="0"/>
                  <w:marTop w:val="0"/>
                  <w:marBottom w:val="0"/>
                  <w:divBdr>
                    <w:top w:val="none" w:sz="0" w:space="0" w:color="auto"/>
                    <w:left w:val="none" w:sz="0" w:space="0" w:color="auto"/>
                    <w:bottom w:val="none" w:sz="0" w:space="0" w:color="auto"/>
                    <w:right w:val="none" w:sz="0" w:space="0" w:color="auto"/>
                  </w:divBdr>
                </w:div>
                <w:div w:id="1891064956">
                  <w:marLeft w:val="0"/>
                  <w:marRight w:val="0"/>
                  <w:marTop w:val="0"/>
                  <w:marBottom w:val="0"/>
                  <w:divBdr>
                    <w:top w:val="none" w:sz="0" w:space="0" w:color="auto"/>
                    <w:left w:val="none" w:sz="0" w:space="0" w:color="auto"/>
                    <w:bottom w:val="none" w:sz="0" w:space="0" w:color="auto"/>
                    <w:right w:val="none" w:sz="0" w:space="0" w:color="auto"/>
                  </w:divBdr>
                </w:div>
              </w:divsChild>
            </w:div>
            <w:div w:id="642659257">
              <w:marLeft w:val="0"/>
              <w:marRight w:val="0"/>
              <w:marTop w:val="0"/>
              <w:marBottom w:val="0"/>
              <w:divBdr>
                <w:top w:val="none" w:sz="0" w:space="0" w:color="auto"/>
                <w:left w:val="none" w:sz="0" w:space="0" w:color="auto"/>
                <w:bottom w:val="none" w:sz="0" w:space="0" w:color="auto"/>
                <w:right w:val="none" w:sz="0" w:space="0" w:color="auto"/>
              </w:divBdr>
              <w:divsChild>
                <w:div w:id="1253201257">
                  <w:marLeft w:val="-150"/>
                  <w:marRight w:val="75"/>
                  <w:marTop w:val="0"/>
                  <w:marBottom w:val="0"/>
                  <w:divBdr>
                    <w:top w:val="none" w:sz="0" w:space="0" w:color="auto"/>
                    <w:left w:val="none" w:sz="0" w:space="0" w:color="auto"/>
                    <w:bottom w:val="none" w:sz="0" w:space="0" w:color="auto"/>
                    <w:right w:val="none" w:sz="0" w:space="0" w:color="auto"/>
                  </w:divBdr>
                </w:div>
                <w:div w:id="1004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 w:id="2076508635">
      <w:bodyDiv w:val="1"/>
      <w:marLeft w:val="0"/>
      <w:marRight w:val="0"/>
      <w:marTop w:val="0"/>
      <w:marBottom w:val="0"/>
      <w:divBdr>
        <w:top w:val="none" w:sz="0" w:space="0" w:color="auto"/>
        <w:left w:val="none" w:sz="0" w:space="0" w:color="auto"/>
        <w:bottom w:val="none" w:sz="0" w:space="0" w:color="auto"/>
        <w:right w:val="none" w:sz="0" w:space="0" w:color="auto"/>
      </w:divBdr>
      <w:divsChild>
        <w:div w:id="119224070">
          <w:marLeft w:val="120"/>
          <w:marRight w:val="120"/>
          <w:marTop w:val="0"/>
          <w:marBottom w:val="120"/>
          <w:divBdr>
            <w:top w:val="none" w:sz="0" w:space="0" w:color="auto"/>
            <w:left w:val="none" w:sz="0" w:space="0" w:color="auto"/>
            <w:bottom w:val="single" w:sz="6" w:space="6" w:color="DDDDDD"/>
            <w:right w:val="none" w:sz="0" w:space="0" w:color="auto"/>
          </w:divBdr>
          <w:divsChild>
            <w:div w:id="1185168505">
              <w:marLeft w:val="0"/>
              <w:marRight w:val="0"/>
              <w:marTop w:val="0"/>
              <w:marBottom w:val="0"/>
              <w:divBdr>
                <w:top w:val="none" w:sz="0" w:space="0" w:color="auto"/>
                <w:left w:val="none" w:sz="0" w:space="0" w:color="auto"/>
                <w:bottom w:val="none" w:sz="0" w:space="0" w:color="auto"/>
                <w:right w:val="none" w:sz="0" w:space="0" w:color="auto"/>
              </w:divBdr>
              <w:divsChild>
                <w:div w:id="14214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5199">
          <w:marLeft w:val="120"/>
          <w:marRight w:val="120"/>
          <w:marTop w:val="0"/>
          <w:marBottom w:val="120"/>
          <w:divBdr>
            <w:top w:val="none" w:sz="0" w:space="0" w:color="auto"/>
            <w:left w:val="none" w:sz="0" w:space="0" w:color="auto"/>
            <w:bottom w:val="single" w:sz="6" w:space="6" w:color="DDDDDD"/>
            <w:right w:val="none" w:sz="0" w:space="0" w:color="auto"/>
          </w:divBdr>
          <w:divsChild>
            <w:div w:id="1454908064">
              <w:marLeft w:val="0"/>
              <w:marRight w:val="0"/>
              <w:marTop w:val="0"/>
              <w:marBottom w:val="0"/>
              <w:divBdr>
                <w:top w:val="none" w:sz="0" w:space="0" w:color="auto"/>
                <w:left w:val="none" w:sz="0" w:space="0" w:color="auto"/>
                <w:bottom w:val="none" w:sz="0" w:space="0" w:color="auto"/>
                <w:right w:val="none" w:sz="0" w:space="0" w:color="auto"/>
              </w:divBdr>
              <w:divsChild>
                <w:div w:id="139619237">
                  <w:marLeft w:val="0"/>
                  <w:marRight w:val="0"/>
                  <w:marTop w:val="0"/>
                  <w:marBottom w:val="0"/>
                  <w:divBdr>
                    <w:top w:val="none" w:sz="0" w:space="0" w:color="auto"/>
                    <w:left w:val="none" w:sz="0" w:space="0" w:color="auto"/>
                    <w:bottom w:val="none" w:sz="0" w:space="0" w:color="auto"/>
                    <w:right w:val="none" w:sz="0" w:space="0" w:color="auto"/>
                  </w:divBdr>
                </w:div>
                <w:div w:id="1127355853">
                  <w:marLeft w:val="0"/>
                  <w:marRight w:val="0"/>
                  <w:marTop w:val="0"/>
                  <w:marBottom w:val="0"/>
                  <w:divBdr>
                    <w:top w:val="none" w:sz="0" w:space="0" w:color="auto"/>
                    <w:left w:val="none" w:sz="0" w:space="0" w:color="auto"/>
                    <w:bottom w:val="none" w:sz="0" w:space="0" w:color="auto"/>
                    <w:right w:val="none" w:sz="0" w:space="0" w:color="auto"/>
                  </w:divBdr>
                </w:div>
              </w:divsChild>
            </w:div>
            <w:div w:id="967592087">
              <w:marLeft w:val="0"/>
              <w:marRight w:val="0"/>
              <w:marTop w:val="0"/>
              <w:marBottom w:val="0"/>
              <w:divBdr>
                <w:top w:val="none" w:sz="0" w:space="0" w:color="auto"/>
                <w:left w:val="none" w:sz="0" w:space="0" w:color="auto"/>
                <w:bottom w:val="none" w:sz="0" w:space="0" w:color="auto"/>
                <w:right w:val="none" w:sz="0" w:space="0" w:color="auto"/>
              </w:divBdr>
              <w:divsChild>
                <w:div w:id="1942253737">
                  <w:marLeft w:val="-150"/>
                  <w:marRight w:val="75"/>
                  <w:marTop w:val="0"/>
                  <w:marBottom w:val="0"/>
                  <w:divBdr>
                    <w:top w:val="none" w:sz="0" w:space="0" w:color="auto"/>
                    <w:left w:val="none" w:sz="0" w:space="0" w:color="auto"/>
                    <w:bottom w:val="none" w:sz="0" w:space="0" w:color="auto"/>
                    <w:right w:val="none" w:sz="0" w:space="0" w:color="auto"/>
                  </w:divBdr>
                </w:div>
                <w:div w:id="10323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linpeck.com/content/kirkpatrick-model-evalua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ciencedirect.com/science/article/abs/pii/S1386505624002193"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36/amiajnl-2011-00038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researchgate.net/publication/356101937_Technology_Acceptance_in_Healthcare_A_Systematic_Review" TargetMode="External"/><Relationship Id="rId4" Type="http://schemas.openxmlformats.org/officeDocument/2006/relationships/webSettings" Target="webSettings.xml"/><Relationship Id="rId9" Type="http://schemas.openxmlformats.org/officeDocument/2006/relationships/hyperlink" Target="https://open.ncl.ac.uk/theories/1/technology-acceptance-mode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2025-03-09T14:18:00Z</dcterms:created>
  <dcterms:modified xsi:type="dcterms:W3CDTF">2025-04-22T18:19:00Z</dcterms:modified>
</cp:coreProperties>
</file>