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0C6D6D"/>
          <w:sz w:val="72"/>
          <w:szCs w:val="72"/>
        </w:rPr>
        <w:t xml:space="preserve">FedAirGuard</w:t>
      </w:r>
    </w:p>
    <w:p>
      <w:pPr>
        <w:spacing w:after="400"/>
        <w:jc w:val="center"/>
      </w:pPr>
      <w:r>
        <w:rPr>
          <w:sz w:val="30"/>
          <w:szCs w:val="30"/>
        </w:rPr>
        <w:t xml:space="preserve">Privacy-Preserving Federated Spatiotemporal AI for Distributed Air-Quality Monitoring and Sensor Anomaly Detection</w:t>
      </w:r>
    </w:p>
    <w:p>
      <w:pPr>
        <w:spacing w:after="100"/>
        <w:jc w:val="center"/>
      </w:pPr>
      <w:r>
        <w:rPr>
          <w:color w:val="5A6D6C"/>
          <w:sz w:val="26"/>
          <w:szCs w:val="26"/>
        </w:rPr>
        <w:t xml:space="preserve">Full Technical Report</w:t>
      </w:r>
    </w:p>
    <w:p>
      <w:pPr>
        <w:spacing w:after="900"/>
        <w:jc w:val="center"/>
      </w:pPr>
      <w:r>
        <w:rPr>
          <w:color w:val="5A6D6C"/>
          <w:sz w:val="22"/>
          <w:szCs w:val="22"/>
        </w:rPr>
        <w:t xml:space="preserve">14 October 2026</w:t>
      </w:r>
    </w:p>
    <w:p>
      <w:pPr>
        <w:jc w:val="center"/>
      </w:pPr>
      <w:r>
        <w:rPr>
          <w:color w:val="5A6D6C"/>
          <w:sz w:val="20"/>
          <w:szCs w:val="20"/>
        </w:rPr>
        <w:t xml:space="preserve">54 Python files  ·  ~12,000 lines  ·  111 tests  ·  63 commits  ·  20 experiment runs</w:t>
      </w:r>
    </w:p>
    <w:p>
      <w:r>
        <w:br w:type="page"/>
      </w:r>
    </w:p>
    <w:p>
      <w:pPr>
        <w:pStyle w:val="Heading1"/>
        <w:spacing w:after="160" w:before="360"/>
      </w:pPr>
      <w:bookmarkStart w:name="_Toc1" w:id="1"/>
      <w:r>
        <w:t xml:space="preserve">Contents</w:t>
      </w:r>
      <w:bookmarkEnd w:id="1"/>
    </w:p>
    <w:sdt>
      <w:sdtPr>
        <w:alias w:val="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Executive Summary</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What was established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What was not solved</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1. The Problem</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1.1 Why this is not ordinary anomaly detection</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1.2 The research gap</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Architecture</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Node tier</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2.2 The privacy contract</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2.3 Server tier</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2.4 Decision layer — the actual contribution</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3. The Dataset, and the Discovery That Reshaped the Project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3.1 Source</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3.2 The finding that broke the original plan</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3.3 What replaced it, and what that costs</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3.4 Six fault types, and why one number hides everything</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3.5 The drift injector was wrong, twice</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4. Pipeline and Code Structure</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4.1 Preprocessing, run independently per station</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4.2 Repository layout</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5. The Baseline Ladder</w:t>
            </w:r>
            <w:r>
              <w:tab/>
            </w:r>
            <w:r>
              <w:fldChar w:fldCharType="begin" w:dirty="true"/>
              <w:instrText xml:space="preserve">PAGEREF _Toc22 \h</w:instrText>
              <w:fldChar w:fldCharType="separate"/>
              <w:fldChar w:fldCharType="end"/>
            </w:r>
          </w:hyperlink>
        </w:p>
        <w:p>
          <w:pPr>
            <w:pStyle w:val="TOC1"/>
            <w:tabs>
              <w:tab w:val="right" w:pos="9360" w:leader="dot"/>
            </w:tabs>
          </w:pPr>
          <w:hyperlink w:history="1" w:anchor="_Toc23">
            <w:r>
              <w:t xml:space="preserve">6. Results</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6.1 At 30 stations — does spatial reasoning help?</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6.2 What privacy costs</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6.3 At 69 stations — two things become established</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6.4 Per fault type — the sharpest result</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6.5 Forecasting — a reversal at full scale</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7. The Privacy Amendment</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7.1 Why it was necessary</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7.2 What was decided, and why it is defensible</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7.3 What it costs</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7.4 The measured scope is narrower than designed</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8. Real Co-Located Fault Labels</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8.1 The data</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8.2 What counts as a fault</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8.3 The finding visible before any model ran</w:t>
            </w:r>
            <w:r>
              <w:tab/>
            </w:r>
            <w:r>
              <w:fldChar w:fldCharType="begin" w:dirty="true"/>
              <w:instrText xml:space="preserve">PAGEREF _Toc37 \h</w:instrText>
              <w:fldChar w:fldCharType="separate"/>
              <w:fldChar w:fldCharType="end"/>
            </w:r>
          </w:hyperlink>
        </w:p>
        <w:p>
          <w:pPr>
            <w:pStyle w:val="TOC2"/>
            <w:tabs>
              <w:tab w:val="right" w:pos="9360" w:leader="dot"/>
            </w:tabs>
            <w:ind w:left="220"/>
          </w:pPr>
          <w:hyperlink w:history="1" w:anchor="_Toc38">
            <w:r>
              <w:t xml:space="preserve">8.4 Measured</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8.5 One result that is unambiguously bad</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8.6 Caveats, which are large</w:t>
            </w:r>
            <w:r>
              <w:tab/>
            </w:r>
            <w:r>
              <w:fldChar w:fldCharType="begin" w:dirty="true"/>
              <w:instrText xml:space="preserve">PAGEREF _Toc40 \h</w:instrText>
              <w:fldChar w:fldCharType="separate"/>
              <w:fldChar w:fldCharType="end"/>
            </w:r>
          </w:hyperlink>
        </w:p>
        <w:p>
          <w:pPr>
            <w:pStyle w:val="TOC1"/>
            <w:tabs>
              <w:tab w:val="right" w:pos="9360" w:leader="dot"/>
            </w:tabs>
          </w:pPr>
          <w:hyperlink w:history="1" w:anchor="_Toc41">
            <w:r>
              <w:t xml:space="preserve">9. Scaling: Three Walls, Three Different Causes</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9.1 Wall one — zero common window origins</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9.2 Wall two — stations with no scoreable overlap</w:t>
            </w:r>
            <w:r>
              <w:tab/>
            </w:r>
            <w:r>
              <w:fldChar w:fldCharType="begin" w:dirty="true"/>
              <w:instrText xml:space="preserve">PAGEREF _Toc43 \h</w:instrText>
              <w:fldChar w:fldCharType="separate"/>
              <w:fldChar w:fldCharType="end"/>
            </w:r>
          </w:hyperlink>
        </w:p>
        <w:p>
          <w:pPr>
            <w:pStyle w:val="TOC2"/>
            <w:tabs>
              <w:tab w:val="right" w:pos="9360" w:leader="dot"/>
            </w:tabs>
            <w:ind w:left="220"/>
          </w:pPr>
          <w:hyperlink w:history="1" w:anchor="_Toc44">
            <w:r>
              <w:t xml:space="preserve">9.3 Wall three — memory, twice, for different reasons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9.4 The discrete GPU was never being used</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10. Generalization to Delhi</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10.1 Forecasting transfers better than predicted</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10.2 What actually breaks: calibration stability</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10.3 The counterintuitive consequence</w:t>
            </w:r>
            <w:r>
              <w:tab/>
            </w:r>
            <w:r>
              <w:fldChar w:fldCharType="begin" w:dirty="true"/>
              <w:instrText xml:space="preserve">PAGEREF _Toc49 \h</w:instrText>
              <w:fldChar w:fldCharType="separate"/>
              <w:fldChar w:fldCharType="end"/>
            </w:r>
          </w:hyperlink>
        </w:p>
        <w:p>
          <w:pPr>
            <w:pStyle w:val="TOC1"/>
            <w:tabs>
              <w:tab w:val="right" w:pos="9360" w:leader="dot"/>
            </w:tabs>
          </w:pPr>
          <w:hyperlink w:history="1" w:anchor="_Toc50">
            <w:r>
              <w:t xml:space="preserve">11. What Did Not Work</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11.1 Clustered aggregation — measured and rejected</w:t>
            </w:r>
            <w:r>
              <w:tab/>
            </w:r>
            <w:r>
              <w:fldChar w:fldCharType="begin" w:dirty="true"/>
              <w:instrText xml:space="preserve">PAGEREF _Toc51 \h</w:instrText>
              <w:fldChar w:fldCharType="separate"/>
              <w:fldChar w:fldCharType="end"/>
            </w:r>
          </w:hyperlink>
        </w:p>
        <w:p>
          <w:pPr>
            <w:pStyle w:val="TOC2"/>
            <w:tabs>
              <w:tab w:val="right" w:pos="9360" w:leader="dot"/>
            </w:tabs>
            <w:ind w:left="220"/>
          </w:pPr>
          <w:hyperlink w:history="1" w:anchor="_Toc52">
            <w:r>
              <w:t xml:space="preserve">11.2 Federation does not help forecasting at moderate scale</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11.3 Drift remains largely unsolved</w:t>
            </w:r>
            <w:r>
              <w:tab/>
            </w:r>
            <w:r>
              <w:fldChar w:fldCharType="begin" w:dirty="true"/>
              <w:instrText xml:space="preserve">PAGEREF _Toc53 \h</w:instrText>
              <w:fldChar w:fldCharType="separate"/>
              <w:fldChar w:fldCharType="end"/>
            </w:r>
          </w:hyperlink>
        </w:p>
        <w:p>
          <w:pPr>
            <w:pStyle w:val="TOC1"/>
            <w:tabs>
              <w:tab w:val="right" w:pos="9360" w:leader="dot"/>
            </w:tabs>
          </w:pPr>
          <w:hyperlink w:history="1" w:anchor="_Toc54">
            <w:r>
              <w:t xml:space="preserve">12. Engineering Lessons</w:t>
            </w:r>
            <w:r>
              <w:tab/>
            </w:r>
            <w:r>
              <w:fldChar w:fldCharType="begin" w:dirty="true"/>
              <w:instrText xml:space="preserve">PAGEREF _Toc54 \h</w:instrText>
              <w:fldChar w:fldCharType="separate"/>
              <w:fldChar w:fldCharType="end"/>
            </w:r>
          </w:hyperlink>
        </w:p>
        <w:p>
          <w:pPr>
            <w:pStyle w:val="TOC1"/>
            <w:tabs>
              <w:tab w:val="right" w:pos="9360" w:leader="dot"/>
            </w:tabs>
          </w:pPr>
          <w:hyperlink w:history="1" w:anchor="_Toc55">
            <w:r>
              <w:t xml:space="preserve">13. Honest Summary</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What is established</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What is specific and mechanical</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What is not solved</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What the project cannot yet claim</w:t>
            </w:r>
            <w:r>
              <w:tab/>
            </w:r>
            <w:r>
              <w:fldChar w:fldCharType="begin" w:dirty="true"/>
              <w:instrText xml:space="preserve">PAGEREF _Toc59 \h</w:instrText>
              <w:fldChar w:fldCharType="separate"/>
              <w:fldChar w:fldCharType="end"/>
            </w:r>
          </w:hyperlink>
        </w:p>
        <w:p>
          <w:r>
            <w:fldChar w:fldCharType="end"/>
          </w:r>
        </w:p>
      </w:sdtContent>
    </w:sdt>
    <w:p>
      <w:r>
        <w:br w:type="page"/>
      </w:r>
    </w:p>
    <w:p>
      <w:pPr>
        <w:pStyle w:val="Heading1"/>
        <w:spacing w:after="160" w:before="360"/>
      </w:pPr>
      <w:bookmarkStart w:name="_Toc2" w:id="2"/>
      <w:r>
        <w:t xml:space="preserve">Executive Summary</w:t>
      </w:r>
      <w:bookmarkEnd w:id="2"/>
    </w:p>
    <w:p>
      <w:pPr>
        <w:spacing w:after="120"/>
      </w:pPr>
      <w:r>
        <w:t xml:space="preserve">This project asks a question that air-quality networks face constantly and answer badly: when a sensor reports something unusual, is the air genuinely bad, or is the instrument broken? Both look identical to a detector that only asks whether a reading is unusual, because both are unusual. Getting it wrong is costly in both directions — discarding real pollution episodes, or trusting a failed instrument and corrupting every downstream average.</w:t>
      </w:r>
    </w:p>
    <w:p>
      <w:pPr>
        <w:spacing w:after="120"/>
      </w:pPr>
      <w:r>
        <w:t xml:space="preserve">The signal that separates the two cases is spatial: a real episode is regional and neighbouring stations see it too, while a sensor fault is local and one instrument disagrees with everyone around it. Exploiting that normally requires centralising raw readings, which many network operators will not do. This project does it without centralising anything — each station trains locally, and only model weights and a compressed encoding ever leave it.</w:t>
      </w:r>
    </w:p>
    <w:p>
      <w:pPr>
        <w:pStyle w:val="Heading2"/>
        <w:spacing w:after="120" w:before="280"/>
      </w:pPr>
      <w:bookmarkStart w:name="_Toc3" w:id="3"/>
      <w:r>
        <w:t xml:space="preserve">What was established</w:t>
      </w:r>
      <w:bookmarkEnd w:id="3"/>
    </w:p>
    <w:p>
      <w:pPr>
        <w:pStyle w:val="ListParagraph"/>
        <w:numPr>
          <w:ilvl w:val="0"/>
          <w:numId w:val="2"/>
        </w:numPr>
        <w:spacing w:after="80"/>
      </w:pPr>
      <w:r>
        <w:t xml:space="preserve">Cross-station spatial reasoning from compressed embeddings genuinely improves fault detection: recall +0.124 [0.076, 0.181] at 69 stations, under resampling of both stations and time.</w:t>
      </w:r>
    </w:p>
    <w:p>
      <w:pPr>
        <w:pStyle w:val="ListParagraph"/>
        <w:numPr>
          <w:ilvl w:val="0"/>
          <w:numId w:val="2"/>
        </w:numPr>
        <w:spacing w:after="80"/>
      </w:pPr>
      <w:r>
        <w:t xml:space="preserve">It genuinely costs precision: −0.182 [−0.240, −0.115]. Both halves of that trade are real, not noise.</w:t>
      </w:r>
    </w:p>
    <w:p>
      <w:pPr>
        <w:pStyle w:val="ListParagraph"/>
        <w:numPr>
          <w:ilvl w:val="0"/>
          <w:numId w:val="2"/>
        </w:numPr>
        <w:spacing w:after="80"/>
      </w:pPr>
      <w:r>
        <w:t xml:space="preserve">At 69 stations the net effect on F1 becomes established for the first time: +0.062 [0.018, 0.110].</w:t>
      </w:r>
    </w:p>
    <w:p>
      <w:pPr>
        <w:pStyle w:val="ListParagraph"/>
        <w:numPr>
          <w:ilvl w:val="0"/>
          <w:numId w:val="2"/>
        </w:numPr>
        <w:spacing w:after="80"/>
      </w:pPr>
      <w:r>
        <w:t xml:space="preserve">The privacy constraint costs nothing measurable in F1 against a centralised model with full raw data access: +0.002 [−0.034, 0.045] at 30 stations.</w:t>
      </w:r>
    </w:p>
    <w:p>
      <w:pPr>
        <w:pStyle w:val="ListParagraph"/>
        <w:numPr>
          <w:ilvl w:val="0"/>
          <w:numId w:val="2"/>
        </w:numPr>
        <w:spacing w:after="80"/>
      </w:pPr>
      <w:r>
        <w:t xml:space="preserve">Measured against REAL co-located sensor faults, detection landed at 0.375 [0.152, 0.646] — inside the 0.211–0.549 range the synthetic evaluation predicted for faults of that magnitude.</w:t>
      </w:r>
    </w:p>
    <w:p>
      <w:pPr>
        <w:pStyle w:val="Heading2"/>
        <w:spacing w:after="120" w:before="280"/>
      </w:pPr>
      <w:bookmarkStart w:name="_Toc4" w:id="4"/>
      <w:r>
        <w:t xml:space="preserve">What was not solved</w:t>
      </w:r>
      <w:bookmarkEnd w:id="4"/>
    </w:p>
    <w:p>
      <w:pPr>
        <w:pStyle w:val="ListParagraph"/>
        <w:numPr>
          <w:ilvl w:val="0"/>
          <w:numId w:val="2"/>
        </w:numPr>
        <w:spacing w:after="80"/>
      </w:pPr>
      <w:r>
        <w:t xml:space="preserve">Per-reading drift detection. Recall is ~0.013 even at full scale.</w:t>
      </w:r>
    </w:p>
    <w:p>
      <w:pPr>
        <w:pStyle w:val="ListParagraph"/>
        <w:numPr>
          <w:ilvl w:val="0"/>
          <w:numId w:val="2"/>
        </w:numPr>
        <w:spacing w:after="80"/>
      </w:pPr>
      <w:r>
        <w:t xml:space="preserve">Constant bias offsets, at ~0.009.</w:t>
      </w:r>
    </w:p>
    <w:p>
      <w:pPr>
        <w:pStyle w:val="ListParagraph"/>
        <w:numPr>
          <w:ilvl w:val="0"/>
          <w:numId w:val="2"/>
        </w:numPr>
        <w:spacing w:after="80"/>
      </w:pPr>
      <w:r>
        <w:t xml:space="preserve">Anything below roughly 1σ, where detection stays under 0.21 even at the permissive operating point.</w:t>
      </w:r>
    </w:p>
    <w:p>
      <w:pPr>
        <w:pBdr>
          <w:left w:val="single" w:color="0C6D6D" w:sz="12" w:space="8"/>
        </w:pBdr>
        <w:spacing w:after="160"/>
        <w:ind w:left="180"/>
      </w:pPr>
      <w:r>
        <w:rPr>
          <w:i/>
          <w:iCs/>
          <w:color w:val="5A6D6C"/>
          <w:sz w:val="20"/>
          <w:szCs w:val="20"/>
        </w:rPr>
        <w:t xml:space="preserve">The most important caveat in this document: almost every fault number here is measured against synthetic injection, because the primary dataset destroys the readings its own fault labels point at. A small real-fault experiment (Section 8) corroborates the synthetic methodology but cannot replace it at n=16.</w:t>
      </w:r>
    </w:p>
    <w:p>
      <w:r>
        <w:br w:type="page"/>
      </w:r>
    </w:p>
    <w:p>
      <w:pPr>
        <w:pStyle w:val="Heading1"/>
        <w:spacing w:after="160" w:before="360"/>
      </w:pPr>
      <w:bookmarkStart w:name="_Toc5" w:id="5"/>
      <w:r>
        <w:t xml:space="preserve">1. The Problem</w:t>
      </w:r>
      <w:bookmarkEnd w:id="5"/>
    </w:p>
    <w:p>
      <w:pPr>
        <w:pStyle w:val="Heading2"/>
        <w:spacing w:after="120" w:before="280"/>
      </w:pPr>
      <w:bookmarkStart w:name="_Toc6" w:id="6"/>
      <w:r>
        <w:t xml:space="preserve">1.1 Why this is not ordinary anomaly detection</w:t>
      </w:r>
      <w:bookmarkEnd w:id="6"/>
    </w:p>
    <w:p>
      <w:pPr>
        <w:spacing w:after="120"/>
      </w:pPr>
      <w:r>
        <w:t xml:space="preserve">An air-quality station reports an unusually high reading. There are two explanations. It may be a real pollution event — a traffic surge, a Saharan dust intrusion, a nearby fire — in which case the reading is correct and matters. Or the instrument may have drifted, frozen or failed, in which case the reading is wrong and should be discarded.</w:t>
      </w:r>
    </w:p>
    <w:p>
      <w:pPr>
        <w:spacing w:after="120"/>
      </w:pPr>
      <w:r>
        <w:t xml:space="preserve">A detector that asks only "is this reading unusual?" cannot separate them, because both are unusual. That is the entire difficulty, and it is why the project's central objective is classification rather than detection: given that a reading is anomalous, decide which kind of anomalous it is.</w:t>
      </w:r>
    </w:p>
    <w:p>
      <w:pPr>
        <w:spacing w:after="120"/>
      </w:pPr>
      <w:r>
        <w:t xml:space="preserve">Gupchup et al. (2019) quantify the cost of conflating them: naive detectors misclassify up to 45% of genuine events as faults. This project measured its own version of that failure at up to 66.7% at a six-hour horizon early in development, which is why every recall figure in this report is accompanied by a false-positive rate on genuine extreme readings. Recall reported alone is prohibited by the project's design contract.</w:t>
      </w:r>
    </w:p>
    <w:p>
      <w:pPr>
        <w:pStyle w:val="Heading2"/>
        <w:spacing w:after="120" w:before="280"/>
      </w:pPr>
      <w:bookmarkStart w:name="_Toc7" w:id="7"/>
      <w:r>
        <w:t xml:space="preserve">1.2 The research gap</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2080"/>
        <w:gridCol w:w="2080"/>
      </w:tblGrid>
      <w:tr>
        <w:trPr>
          <w:tblHeader/>
        </w:trPr>
        <w:tc>
          <w:tcPr>
            <w:tcW w:type="dxa" w:w="5200"/>
            <w:shd w:fill="EEF3F3" w:val="clear"/>
            <w:tcMar>
              <w:top w:type="dxa" w:w="60"/>
              <w:left w:type="dxa" w:w="100"/>
              <w:bottom w:type="dxa" w:w="60"/>
              <w:right w:type="dxa" w:w="100"/>
            </w:tcMar>
          </w:tcPr>
          <w:p>
            <w:pPr>
              <w:jc w:val="left"/>
            </w:pPr>
            <w:r>
              <w:rPr>
                <w:b/>
                <w:bCs/>
                <w:sz w:val="18"/>
                <w:szCs w:val="18"/>
              </w:rPr>
              <w:t xml:space="preserve">Prior work</w:t>
            </w:r>
          </w:p>
        </w:tc>
        <w:tc>
          <w:tcPr>
            <w:tcW w:type="dxa" w:w="2080"/>
            <w:shd w:fill="EEF3F3" w:val="clear"/>
            <w:tcMar>
              <w:top w:type="dxa" w:w="60"/>
              <w:left w:type="dxa" w:w="100"/>
              <w:bottom w:type="dxa" w:w="60"/>
              <w:right w:type="dxa" w:w="100"/>
            </w:tcMar>
          </w:tcPr>
          <w:p>
            <w:pPr>
              <w:jc w:val="right"/>
            </w:pPr>
            <w:r>
              <w:rPr>
                <w:b/>
                <w:bCs/>
                <w:sz w:val="18"/>
                <w:szCs w:val="18"/>
              </w:rPr>
              <w:t xml:space="preserve">Federated</w:t>
            </w:r>
          </w:p>
        </w:tc>
        <w:tc>
          <w:tcPr>
            <w:tcW w:type="dxa" w:w="2080"/>
            <w:shd w:fill="EEF3F3" w:val="clear"/>
            <w:tcMar>
              <w:top w:type="dxa" w:w="60"/>
              <w:left w:type="dxa" w:w="100"/>
              <w:bottom w:type="dxa" w:w="60"/>
              <w:right w:type="dxa" w:w="100"/>
            </w:tcMar>
          </w:tcPr>
          <w:p>
            <w:pPr>
              <w:jc w:val="right"/>
            </w:pPr>
            <w:r>
              <w:rPr>
                <w:b/>
                <w:bCs/>
                <w:sz w:val="18"/>
                <w:szCs w:val="18"/>
              </w:rPr>
              <w:t xml:space="preserve">Cross-node spatial</w:t>
            </w:r>
          </w:p>
        </w:tc>
      </w:tr>
      <w:tr>
        <w:tc>
          <w:tcPr>
            <w:tcW w:type="dxa" w:w="5200"/>
            <w:tcMar>
              <w:top w:type="dxa" w:w="60"/>
              <w:left w:type="dxa" w:w="100"/>
              <w:bottom w:type="dxa" w:w="60"/>
              <w:right w:type="dxa" w:w="100"/>
            </w:tcMar>
          </w:tcPr>
          <w:p>
            <w:pPr>
              <w:jc w:val="left"/>
            </w:pPr>
            <w:r>
              <w:rPr>
                <w:b w:val="false"/>
                <w:bCs w:val="false"/>
                <w:sz w:val="18"/>
                <w:szCs w:val="18"/>
              </w:rPr>
              <w:t xml:space="preserve">Khan et al. (2024); van Dreven et al. (2026)</w:t>
            </w:r>
          </w:p>
        </w:tc>
        <w:tc>
          <w:tcPr>
            <w:tcW w:type="dxa" w:w="208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w:t>
            </w:r>
          </w:p>
        </w:tc>
        <w:tc>
          <w:tcPr>
            <w:tcW w:type="dxa" w:w="208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No</w:t>
            </w:r>
          </w:p>
        </w:tc>
      </w:tr>
      <w:tr>
        <w:tc>
          <w:tcPr>
            <w:tcW w:type="dxa" w:w="5200"/>
            <w:tcMar>
              <w:top w:type="dxa" w:w="60"/>
              <w:left w:type="dxa" w:w="100"/>
              <w:bottom w:type="dxa" w:w="60"/>
              <w:right w:type="dxa" w:w="100"/>
            </w:tcMar>
          </w:tcPr>
          <w:p>
            <w:pPr>
              <w:jc w:val="left"/>
            </w:pPr>
            <w:r>
              <w:rPr>
                <w:b w:val="false"/>
                <w:bCs w:val="false"/>
                <w:sz w:val="18"/>
                <w:szCs w:val="18"/>
              </w:rPr>
              <w:t xml:space="preserve">Lin (2022); Ferrer-Cid (2022); Hammad (2026)</w:t>
            </w:r>
          </w:p>
        </w:tc>
        <w:tc>
          <w:tcPr>
            <w:tcW w:type="dxa" w:w="208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No</w:t>
            </w:r>
          </w:p>
        </w:tc>
        <w:tc>
          <w:tcPr>
            <w:tcW w:type="dxa" w:w="208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w:t>
            </w:r>
          </w:p>
        </w:tc>
      </w:tr>
      <w:tr>
        <w:tc>
          <w:tcPr>
            <w:tcW w:type="dxa" w:w="5200"/>
            <w:tcMar>
              <w:top w:type="dxa" w:w="60"/>
              <w:left w:type="dxa" w:w="100"/>
              <w:bottom w:type="dxa" w:w="60"/>
              <w:right w:type="dxa" w:w="100"/>
            </w:tcMar>
          </w:tcPr>
          <w:p>
            <w:pPr>
              <w:jc w:val="left"/>
            </w:pPr>
            <w:r>
              <w:rPr>
                <w:b w:val="false"/>
                <w:bCs w:val="false"/>
                <w:sz w:val="18"/>
                <w:szCs w:val="18"/>
              </w:rPr>
              <w:t xml:space="preserve">This project</w:t>
            </w:r>
          </w:p>
        </w:tc>
        <w:tc>
          <w:tcPr>
            <w:tcW w:type="dxa" w:w="208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w:t>
            </w:r>
          </w:p>
        </w:tc>
        <w:tc>
          <w:tcPr>
            <w:tcW w:type="dxa" w:w="208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w:t>
            </w:r>
          </w:p>
        </w:tc>
      </w:tr>
    </w:tbl>
    <w:p>
      <w:pPr>
        <w:spacing w:after="160"/>
      </w:pPr>
    </w:p>
    <w:p>
      <w:pPr>
        <w:spacing w:after="120"/>
      </w:pPr>
      <w:r>
        <w:t xml:space="preserve">Nobody had combined the two. Ferrer-Cid et al. is the direct precedent for the decision layer used here, but it requires raw neighbour data. The contribution of this project is replacing that with compressed embeddings, so the comparison still happens while raw readings never leave the station. Whether compression destroys the signal was the single largest open risk in the design contract. It does not — see Section 6.</w:t>
      </w:r>
    </w:p>
    <w:p>
      <w:r>
        <w:br w:type="page"/>
      </w:r>
    </w:p>
    <w:p>
      <w:pPr>
        <w:pStyle w:val="Heading1"/>
        <w:spacing w:after="160" w:before="360"/>
      </w:pPr>
      <w:bookmarkStart w:name="_Toc8" w:id="8"/>
      <w:r>
        <w:t xml:space="preserve">2. Architecture</w:t>
      </w:r>
      <w:bookmarkEnd w:id="8"/>
    </w:p>
    <w:p>
      <w:pPr>
        <w:pStyle w:val="Heading2"/>
        <w:spacing w:after="120" w:before="280"/>
      </w:pPr>
      <w:bookmarkStart w:name="_Toc9" w:id="9"/>
      <w:r>
        <w:t xml:space="preserve">2.1 Node tier</w:t>
      </w:r>
      <w:bookmarkEnd w:id="9"/>
    </w:p>
    <w:p>
      <w:pPr>
        <w:spacing w:after="120"/>
      </w:pPr>
      <w:r>
        <w:t xml:space="preserve">Each station is treated as an edge node holding its own data. It takes a 24-hour window of pollutant and meteorological features, runs a GRU encoder–decoder forecasting 1, 3 and 6 hours ahead, and produces three things: a forecast, an encoder hidden state, and a residual that never leaves the node.</w:t>
      </w:r>
    </w:p>
    <w:p>
      <w:pPr>
        <w:pStyle w:val="Heading2"/>
        <w:spacing w:after="120" w:before="280"/>
      </w:pPr>
      <w:bookmarkStart w:name="_Toc10" w:id="10"/>
      <w:r>
        <w:t xml:space="preserve">2.2 The privacy contract</w:t>
      </w:r>
      <w:bookmarkEnd w:id="10"/>
    </w:p>
    <w:p>
      <w:pPr>
        <w:spacing w:after="120"/>
      </w:pPr>
      <w:r>
        <w:t xml:space="preserve">This is the project's entire claim, so it is enforced in code rather than by convention. A configuration file lists what may leave a node, and a guard asserts it on every upload, every round — a check that only runs in tests is not a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EEF3F3" w:val="clear"/>
            <w:tcMar>
              <w:top w:type="dxa" w:w="60"/>
              <w:left w:type="dxa" w:w="100"/>
              <w:bottom w:type="dxa" w:w="60"/>
              <w:right w:type="dxa" w:w="100"/>
            </w:tcMar>
          </w:tcPr>
          <w:p>
            <w:pPr>
              <w:jc w:val="left"/>
            </w:pPr>
            <w:r>
              <w:rPr>
                <w:b/>
                <w:bCs/>
                <w:sz w:val="18"/>
                <w:szCs w:val="18"/>
              </w:rPr>
              <w:t xml:space="preserve">Field</w:t>
            </w:r>
          </w:p>
        </w:tc>
        <w:tc>
          <w:tcPr>
            <w:tcW w:type="dxa" w:w="6160"/>
            <w:shd w:fill="EEF3F3" w:val="clear"/>
            <w:tcMar>
              <w:top w:type="dxa" w:w="60"/>
              <w:left w:type="dxa" w:w="100"/>
              <w:bottom w:type="dxa" w:w="60"/>
              <w:right w:type="dxa" w:w="100"/>
            </w:tcMar>
          </w:tcPr>
          <w:p>
            <w:pPr>
              <w:jc w:val="right"/>
            </w:pPr>
            <w:r>
              <w:rPr>
                <w:b/>
                <w:bCs/>
                <w:sz w:val="18"/>
                <w:szCs w:val="18"/>
              </w:rPr>
              <w:t xml:space="preserve">What it is</w:t>
            </w:r>
          </w:p>
        </w:tc>
      </w:tr>
      <w:tr>
        <w:tc>
          <w:tcPr>
            <w:tcW w:type="dxa" w:w="3200"/>
            <w:tcMar>
              <w:top w:type="dxa" w:w="60"/>
              <w:left w:type="dxa" w:w="100"/>
              <w:bottom w:type="dxa" w:w="60"/>
              <w:right w:type="dxa" w:w="100"/>
            </w:tcMar>
          </w:tcPr>
          <w:p>
            <w:pPr>
              <w:jc w:val="left"/>
            </w:pPr>
            <w:r>
              <w:rPr>
                <w:b w:val="false"/>
                <w:bCs w:val="false"/>
                <w:sz w:val="18"/>
                <w:szCs w:val="18"/>
              </w:rPr>
              <w:t xml:space="preserve">gru_weight_update</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Model weights, for federated averaging</w:t>
            </w:r>
          </w:p>
        </w:tc>
      </w:tr>
      <w:tr>
        <w:tc>
          <w:tcPr>
            <w:tcW w:type="dxa" w:w="3200"/>
            <w:tcMar>
              <w:top w:type="dxa" w:w="60"/>
              <w:left w:type="dxa" w:w="100"/>
              <w:bottom w:type="dxa" w:w="60"/>
              <w:right w:type="dxa" w:w="100"/>
            </w:tcMar>
          </w:tcPr>
          <w:p>
            <w:pPr>
              <w:jc w:val="left"/>
            </w:pPr>
            <w:r>
              <w:rPr>
                <w:b w:val="false"/>
                <w:bCs w:val="false"/>
                <w:sz w:val="18"/>
                <w:szCs w:val="18"/>
              </w:rPr>
              <w:t xml:space="preserve">encoder_hidden_state</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Compressed window encoding for the server graph</w:t>
            </w:r>
          </w:p>
        </w:tc>
      </w:tr>
      <w:tr>
        <w:tc>
          <w:tcPr>
            <w:tcW w:type="dxa" w:w="3200"/>
            <w:tcMar>
              <w:top w:type="dxa" w:w="60"/>
              <w:left w:type="dxa" w:w="100"/>
              <w:bottom w:type="dxa" w:w="60"/>
              <w:right w:type="dxa" w:w="100"/>
            </w:tcMar>
          </w:tcPr>
          <w:p>
            <w:pPr>
              <w:jc w:val="left"/>
            </w:pPr>
            <w:r>
              <w:rPr>
                <w:b w:val="false"/>
                <w:bCs w:val="false"/>
                <w:sz w:val="18"/>
                <w:szCs w:val="18"/>
              </w:rPr>
              <w:t xml:space="preserve">n_samples</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A scalar count, for reporting only</w:t>
            </w:r>
          </w:p>
        </w:tc>
      </w:tr>
      <w:tr>
        <w:tc>
          <w:tcPr>
            <w:tcW w:type="dxa" w:w="3200"/>
            <w:tcMar>
              <w:top w:type="dxa" w:w="60"/>
              <w:left w:type="dxa" w:w="100"/>
              <w:bottom w:type="dxa" w:w="60"/>
              <w:right w:type="dxa" w:w="100"/>
            </w:tcMar>
          </w:tcPr>
          <w:p>
            <w:pPr>
              <w:jc w:val="left"/>
            </w:pPr>
            <w:r>
              <w:rPr>
                <w:b w:val="false"/>
                <w:bCs w:val="false"/>
                <w:sz w:val="18"/>
                <w:szCs w:val="18"/>
              </w:rPr>
              <w:t xml:space="preserve">level_bucket</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A 5-level ordinal added 2026-10-13 (Section 7)</w:t>
            </w:r>
          </w:p>
        </w:tc>
      </w:tr>
    </w:tbl>
    <w:p>
      <w:pPr>
        <w:spacing w:after="160"/>
      </w:pPr>
    </w:p>
    <w:p>
      <w:pPr>
        <w:spacing w:after="120"/>
      </w:pPr>
      <w:r>
        <w:t xml:space="preserve">Never permitted: raw readings, local normalization statistics, validity flags, or station coordinates. The subtle one is the scaler — a station's mean and standard deviation summarise its raw distribution, so shipping them would be a disclosure dressed as a preprocessing detail. The guard that detects them is deliberately over-eager, because a false positive costs a developer thirty seconds while a false negative silently voids the project's claim.</w:t>
      </w:r>
    </w:p>
    <w:p>
      <w:pPr>
        <w:pStyle w:val="Heading2"/>
        <w:spacing w:after="120" w:before="280"/>
      </w:pPr>
      <w:bookmarkStart w:name="_Toc11" w:id="11"/>
      <w:r>
        <w:t xml:space="preserve">2.3 Server tier</w:t>
      </w:r>
      <w:bookmarkEnd w:id="11"/>
    </w:p>
    <w:p>
      <w:pPr>
        <w:spacing w:after="120"/>
      </w:pPr>
      <w:r>
        <w:t xml:space="preserve">The server averages node weights each round, runs a graph network over uploaded hidden states only, and returns embeddings to each node. One simplification is stated rather than buried: gradients do not cross the server boundary. The architectural base (Meng et al., 2021) backpropagates through the server graph into the node encoders; here the graph trains on its own objective and the node treats the embedding as a fixed input. That is weaker, and it is the honest description of what is implemented.</w:t>
      </w:r>
    </w:p>
    <w:p>
      <w:pPr>
        <w:pStyle w:val="Heading2"/>
        <w:spacing w:after="120" w:before="280"/>
      </w:pPr>
      <w:bookmarkStart w:name="_Toc12" w:id="12"/>
      <w:r>
        <w:t xml:space="preserve">2.4 Decision layer — the actual contribution</w:t>
      </w:r>
      <w:bookmarkEnd w:id="12"/>
    </w:p>
    <w:p>
      <w:pPr>
        <w:shd w:fill="F2F5F5" w:val="clear"/>
        <w:spacing w:after="60"/>
      </w:pPr>
      <w:r>
        <w:rPr>
          <w:rFonts w:ascii="Consolas" w:cs="Consolas" w:eastAsia="Consolas" w:hAnsi="Consolas"/>
          <w:sz w:val="18"/>
          <w:szCs w:val="18"/>
        </w:rPr>
        <w:t xml:space="preserve">if residual &lt;= threshold:                      -&gt; trustworthy (baseline)</w:t>
      </w:r>
    </w:p>
    <w:p>
      <w:pPr>
        <w:shd w:fill="F2F5F5" w:val="clear"/>
        <w:spacing w:after="60"/>
      </w:pPr>
      <w:r>
        <w:rPr>
          <w:rFonts w:ascii="Consolas" w:cs="Consolas" w:eastAsia="Consolas" w:hAnsi="Consolas"/>
          <w:sz w:val="18"/>
          <w:szCs w:val="18"/>
        </w:rPr>
        <w:t xml:space="preserve">elif spatial_agreement(embedding, neighbours):  -&gt; trustworthy (real event)</w:t>
      </w:r>
    </w:p>
    <w:p>
      <w:pPr>
        <w:shd w:fill="F2F5F5" w:val="clear"/>
        <w:spacing w:after="60"/>
      </w:pPr>
      <w:r>
        <w:rPr>
          <w:rFonts w:ascii="Consolas" w:cs="Consolas" w:eastAsia="Consolas" w:hAnsi="Consolas"/>
          <w:sz w:val="18"/>
          <w:szCs w:val="18"/>
        </w:rPr>
        <w:t xml:space="preserve">else:                                          -&gt; sensor fault</w:t>
      </w:r>
    </w:p>
    <w:p>
      <w:pPr>
        <w:spacing w:after="160"/>
      </w:pPr>
    </w:p>
    <w:p>
      <w:pPr>
        <w:spacing w:after="120"/>
      </w:pPr>
      <w:r>
        <w:t xml:space="preserve">Spatial agreement is computed server-side from embeddings alone. This single function is what replaces the raw-neighbour-data approach of prior work, and it is where the novelty sits. In practice the layer runs four detectors at different timescales, because no single test catches every fault type: an instantaneous residual, an accumulated residual, a low-variance test for frozen sensors, and spatial disagreement. Each is calibrated against its own false-positive budget, so by the union bound the combined rate stays under target no matter how many run.</w:t>
      </w:r>
    </w:p>
    <w:p>
      <w:r>
        <w:br w:type="page"/>
      </w:r>
    </w:p>
    <w:p>
      <w:pPr>
        <w:pStyle w:val="Heading1"/>
        <w:spacing w:after="160" w:before="360"/>
      </w:pPr>
      <w:bookmarkStart w:name="_Toc13" w:id="13"/>
      <w:r>
        <w:t xml:space="preserve">3. The Dataset, and the Discovery That Reshaped the Project</w:t>
      </w:r>
      <w:bookmarkEnd w:id="13"/>
    </w:p>
    <w:p>
      <w:pPr>
        <w:pStyle w:val="Heading2"/>
        <w:spacing w:after="120" w:before="280"/>
      </w:pPr>
      <w:bookmarkStart w:name="_Toc14" w:id="14"/>
      <w:r>
        <w:t xml:space="preserve">3.1 Source</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EEF3F3" w:val="clear"/>
            <w:tcMar>
              <w:top w:type="dxa" w:w="60"/>
              <w:left w:type="dxa" w:w="100"/>
              <w:bottom w:type="dxa" w:w="60"/>
              <w:right w:type="dxa" w:w="100"/>
            </w:tcMar>
          </w:tcPr>
          <w:p>
            <w:pPr>
              <w:jc w:val="left"/>
            </w:pPr>
            <w:r>
              <w:rPr>
                <w:b/>
                <w:bCs/>
                <w:sz w:val="18"/>
                <w:szCs w:val="18"/>
              </w:rPr>
              <w:t xml:space="preserve">Property</w:t>
            </w:r>
          </w:p>
        </w:tc>
        <w:tc>
          <w:tcPr>
            <w:tcW w:type="dxa" w:w="6160"/>
            <w:shd w:fill="EEF3F3" w:val="clear"/>
            <w:tcMar>
              <w:top w:type="dxa" w:w="60"/>
              <w:left w:type="dxa" w:w="100"/>
              <w:bottom w:type="dxa" w:w="60"/>
              <w:right w:type="dxa" w:w="100"/>
            </w:tcMar>
          </w:tcPr>
          <w:p>
            <w:pPr>
              <w:jc w:val="right"/>
            </w:pPr>
            <w:r>
              <w:rPr>
                <w:b/>
                <w:bCs/>
                <w:sz w:val="18"/>
                <w:szCs w:val="18"/>
              </w:rPr>
              <w:t xml:space="preserve">Value</w:t>
            </w:r>
          </w:p>
        </w:tc>
      </w:tr>
      <w:tr>
        <w:tc>
          <w:tcPr>
            <w:tcW w:type="dxa" w:w="3200"/>
            <w:tcMar>
              <w:top w:type="dxa" w:w="60"/>
              <w:left w:type="dxa" w:w="100"/>
              <w:bottom w:type="dxa" w:w="60"/>
              <w:right w:type="dxa" w:w="100"/>
            </w:tcMar>
          </w:tcPr>
          <w:p>
            <w:pPr>
              <w:jc w:val="left"/>
            </w:pPr>
            <w:r>
              <w:rPr>
                <w:b w:val="false"/>
                <w:bCs w:val="false"/>
                <w:sz w:val="18"/>
                <w:szCs w:val="18"/>
              </w:rPr>
              <w:t xml:space="preserve">Source</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EEA Air Quality e-Reporting, E1a verified only</w:t>
            </w:r>
          </w:p>
        </w:tc>
      </w:tr>
      <w:tr>
        <w:tc>
          <w:tcPr>
            <w:tcW w:type="dxa" w:w="3200"/>
            <w:tcMar>
              <w:top w:type="dxa" w:w="60"/>
              <w:left w:type="dxa" w:w="100"/>
              <w:bottom w:type="dxa" w:w="60"/>
              <w:right w:type="dxa" w:w="100"/>
            </w:tcMar>
          </w:tcPr>
          <w:p>
            <w:pPr>
              <w:jc w:val="left"/>
            </w:pPr>
            <w:r>
              <w:rPr>
                <w:b w:val="false"/>
                <w:bCs w:val="false"/>
                <w:sz w:val="18"/>
                <w:szCs w:val="18"/>
              </w:rPr>
              <w:t xml:space="preserve">Region</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Catalonia</w:t>
            </w:r>
          </w:p>
        </w:tc>
      </w:tr>
      <w:tr>
        <w:tc>
          <w:tcPr>
            <w:tcW w:type="dxa" w:w="3200"/>
            <w:tcMar>
              <w:top w:type="dxa" w:w="60"/>
              <w:left w:type="dxa" w:w="100"/>
              <w:bottom w:type="dxa" w:w="60"/>
              <w:right w:type="dxa" w:w="100"/>
            </w:tcMar>
          </w:tcPr>
          <w:p>
            <w:pPr>
              <w:jc w:val="left"/>
            </w:pPr>
            <w:r>
              <w:rPr>
                <w:b w:val="false"/>
                <w:bCs w:val="false"/>
                <w:sz w:val="18"/>
                <w:szCs w:val="18"/>
              </w:rPr>
              <w:t xml:space="preserve">Stations available</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71 reporting NO2</w:t>
            </w:r>
          </w:p>
        </w:tc>
      </w:tr>
      <w:tr>
        <w:tc>
          <w:tcPr>
            <w:tcW w:type="dxa" w:w="3200"/>
            <w:tcMar>
              <w:top w:type="dxa" w:w="60"/>
              <w:left w:type="dxa" w:w="100"/>
              <w:bottom w:type="dxa" w:w="60"/>
              <w:right w:type="dxa" w:w="100"/>
            </w:tcMar>
          </w:tcPr>
          <w:p>
            <w:pPr>
              <w:jc w:val="left"/>
            </w:pPr>
            <w:r>
              <w:rPr>
                <w:b w:val="false"/>
                <w:bCs w:val="false"/>
                <w:sz w:val="18"/>
                <w:szCs w:val="18"/>
              </w:rPr>
              <w:t xml:space="preserve">Stations preprocessed</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69</w:t>
            </w:r>
          </w:p>
        </w:tc>
      </w:tr>
      <w:tr>
        <w:tc>
          <w:tcPr>
            <w:tcW w:type="dxa" w:w="3200"/>
            <w:tcMar>
              <w:top w:type="dxa" w:w="60"/>
              <w:left w:type="dxa" w:w="100"/>
              <w:bottom w:type="dxa" w:w="60"/>
              <w:right w:type="dxa" w:w="100"/>
            </w:tcMar>
          </w:tcPr>
          <w:p>
            <w:pPr>
              <w:jc w:val="left"/>
            </w:pPr>
            <w:r>
              <w:rPr>
                <w:b w:val="false"/>
                <w:bCs w:val="false"/>
                <w:sz w:val="18"/>
                <w:szCs w:val="18"/>
              </w:rPr>
              <w:t xml:space="preserve">Period</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2017-2024</w:t>
            </w:r>
          </w:p>
        </w:tc>
      </w:tr>
      <w:tr>
        <w:tc>
          <w:tcPr>
            <w:tcW w:type="dxa" w:w="3200"/>
            <w:tcMar>
              <w:top w:type="dxa" w:w="60"/>
              <w:left w:type="dxa" w:w="100"/>
              <w:bottom w:type="dxa" w:w="60"/>
              <w:right w:type="dxa" w:w="100"/>
            </w:tcMar>
          </w:tcPr>
          <w:p>
            <w:pPr>
              <w:jc w:val="left"/>
            </w:pPr>
            <w:r>
              <w:rPr>
                <w:b w:val="false"/>
                <w:bCs w:val="false"/>
                <w:sz w:val="18"/>
                <w:szCs w:val="18"/>
              </w:rPr>
              <w:t xml:space="preserve">Target pollutant</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NO2</w:t>
            </w:r>
          </w:p>
        </w:tc>
      </w:tr>
      <w:tr>
        <w:tc>
          <w:tcPr>
            <w:tcW w:type="dxa" w:w="3200"/>
            <w:tcMar>
              <w:top w:type="dxa" w:w="60"/>
              <w:left w:type="dxa" w:w="100"/>
              <w:bottom w:type="dxa" w:w="60"/>
              <w:right w:type="dxa" w:w="100"/>
            </w:tcMar>
          </w:tcPr>
          <w:p>
            <w:pPr>
              <w:jc w:val="left"/>
            </w:pPr>
            <w:r>
              <w:rPr>
                <w:b w:val="false"/>
                <w:bCs w:val="false"/>
                <w:sz w:val="18"/>
                <w:szCs w:val="18"/>
              </w:rPr>
              <w:t xml:space="preserve">Measured fault rate</w:t>
            </w:r>
          </w:p>
        </w:tc>
        <w:tc>
          <w:tcPr>
            <w:tcW w:type="dxa" w:w="6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2.805%</w:t>
            </w:r>
          </w:p>
        </w:tc>
      </w:tr>
    </w:tbl>
    <w:p>
      <w:pPr>
        <w:spacing w:after="160"/>
      </w:pPr>
    </w:p>
    <w:p>
      <w:pPr>
        <w:spacing w:after="120"/>
      </w:pPr>
      <w:r>
        <w:t xml:space="preserve">Meteorology is not present in the EEA data and is fetched separately from the ERA5 reanalysis archive at each station's registry coordinates — seven variables per station.</w:t>
      </w:r>
    </w:p>
    <w:p>
      <w:pPr>
        <w:pStyle w:val="Heading2"/>
        <w:spacing w:after="120" w:before="280"/>
      </w:pPr>
      <w:bookmarkStart w:name="_Toc15" w:id="15"/>
      <w:r>
        <w:t xml:space="preserve">3.2 The finding that broke the original plan</w:t>
      </w:r>
      <w:bookmarkEnd w:id="15"/>
    </w:p>
    <w:p>
      <w:pPr>
        <w:spacing w:after="120"/>
      </w:pPr>
      <w:r>
        <w:t xml:space="preserve">The project was designed around EEA's Validity flags as ground truth. Codes −1 and −99 mark readings an operator invalidated, which would be far stronger evidence than anything synthetic. The design contract asserted that the concentration value survives a negative Validity flag — that you get the wrong reading and the label saying it is wrong.</w:t>
      </w:r>
    </w:p>
    <w:p>
      <w:pPr>
        <w:pBdr>
          <w:left w:val="single" w:color="0C6D6D" w:sz="12" w:space="8"/>
        </w:pBdr>
        <w:spacing w:after="160"/>
        <w:ind w:left="180"/>
      </w:pPr>
      <w:r>
        <w:rPr>
          <w:i/>
          <w:iCs/>
          <w:color w:val="5A6D6C"/>
          <w:sz w:val="20"/>
          <w:szCs w:val="20"/>
        </w:rPr>
        <w:t xml:space="preserve">That is false. Across the entire Catalonia delivery 2017-2024, all 27,783 Validity-flagged rows carry exactly -999.0, the no-data sentinel. The relation is biconditional: every sentinel is a fault, every fault is a sentinel.</w:t>
      </w:r>
    </w:p>
    <w:p>
      <w:pPr>
        <w:spacing w:after="120"/>
      </w:pPr>
      <w:r>
        <w:t xml:space="preserve">Whatever the instrument actually reported was replaced during verification. A wrong number and a total outage are indistinguishable afterwards. Those rows are imputed by the pipeline and excluded from anomaly scoring, which leaves zero of 7,106 fault targets evaluable. The project's primary ground truth contained nothing to measure.</w:t>
      </w:r>
    </w:p>
    <w:p>
      <w:pPr>
        <w:pStyle w:val="Heading2"/>
        <w:spacing w:after="120" w:before="280"/>
      </w:pPr>
      <w:bookmarkStart w:name="_Toc16" w:id="16"/>
      <w:r>
        <w:t xml:space="preserve">3.3 What replaced it, and what that costs</w:t>
      </w:r>
      <w:bookmarkEnd w:id="16"/>
    </w:p>
    <w:p>
      <w:pPr>
        <w:spacing w:after="120"/>
      </w:pPr>
      <w:r>
        <w:t xml:space="preserve">Rate-matched synthetic injection became the primary ground truth, with three constraints that keep it from being an arbitrary simulation. The injection rate is the measured real rate of 2.805% rather than a default, because an arbitrary rate lets the model learn "region X is likelier to be faulty" as a shortcut instead of learning fault signatures. Episode durations are sampled from the real Validity episode-duration distribution, because the flags genuinely record when instruments failed and for how long — only the corrupted value itself is synthesised. And the label source stays marked synthetic, never blended with real.</w:t>
      </w:r>
    </w:p>
    <w:p>
      <w:pPr>
        <w:spacing w:after="120"/>
      </w:pPr>
      <w:r>
        <w:t xml:space="preserve">The cost, stated plainly: the headline becomes "evaluated on realistic synthetic faults", which is weaker than real labels would have been. Section 8 describes the small real-fault experiment that partially addresses this.</w:t>
      </w:r>
    </w:p>
    <w:p>
      <w:pPr>
        <w:pStyle w:val="Heading2"/>
        <w:spacing w:after="120" w:before="280"/>
      </w:pPr>
      <w:bookmarkStart w:name="_Toc17" w:id="17"/>
      <w:r>
        <w:t xml:space="preserve">3.4 Six fault types, and why one number hides everything</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tblHeader/>
        </w:trPr>
        <w:tc>
          <w:tcPr>
            <w:tcW w:type="dxa" w:w="1800"/>
            <w:shd w:fill="EEF3F3" w:val="clear"/>
            <w:tcMar>
              <w:top w:type="dxa" w:w="60"/>
              <w:left w:type="dxa" w:w="100"/>
              <w:bottom w:type="dxa" w:w="60"/>
              <w:right w:type="dxa" w:w="100"/>
            </w:tcMar>
          </w:tcPr>
          <w:p>
            <w:pPr>
              <w:jc w:val="left"/>
            </w:pPr>
            <w:r>
              <w:rPr>
                <w:b/>
                <w:bCs/>
                <w:sz w:val="18"/>
                <w:szCs w:val="18"/>
              </w:rPr>
              <w:t xml:space="preserve">Type</w:t>
            </w:r>
          </w:p>
        </w:tc>
        <w:tc>
          <w:tcPr>
            <w:tcW w:type="dxa" w:w="4400"/>
            <w:shd w:fill="EEF3F3" w:val="clear"/>
            <w:tcMar>
              <w:top w:type="dxa" w:w="60"/>
              <w:left w:type="dxa" w:w="100"/>
              <w:bottom w:type="dxa" w:w="60"/>
              <w:right w:type="dxa" w:w="100"/>
            </w:tcMar>
          </w:tcPr>
          <w:p>
            <w:pPr>
              <w:jc w:val="right"/>
            </w:pPr>
            <w:r>
              <w:rPr>
                <w:b/>
                <w:bCs/>
                <w:sz w:val="18"/>
                <w:szCs w:val="18"/>
              </w:rPr>
              <w:t xml:space="preserve">Signature</w:t>
            </w:r>
          </w:p>
        </w:tc>
        <w:tc>
          <w:tcPr>
            <w:tcW w:type="dxa" w:w="3160"/>
            <w:shd w:fill="EEF3F3" w:val="clear"/>
            <w:tcMar>
              <w:top w:type="dxa" w:w="60"/>
              <w:left w:type="dxa" w:w="100"/>
              <w:bottom w:type="dxa" w:w="60"/>
              <w:right w:type="dxa" w:w="100"/>
            </w:tcMar>
          </w:tcPr>
          <w:p>
            <w:pPr>
              <w:jc w:val="right"/>
            </w:pPr>
            <w:r>
              <w:rPr>
                <w:b/>
                <w:bCs/>
                <w:sz w:val="18"/>
                <w:szCs w:val="18"/>
              </w:rPr>
              <w:t xml:space="preserve">Difficulty</w:t>
            </w:r>
          </w:p>
        </w:tc>
      </w:tr>
      <w:tr>
        <w:tc>
          <w:tcPr>
            <w:tcW w:type="dxa" w:w="1800"/>
            <w:tcMar>
              <w:top w:type="dxa" w:w="60"/>
              <w:left w:type="dxa" w:w="100"/>
              <w:bottom w:type="dxa" w:w="60"/>
              <w:right w:type="dxa" w:w="100"/>
            </w:tcMar>
          </w:tcPr>
          <w:p>
            <w:pPr>
              <w:jc w:val="left"/>
            </w:pPr>
            <w:r>
              <w:rPr>
                <w:b w:val="false"/>
                <w:bCs w:val="false"/>
                <w:sz w:val="18"/>
                <w:szCs w:val="18"/>
              </w:rPr>
              <w:t xml:space="preserve">spike</w:t>
            </w:r>
          </w:p>
        </w:tc>
        <w:tc>
          <w:tcPr>
            <w:tcW w:type="dxa" w:w="44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Brief extreme excursion</w:t>
            </w:r>
          </w:p>
        </w:tc>
        <w:tc>
          <w:tcPr>
            <w:tcW w:type="dxa" w:w="3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Easiest</w:t>
            </w:r>
          </w:p>
        </w:tc>
      </w:tr>
      <w:tr>
        <w:tc>
          <w:tcPr>
            <w:tcW w:type="dxa" w:w="1800"/>
            <w:tcMar>
              <w:top w:type="dxa" w:w="60"/>
              <w:left w:type="dxa" w:w="100"/>
              <w:bottom w:type="dxa" w:w="60"/>
              <w:right w:type="dxa" w:w="100"/>
            </w:tcMar>
          </w:tcPr>
          <w:p>
            <w:pPr>
              <w:jc w:val="left"/>
            </w:pPr>
            <w:r>
              <w:rPr>
                <w:b w:val="false"/>
                <w:bCs w:val="false"/>
                <w:sz w:val="18"/>
                <w:szCs w:val="18"/>
              </w:rPr>
              <w:t xml:space="preserve">noise</w:t>
            </w:r>
          </w:p>
        </w:tc>
        <w:tc>
          <w:tcPr>
            <w:tcW w:type="dxa" w:w="44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Inflated variance</w:t>
            </w:r>
          </w:p>
        </w:tc>
        <w:tc>
          <w:tcPr>
            <w:tcW w:type="dxa" w:w="3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Moderate</w:t>
            </w:r>
          </w:p>
        </w:tc>
      </w:tr>
      <w:tr>
        <w:tc>
          <w:tcPr>
            <w:tcW w:type="dxa" w:w="1800"/>
            <w:tcMar>
              <w:top w:type="dxa" w:w="60"/>
              <w:left w:type="dxa" w:w="100"/>
              <w:bottom w:type="dxa" w:w="60"/>
              <w:right w:type="dxa" w:w="100"/>
            </w:tcMar>
          </w:tcPr>
          <w:p>
            <w:pPr>
              <w:jc w:val="left"/>
            </w:pPr>
            <w:r>
              <w:rPr>
                <w:b w:val="false"/>
                <w:bCs w:val="false"/>
                <w:sz w:val="18"/>
                <w:szCs w:val="18"/>
              </w:rPr>
              <w:t xml:space="preserve">dropout</w:t>
            </w:r>
          </w:p>
        </w:tc>
        <w:tc>
          <w:tcPr>
            <w:tcW w:type="dxa" w:w="44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Value collapse</w:t>
            </w:r>
          </w:p>
        </w:tc>
        <w:tc>
          <w:tcPr>
            <w:tcW w:type="dxa" w:w="3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Hard locally</w:t>
            </w:r>
          </w:p>
        </w:tc>
      </w:tr>
      <w:tr>
        <w:tc>
          <w:tcPr>
            <w:tcW w:type="dxa" w:w="1800"/>
            <w:tcMar>
              <w:top w:type="dxa" w:w="60"/>
              <w:left w:type="dxa" w:w="100"/>
              <w:bottom w:type="dxa" w:w="60"/>
              <w:right w:type="dxa" w:w="100"/>
            </w:tcMar>
          </w:tcPr>
          <w:p>
            <w:pPr>
              <w:jc w:val="left"/>
            </w:pPr>
            <w:r>
              <w:rPr>
                <w:b w:val="false"/>
                <w:bCs w:val="false"/>
                <w:sz w:val="18"/>
                <w:szCs w:val="18"/>
              </w:rPr>
              <w:t xml:space="preserve">stuck_at</w:t>
            </w:r>
          </w:p>
        </w:tc>
        <w:tc>
          <w:tcPr>
            <w:tcW w:type="dxa" w:w="44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Frozen at last reading</w:t>
            </w:r>
          </w:p>
        </w:tc>
        <w:tc>
          <w:tcPr>
            <w:tcW w:type="dxa" w:w="3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Invisible locally</w:t>
            </w:r>
          </w:p>
        </w:tc>
      </w:tr>
      <w:tr>
        <w:tc>
          <w:tcPr>
            <w:tcW w:type="dxa" w:w="1800"/>
            <w:tcMar>
              <w:top w:type="dxa" w:w="60"/>
              <w:left w:type="dxa" w:w="100"/>
              <w:bottom w:type="dxa" w:w="60"/>
              <w:right w:type="dxa" w:w="100"/>
            </w:tcMar>
          </w:tcPr>
          <w:p>
            <w:pPr>
              <w:jc w:val="left"/>
            </w:pPr>
            <w:r>
              <w:rPr>
                <w:b w:val="false"/>
                <w:bCs w:val="false"/>
                <w:sz w:val="18"/>
                <w:szCs w:val="18"/>
              </w:rPr>
              <w:t xml:space="preserve">bias</w:t>
            </w:r>
          </w:p>
        </w:tc>
        <w:tc>
          <w:tcPr>
            <w:tcW w:type="dxa" w:w="44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Constant offset</w:t>
            </w:r>
          </w:p>
        </w:tc>
        <w:tc>
          <w:tcPr>
            <w:tcW w:type="dxa" w:w="3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Very hard</w:t>
            </w:r>
          </w:p>
        </w:tc>
      </w:tr>
      <w:tr>
        <w:tc>
          <w:tcPr>
            <w:tcW w:type="dxa" w:w="1800"/>
            <w:tcMar>
              <w:top w:type="dxa" w:w="60"/>
              <w:left w:type="dxa" w:w="100"/>
              <w:bottom w:type="dxa" w:w="60"/>
              <w:right w:type="dxa" w:w="100"/>
            </w:tcMar>
          </w:tcPr>
          <w:p>
            <w:pPr>
              <w:jc w:val="left"/>
            </w:pPr>
            <w:r>
              <w:rPr>
                <w:b w:val="false"/>
                <w:bCs w:val="false"/>
                <w:sz w:val="18"/>
                <w:szCs w:val="18"/>
              </w:rPr>
              <w:t xml:space="preserve">drift</w:t>
            </w:r>
          </w:p>
        </w:tc>
        <w:tc>
          <w:tcPr>
            <w:tcW w:type="dxa" w:w="44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Slow calibration shift</w:t>
            </w:r>
          </w:p>
        </w:tc>
        <w:tc>
          <w:tcPr>
            <w:tcW w:type="dxa" w:w="3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Hardest</w:t>
            </w:r>
          </w:p>
        </w:tc>
      </w:tr>
    </w:tbl>
    <w:p>
      <w:pPr>
        <w:spacing w:after="160"/>
      </w:pPr>
    </w:p>
    <w:p>
      <w:pPr>
        <w:pBdr>
          <w:left w:val="single" w:color="0C6D6D" w:sz="12" w:space="8"/>
        </w:pBdr>
        <w:spacing w:after="160"/>
        <w:ind w:left="180"/>
      </w:pPr>
      <w:r>
        <w:rPr>
          <w:i/>
          <w:iCs/>
          <w:color w:val="5A6D6C"/>
          <w:sz w:val="20"/>
          <w:szCs w:val="20"/>
        </w:rPr>
        <w:t xml:space="preserve">The critical insight: a frozen or drifting sensor becomes EASIER to forecast, not harder. The residual that the entire decision layer rests on shrinks rather than grows. No amount of threshold tuning reaches a signal the residual never contained.</w:t>
      </w:r>
    </w:p>
    <w:p>
      <w:pPr>
        <w:pStyle w:val="Heading2"/>
        <w:spacing w:after="120" w:before="280"/>
      </w:pPr>
      <w:bookmarkStart w:name="_Toc18" w:id="18"/>
      <w:r>
        <w:t xml:space="preserve">3.5 The drift injector was wrong, twice</w:t>
      </w:r>
      <w:bookmarkEnd w:id="18"/>
    </w:p>
    <w:p>
      <w:pPr>
        <w:spacing w:after="120"/>
      </w:pPr>
      <w:r>
        <w:t xml:space="preserve">Real co-located sensors drift at roughly 0.01 standard deviations per 72 hours. The injector drew a fixed 0.8–2.5 sigma total per episode regardless of duration. That is two independent errors. It was about a hundred times too fast, so every drift number reported — including the zeros — was measured against a fault two orders of magnitude more obvious than reality, making the zeros optimistic. And it was backwards in duration: a fixed total spread over a longer episode is a slower drift, so the hardest cases were the gentlest the injector produced.</w:t>
      </w:r>
    </w:p>
    <w:p>
      <w:pPr>
        <w:spacing w:after="120"/>
      </w:pPr>
      <w:r>
        <w:t xml:space="preserve">Drift is now parameterised by rate, with the rate sampled log-uniformly across two decades. Log-uniform rather than uniform because uniform sampling puts half the episodes above 1 sigma per 72 hours and almost none near the real rate, which would leave the per-magnitude analysis silent about exactly the band that cannot be detected.</w:t>
      </w:r>
    </w:p>
    <w:p>
      <w:r>
        <w:br w:type="page"/>
      </w:r>
    </w:p>
    <w:p>
      <w:pPr>
        <w:pStyle w:val="Heading1"/>
        <w:spacing w:after="160" w:before="360"/>
      </w:pPr>
      <w:bookmarkStart w:name="_Toc19" w:id="19"/>
      <w:r>
        <w:t xml:space="preserve">4. Pipeline and Code Structure</w:t>
      </w:r>
      <w:bookmarkEnd w:id="19"/>
    </w:p>
    <w:p>
      <w:pPr>
        <w:pStyle w:val="Heading2"/>
        <w:spacing w:after="120" w:before="280"/>
      </w:pPr>
      <w:bookmarkStart w:name="_Toc20" w:id="20"/>
      <w:r>
        <w:t xml:space="preserve">4.1 Preprocessing, run independently per station</w:t>
      </w:r>
      <w:bookmarkEnd w:id="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rPr>
          <w:tblHeader/>
        </w:trPr>
        <w:tc>
          <w:tcPr>
            <w:tcW w:type="dxa" w:w="1700"/>
            <w:shd w:fill="EEF3F3" w:val="clear"/>
            <w:tcMar>
              <w:top w:type="dxa" w:w="60"/>
              <w:left w:type="dxa" w:w="100"/>
              <w:bottom w:type="dxa" w:w="60"/>
              <w:right w:type="dxa" w:w="100"/>
            </w:tcMar>
          </w:tcPr>
          <w:p>
            <w:pPr>
              <w:jc w:val="left"/>
            </w:pPr>
            <w:r>
              <w:rPr>
                <w:b/>
                <w:bCs/>
                <w:sz w:val="18"/>
                <w:szCs w:val="18"/>
              </w:rPr>
              <w:t xml:space="preserve">Step</w:t>
            </w:r>
          </w:p>
        </w:tc>
        <w:tc>
          <w:tcPr>
            <w:tcW w:type="dxa" w:w="3600"/>
            <w:shd w:fill="EEF3F3" w:val="clear"/>
            <w:tcMar>
              <w:top w:type="dxa" w:w="60"/>
              <w:left w:type="dxa" w:w="100"/>
              <w:bottom w:type="dxa" w:w="60"/>
              <w:right w:type="dxa" w:w="100"/>
            </w:tcMar>
          </w:tcPr>
          <w:p>
            <w:pPr>
              <w:jc w:val="right"/>
            </w:pPr>
            <w:r>
              <w:rPr>
                <w:b/>
                <w:bCs/>
                <w:sz w:val="18"/>
                <w:szCs w:val="18"/>
              </w:rPr>
              <w:t xml:space="preserve">What it does</w:t>
            </w:r>
          </w:p>
        </w:tc>
        <w:tc>
          <w:tcPr>
            <w:tcW w:type="dxa" w:w="4060"/>
            <w:shd w:fill="EEF3F3" w:val="clear"/>
            <w:tcMar>
              <w:top w:type="dxa" w:w="60"/>
              <w:left w:type="dxa" w:w="100"/>
              <w:bottom w:type="dxa" w:w="60"/>
              <w:right w:type="dxa" w:w="100"/>
            </w:tcMar>
          </w:tcPr>
          <w:p>
            <w:pPr>
              <w:jc w:val="right"/>
            </w:pPr>
            <w:r>
              <w:rPr>
                <w:b/>
                <w:bCs/>
                <w:sz w:val="18"/>
                <w:szCs w:val="18"/>
              </w:rPr>
              <w:t xml:space="preserve">Why it matters</w:t>
            </w:r>
          </w:p>
        </w:tc>
      </w:tr>
      <w:tr>
        <w:tc>
          <w:tcPr>
            <w:tcW w:type="dxa" w:w="1700"/>
            <w:tcMar>
              <w:top w:type="dxa" w:w="60"/>
              <w:left w:type="dxa" w:w="100"/>
              <w:bottom w:type="dxa" w:w="60"/>
              <w:right w:type="dxa" w:w="100"/>
            </w:tcMar>
          </w:tcPr>
          <w:p>
            <w:pPr>
              <w:jc w:val="left"/>
            </w:pPr>
            <w:r>
              <w:rPr>
                <w:b w:val="false"/>
                <w:bCs w:val="false"/>
                <w:sz w:val="18"/>
                <w:szCs w:val="18"/>
              </w:rPr>
              <w:t xml:space="preserve">1 Indexing</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One hourly index per station</w:t>
            </w:r>
          </w:p>
        </w:tc>
        <w:tc>
          <w:tcPr>
            <w:tcW w:type="dxa" w:w="40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Gaps logged per station</w:t>
            </w:r>
          </w:p>
        </w:tc>
      </w:tr>
      <w:tr>
        <w:tc>
          <w:tcPr>
            <w:tcW w:type="dxa" w:w="1700"/>
            <w:tcMar>
              <w:top w:type="dxa" w:w="60"/>
              <w:left w:type="dxa" w:w="100"/>
              <w:bottom w:type="dxa" w:w="60"/>
              <w:right w:type="dxa" w:w="100"/>
            </w:tcMar>
          </w:tcPr>
          <w:p>
            <w:pPr>
              <w:jc w:val="left"/>
            </w:pPr>
            <w:r>
              <w:rPr>
                <w:b w:val="false"/>
                <w:bCs w:val="false"/>
                <w:sz w:val="18"/>
                <w:szCs w:val="18"/>
              </w:rPr>
              <w:t xml:space="preserve">2 Imputation</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Mask built BEFORE filling</w:t>
            </w:r>
          </w:p>
        </w:tc>
        <w:tc>
          <w:tcPr>
            <w:tcW w:type="dxa" w:w="40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Detector must not flag its own interpolation</w:t>
            </w:r>
          </w:p>
        </w:tc>
      </w:tr>
      <w:tr>
        <w:tc>
          <w:tcPr>
            <w:tcW w:type="dxa" w:w="1700"/>
            <w:tcMar>
              <w:top w:type="dxa" w:w="60"/>
              <w:left w:type="dxa" w:w="100"/>
              <w:bottom w:type="dxa" w:w="60"/>
              <w:right w:type="dxa" w:w="100"/>
            </w:tcMar>
          </w:tcPr>
          <w:p>
            <w:pPr>
              <w:jc w:val="left"/>
            </w:pPr>
            <w:r>
              <w:rPr>
                <w:b w:val="false"/>
                <w:bCs w:val="false"/>
                <w:sz w:val="18"/>
                <w:szCs w:val="18"/>
              </w:rPr>
              <w:t xml:space="preserve">3 Physical screen</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Negatives, PM2.5&gt;PM10, flatlines</w:t>
            </w:r>
          </w:p>
        </w:tc>
        <w:tc>
          <w:tcPr>
            <w:tcW w:type="dxa" w:w="40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Catches real data errors</w:t>
            </w:r>
          </w:p>
        </w:tc>
      </w:tr>
      <w:tr>
        <w:tc>
          <w:tcPr>
            <w:tcW w:type="dxa" w:w="1700"/>
            <w:tcMar>
              <w:top w:type="dxa" w:w="60"/>
              <w:left w:type="dxa" w:w="100"/>
              <w:bottom w:type="dxa" w:w="60"/>
              <w:right w:type="dxa" w:w="100"/>
            </w:tcMar>
          </w:tcPr>
          <w:p>
            <w:pPr>
              <w:jc w:val="left"/>
            </w:pPr>
            <w:r>
              <w:rPr>
                <w:b w:val="false"/>
                <w:bCs w:val="false"/>
                <w:sz w:val="18"/>
                <w:szCs w:val="18"/>
              </w:rPr>
              <w:t xml:space="preserve">4 Features</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Cyclical, lags, rolling stats</w:t>
            </w:r>
          </w:p>
        </w:tc>
        <w:tc>
          <w:tcPr>
            <w:tcW w:type="dxa" w:w="40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22 columns after alignment</w:t>
            </w:r>
          </w:p>
        </w:tc>
      </w:tr>
      <w:tr>
        <w:tc>
          <w:tcPr>
            <w:tcW w:type="dxa" w:w="1700"/>
            <w:tcMar>
              <w:top w:type="dxa" w:w="60"/>
              <w:left w:type="dxa" w:w="100"/>
              <w:bottom w:type="dxa" w:w="60"/>
              <w:right w:type="dxa" w:w="100"/>
            </w:tcMar>
          </w:tcPr>
          <w:p>
            <w:pPr>
              <w:jc w:val="left"/>
            </w:pPr>
            <w:r>
              <w:rPr>
                <w:b w:val="false"/>
                <w:bCs w:val="false"/>
                <w:sz w:val="18"/>
                <w:szCs w:val="18"/>
              </w:rPr>
              <w:t xml:space="preserve">5 Normalization</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Per-station z-score on own train window</w:t>
            </w:r>
          </w:p>
        </w:tc>
        <w:tc>
          <w:tcPr>
            <w:tcW w:type="dxa" w:w="40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A shared scaler is itself a leak</w:t>
            </w:r>
          </w:p>
        </w:tc>
      </w:tr>
      <w:tr>
        <w:tc>
          <w:tcPr>
            <w:tcW w:type="dxa" w:w="1700"/>
            <w:tcMar>
              <w:top w:type="dxa" w:w="60"/>
              <w:left w:type="dxa" w:w="100"/>
              <w:bottom w:type="dxa" w:w="60"/>
              <w:right w:type="dxa" w:w="100"/>
            </w:tcMar>
          </w:tcPr>
          <w:p>
            <w:pPr>
              <w:jc w:val="left"/>
            </w:pPr>
            <w:r>
              <w:rPr>
                <w:b w:val="false"/>
                <w:bCs w:val="false"/>
                <w:sz w:val="18"/>
                <w:szCs w:val="18"/>
              </w:rPr>
              <w:t xml:space="preserve">6 Windowing</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24h in, 6h out, chronological 70/15/15</w:t>
            </w:r>
          </w:p>
        </w:tc>
        <w:tc>
          <w:tcPr>
            <w:tcW w:type="dxa" w:w="40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Shuffling leaks future into past</w:t>
            </w:r>
          </w:p>
        </w:tc>
      </w:tr>
      <w:tr>
        <w:tc>
          <w:tcPr>
            <w:tcW w:type="dxa" w:w="1700"/>
            <w:tcMar>
              <w:top w:type="dxa" w:w="60"/>
              <w:left w:type="dxa" w:w="100"/>
              <w:bottom w:type="dxa" w:w="60"/>
              <w:right w:type="dxa" w:w="100"/>
            </w:tcMar>
          </w:tcPr>
          <w:p>
            <w:pPr>
              <w:jc w:val="left"/>
            </w:pPr>
            <w:r>
              <w:rPr>
                <w:b w:val="false"/>
                <w:bCs w:val="false"/>
                <w:sz w:val="18"/>
                <w:szCs w:val="18"/>
              </w:rPr>
              <w:t xml:space="preserve">7 Fault labels</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Injection into val and test only</w:t>
            </w:r>
          </w:p>
        </w:tc>
        <w:tc>
          <w:tcPr>
            <w:tcW w:type="dxa" w:w="40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Training stays clean</w:t>
            </w:r>
          </w:p>
        </w:tc>
      </w:tr>
    </w:tbl>
    <w:p>
      <w:pPr>
        <w:spacing w:after="160"/>
      </w:pPr>
    </w:p>
    <w:p>
      <w:pPr>
        <w:spacing w:after="120"/>
      </w:pPr>
      <w:r>
        <w:t xml:space="preserve">Why training stays clean: deployment trains on verified history where faults were already removed, then runs live on unverified readings where faults arrive as plausible numbers. Injecting into training would also teach the forecaster to track drifting and stuck sensors, shrinking the very residuals the detector depends on.</w:t>
      </w:r>
    </w:p>
    <w:p>
      <w:pPr>
        <w:pStyle w:val="Heading2"/>
        <w:spacing w:after="120" w:before="280"/>
      </w:pPr>
      <w:bookmarkStart w:name="_Toc21" w:id="21"/>
      <w:r>
        <w:t xml:space="preserve">4.2 Repository layout</w:t>
      </w:r>
      <w:bookmarkEnd w:id="2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EF3F3" w:val="clear"/>
            <w:tcMar>
              <w:top w:type="dxa" w:w="60"/>
              <w:left w:type="dxa" w:w="100"/>
              <w:bottom w:type="dxa" w:w="60"/>
              <w:right w:type="dxa" w:w="100"/>
            </w:tcMar>
          </w:tcPr>
          <w:p>
            <w:pPr>
              <w:jc w:val="left"/>
            </w:pPr>
            <w:r>
              <w:rPr>
                <w:b/>
                <w:bCs/>
                <w:sz w:val="18"/>
                <w:szCs w:val="18"/>
              </w:rPr>
              <w:t xml:space="preserve">Module</w:t>
            </w:r>
          </w:p>
        </w:tc>
        <w:tc>
          <w:tcPr>
            <w:tcW w:type="dxa" w:w="6760"/>
            <w:shd w:fill="EEF3F3" w:val="clear"/>
            <w:tcMar>
              <w:top w:type="dxa" w:w="60"/>
              <w:left w:type="dxa" w:w="100"/>
              <w:bottom w:type="dxa" w:w="60"/>
              <w:right w:type="dxa" w:w="100"/>
            </w:tcMar>
          </w:tcPr>
          <w:p>
            <w:pPr>
              <w:jc w:val="right"/>
            </w:pPr>
            <w:r>
              <w:rPr>
                <w:b/>
                <w:bCs/>
                <w:sz w:val="18"/>
                <w:szCs w:val="18"/>
              </w:rPr>
              <w:t xml:space="preserve">Responsibility</w:t>
            </w:r>
          </w:p>
        </w:tc>
      </w:tr>
      <w:tr>
        <w:tc>
          <w:tcPr>
            <w:tcW w:type="dxa" w:w="2600"/>
            <w:tcMar>
              <w:top w:type="dxa" w:w="60"/>
              <w:left w:type="dxa" w:w="100"/>
              <w:bottom w:type="dxa" w:w="60"/>
              <w:right w:type="dxa" w:w="100"/>
            </w:tcMar>
          </w:tcPr>
          <w:p>
            <w:pPr>
              <w:jc w:val="left"/>
            </w:pPr>
            <w:r>
              <w:rPr>
                <w:b w:val="false"/>
                <w:bCs w:val="false"/>
                <w:sz w:val="18"/>
                <w:szCs w:val="18"/>
              </w:rPr>
              <w:t xml:space="preserve">src/data/</w:t>
            </w:r>
          </w:p>
        </w:tc>
        <w:tc>
          <w:tcPr>
            <w:tcW w:type="dxa" w:w="67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Fetching and harmonizing EEA, CPCB, meteorology, co-located pairs</w:t>
            </w:r>
          </w:p>
        </w:tc>
      </w:tr>
      <w:tr>
        <w:tc>
          <w:tcPr>
            <w:tcW w:type="dxa" w:w="2600"/>
            <w:tcMar>
              <w:top w:type="dxa" w:w="60"/>
              <w:left w:type="dxa" w:w="100"/>
              <w:bottom w:type="dxa" w:w="60"/>
              <w:right w:type="dxa" w:w="100"/>
            </w:tcMar>
          </w:tcPr>
          <w:p>
            <w:pPr>
              <w:jc w:val="left"/>
            </w:pPr>
            <w:r>
              <w:rPr>
                <w:b w:val="false"/>
                <w:bCs w:val="false"/>
                <w:sz w:val="18"/>
                <w:szCs w:val="18"/>
              </w:rPr>
              <w:t xml:space="preserve">src/preprocessing/</w:t>
            </w:r>
          </w:p>
        </w:tc>
        <w:tc>
          <w:tcPr>
            <w:tcW w:type="dxa" w:w="67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The seven pipeline stages above</w:t>
            </w:r>
          </w:p>
        </w:tc>
      </w:tr>
      <w:tr>
        <w:tc>
          <w:tcPr>
            <w:tcW w:type="dxa" w:w="2600"/>
            <w:tcMar>
              <w:top w:type="dxa" w:w="60"/>
              <w:left w:type="dxa" w:w="100"/>
              <w:bottom w:type="dxa" w:w="60"/>
              <w:right w:type="dxa" w:w="100"/>
            </w:tcMar>
          </w:tcPr>
          <w:p>
            <w:pPr>
              <w:jc w:val="left"/>
            </w:pPr>
            <w:r>
              <w:rPr>
                <w:b w:val="false"/>
                <w:bCs w:val="false"/>
                <w:sz w:val="18"/>
                <w:szCs w:val="18"/>
              </w:rPr>
              <w:t xml:space="preserve">src/models/</w:t>
            </w:r>
          </w:p>
        </w:tc>
        <w:tc>
          <w:tcPr>
            <w:tcW w:type="dxa" w:w="67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Node GRU, server graph network, decision layer</w:t>
            </w:r>
          </w:p>
        </w:tc>
      </w:tr>
      <w:tr>
        <w:tc>
          <w:tcPr>
            <w:tcW w:type="dxa" w:w="2600"/>
            <w:tcMar>
              <w:top w:type="dxa" w:w="60"/>
              <w:left w:type="dxa" w:w="100"/>
              <w:bottom w:type="dxa" w:w="60"/>
              <w:right w:type="dxa" w:w="100"/>
            </w:tcMar>
          </w:tcPr>
          <w:p>
            <w:pPr>
              <w:jc w:val="left"/>
            </w:pPr>
            <w:r>
              <w:rPr>
                <w:b w:val="false"/>
                <w:bCs w:val="false"/>
                <w:sz w:val="18"/>
                <w:szCs w:val="18"/>
              </w:rPr>
              <w:t xml:space="preserve">src/federated/</w:t>
            </w:r>
          </w:p>
        </w:tc>
        <w:tc>
          <w:tcPr>
            <w:tcW w:type="dxa" w:w="67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Client, server, aggregation weighting, privacy guard</w:t>
            </w:r>
          </w:p>
        </w:tc>
      </w:tr>
      <w:tr>
        <w:tc>
          <w:tcPr>
            <w:tcW w:type="dxa" w:w="2600"/>
            <w:tcMar>
              <w:top w:type="dxa" w:w="60"/>
              <w:left w:type="dxa" w:w="100"/>
              <w:bottom w:type="dxa" w:w="60"/>
              <w:right w:type="dxa" w:w="100"/>
            </w:tcMar>
          </w:tcPr>
          <w:p>
            <w:pPr>
              <w:jc w:val="left"/>
            </w:pPr>
            <w:r>
              <w:rPr>
                <w:b w:val="false"/>
                <w:bCs w:val="false"/>
                <w:sz w:val="18"/>
                <w:szCs w:val="18"/>
              </w:rPr>
              <w:t xml:space="preserve">src/baselines/</w:t>
            </w:r>
          </w:p>
        </w:tc>
        <w:tc>
          <w:tcPr>
            <w:tcW w:type="dxa" w:w="67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The six-rung ladder</w:t>
            </w:r>
          </w:p>
        </w:tc>
      </w:tr>
      <w:tr>
        <w:tc>
          <w:tcPr>
            <w:tcW w:type="dxa" w:w="2600"/>
            <w:tcMar>
              <w:top w:type="dxa" w:w="60"/>
              <w:left w:type="dxa" w:w="100"/>
              <w:bottom w:type="dxa" w:w="60"/>
              <w:right w:type="dxa" w:w="100"/>
            </w:tcMar>
          </w:tcPr>
          <w:p>
            <w:pPr>
              <w:jc w:val="left"/>
            </w:pPr>
            <w:r>
              <w:rPr>
                <w:b w:val="false"/>
                <w:bCs w:val="false"/>
                <w:sz w:val="18"/>
                <w:szCs w:val="18"/>
              </w:rPr>
              <w:t xml:space="preserve">src/evaluation/</w:t>
            </w:r>
          </w:p>
        </w:tc>
        <w:tc>
          <w:tcPr>
            <w:tcW w:type="dxa" w:w="67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Metrics, reporting, bootstrap, magnitude, transfer</w:t>
            </w:r>
          </w:p>
        </w:tc>
      </w:tr>
      <w:tr>
        <w:tc>
          <w:tcPr>
            <w:tcW w:type="dxa" w:w="2600"/>
            <w:tcMar>
              <w:top w:type="dxa" w:w="60"/>
              <w:left w:type="dxa" w:w="100"/>
              <w:bottom w:type="dxa" w:w="60"/>
              <w:right w:type="dxa" w:w="100"/>
            </w:tcMar>
          </w:tcPr>
          <w:p>
            <w:pPr>
              <w:jc w:val="left"/>
            </w:pPr>
            <w:r>
              <w:rPr>
                <w:b w:val="false"/>
                <w:bCs w:val="false"/>
                <w:sz w:val="18"/>
                <w:szCs w:val="18"/>
              </w:rPr>
              <w:t xml:space="preserve">dashboard/</w:t>
            </w:r>
          </w:p>
        </w:tc>
        <w:tc>
          <w:tcPr>
            <w:tcW w:type="dxa" w:w="67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Published results page</w:t>
            </w:r>
          </w:p>
        </w:tc>
      </w:tr>
      <w:tr>
        <w:tc>
          <w:tcPr>
            <w:tcW w:type="dxa" w:w="2600"/>
            <w:tcMar>
              <w:top w:type="dxa" w:w="60"/>
              <w:left w:type="dxa" w:w="100"/>
              <w:bottom w:type="dxa" w:w="60"/>
              <w:right w:type="dxa" w:w="100"/>
            </w:tcMar>
          </w:tcPr>
          <w:p>
            <w:pPr>
              <w:jc w:val="left"/>
            </w:pPr>
            <w:r>
              <w:rPr>
                <w:b w:val="false"/>
                <w:bCs w:val="false"/>
                <w:sz w:val="18"/>
                <w:szCs w:val="18"/>
              </w:rPr>
              <w:t xml:space="preserve">tests/</w:t>
            </w:r>
          </w:p>
        </w:tc>
        <w:tc>
          <w:tcPr>
            <w:tcW w:type="dxa" w:w="67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111 tests</w:t>
            </w:r>
          </w:p>
        </w:tc>
      </w:tr>
    </w:tbl>
    <w:p>
      <w:r>
        <w:br w:type="page"/>
      </w:r>
    </w:p>
    <w:p>
      <w:pPr>
        <w:pStyle w:val="Heading1"/>
        <w:spacing w:after="160" w:before="360"/>
      </w:pPr>
      <w:bookmarkStart w:name="_Toc22" w:id="22"/>
      <w:r>
        <w:t xml:space="preserve">5. The Baseline Ladder</w:t>
      </w:r>
      <w:bookmarkEnd w:id="22"/>
    </w:p>
    <w:p>
      <w:pPr>
        <w:spacing w:after="120"/>
      </w:pPr>
      <w:r>
        <w:t xml:space="preserve">Six rungs, each built and reported before the next, so a defensible result exists even if the highest-risk component underperforms.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5660"/>
      </w:tblGrid>
      <w:tr>
        <w:trPr>
          <w:tblHeader/>
        </w:trPr>
        <w:tc>
          <w:tcPr>
            <w:tcW w:type="dxa" w:w="900"/>
            <w:shd w:fill="EEF3F3" w:val="clear"/>
            <w:tcMar>
              <w:top w:type="dxa" w:w="60"/>
              <w:left w:type="dxa" w:w="100"/>
              <w:bottom w:type="dxa" w:w="60"/>
              <w:right w:type="dxa" w:w="100"/>
            </w:tcMar>
          </w:tcPr>
          <w:p>
            <w:pPr>
              <w:jc w:val="left"/>
            </w:pPr>
            <w:r>
              <w:rPr>
                <w:b/>
                <w:bCs/>
                <w:sz w:val="18"/>
                <w:szCs w:val="18"/>
              </w:rPr>
              <w:t xml:space="preserve">Rung</w:t>
            </w:r>
          </w:p>
        </w:tc>
        <w:tc>
          <w:tcPr>
            <w:tcW w:type="dxa" w:w="2800"/>
            <w:shd w:fill="EEF3F3" w:val="clear"/>
            <w:tcMar>
              <w:top w:type="dxa" w:w="60"/>
              <w:left w:type="dxa" w:w="100"/>
              <w:bottom w:type="dxa" w:w="60"/>
              <w:right w:type="dxa" w:w="100"/>
            </w:tcMar>
          </w:tcPr>
          <w:p>
            <w:pPr>
              <w:jc w:val="right"/>
            </w:pPr>
            <w:r>
              <w:rPr>
                <w:b/>
                <w:bCs/>
                <w:sz w:val="18"/>
                <w:szCs w:val="18"/>
              </w:rPr>
              <w:t xml:space="preserve">Model</w:t>
            </w:r>
          </w:p>
        </w:tc>
        <w:tc>
          <w:tcPr>
            <w:tcW w:type="dxa" w:w="5660"/>
            <w:shd w:fill="EEF3F3" w:val="clear"/>
            <w:tcMar>
              <w:top w:type="dxa" w:w="60"/>
              <w:left w:type="dxa" w:w="100"/>
              <w:bottom w:type="dxa" w:w="60"/>
              <w:right w:type="dxa" w:w="100"/>
            </w:tcMar>
          </w:tcPr>
          <w:p>
            <w:pPr>
              <w:jc w:val="right"/>
            </w:pPr>
            <w:r>
              <w:rPr>
                <w:b/>
                <w:bCs/>
                <w:sz w:val="18"/>
                <w:szCs w:val="18"/>
              </w:rPr>
              <w:t xml:space="preserve">Purpose</w:t>
            </w:r>
          </w:p>
        </w:tc>
      </w:tr>
      <w:tr>
        <w:tc>
          <w:tcPr>
            <w:tcW w:type="dxa" w:w="900"/>
            <w:tcMar>
              <w:top w:type="dxa" w:w="60"/>
              <w:left w:type="dxa" w:w="100"/>
              <w:bottom w:type="dxa" w:w="60"/>
              <w:right w:type="dxa" w:w="100"/>
            </w:tcMar>
          </w:tcPr>
          <w:p>
            <w:pPr>
              <w:jc w:val="left"/>
            </w:pPr>
            <w:r>
              <w:rPr>
                <w:b w:val="false"/>
                <w:bCs w:val="false"/>
                <w:sz w:val="18"/>
                <w:szCs w:val="18"/>
              </w:rPr>
              <w:t xml:space="preserve">1</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Persistence</w:t>
            </w:r>
          </w:p>
        </w:tc>
        <w:tc>
          <w:tcPr>
            <w:tcW w:type="dxa" w:w="56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Trivial floor</w:t>
            </w:r>
          </w:p>
        </w:tc>
      </w:tr>
      <w:tr>
        <w:tc>
          <w:tcPr>
            <w:tcW w:type="dxa" w:w="900"/>
            <w:tcMar>
              <w:top w:type="dxa" w:w="60"/>
              <w:left w:type="dxa" w:w="100"/>
              <w:bottom w:type="dxa" w:w="60"/>
              <w:right w:type="dxa" w:w="100"/>
            </w:tcMar>
          </w:tcPr>
          <w:p>
            <w:pPr>
              <w:jc w:val="left"/>
            </w:pPr>
            <w:r>
              <w:rPr>
                <w:b w:val="false"/>
                <w:bCs w:val="false"/>
                <w:sz w:val="18"/>
                <w:szCs w:val="18"/>
              </w:rPr>
              <w:t xml:space="preserve">2</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Local GRU per station</w:t>
            </w:r>
          </w:p>
        </w:tc>
        <w:tc>
          <w:tcPr>
            <w:tcW w:type="dxa" w:w="56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No federation</w:t>
            </w:r>
          </w:p>
        </w:tc>
      </w:tr>
      <w:tr>
        <w:tc>
          <w:tcPr>
            <w:tcW w:type="dxa" w:w="900"/>
            <w:tcMar>
              <w:top w:type="dxa" w:w="60"/>
              <w:left w:type="dxa" w:w="100"/>
              <w:bottom w:type="dxa" w:w="60"/>
              <w:right w:type="dxa" w:w="100"/>
            </w:tcMar>
          </w:tcPr>
          <w:p>
            <w:pPr>
              <w:jc w:val="left"/>
            </w:pPr>
            <w:r>
              <w:rPr>
                <w:b w:val="false"/>
                <w:bCs w:val="false"/>
                <w:sz w:val="18"/>
                <w:szCs w:val="18"/>
              </w:rPr>
              <w:t xml:space="preserve">3</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Centralised GRU</w:t>
            </w:r>
          </w:p>
        </w:tc>
        <w:tc>
          <w:tcPr>
            <w:tcW w:type="dxa" w:w="56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Pooled, no privacy constraint</w:t>
            </w:r>
          </w:p>
        </w:tc>
      </w:tr>
      <w:tr>
        <w:tc>
          <w:tcPr>
            <w:tcW w:type="dxa" w:w="900"/>
            <w:tcMar>
              <w:top w:type="dxa" w:w="60"/>
              <w:left w:type="dxa" w:w="100"/>
              <w:bottom w:type="dxa" w:w="60"/>
              <w:right w:type="dxa" w:w="100"/>
            </w:tcMar>
          </w:tcPr>
          <w:p>
            <w:pPr>
              <w:jc w:val="left"/>
            </w:pPr>
            <w:r>
              <w:rPr>
                <w:b w:val="false"/>
                <w:bCs w:val="false"/>
                <w:sz w:val="18"/>
                <w:szCs w:val="18"/>
              </w:rPr>
              <w:t xml:space="preserve">4</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Centralised ST-GNN</w:t>
            </w:r>
          </w:p>
        </w:tc>
        <w:tc>
          <w:tcPr>
            <w:tcW w:type="dxa" w:w="56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Accuracy ceiling, zero privacy constraint</w:t>
            </w:r>
          </w:p>
        </w:tc>
      </w:tr>
      <w:tr>
        <w:tc>
          <w:tcPr>
            <w:tcW w:type="dxa" w:w="900"/>
            <w:tcMar>
              <w:top w:type="dxa" w:w="60"/>
              <w:left w:type="dxa" w:w="100"/>
              <w:bottom w:type="dxa" w:w="60"/>
              <w:right w:type="dxa" w:w="100"/>
            </w:tcMar>
          </w:tcPr>
          <w:p>
            <w:pPr>
              <w:jc w:val="left"/>
            </w:pPr>
            <w:r>
              <w:rPr>
                <w:b w:val="false"/>
                <w:bCs w:val="false"/>
                <w:sz w:val="18"/>
                <w:szCs w:val="18"/>
              </w:rPr>
              <w:t xml:space="preserve">5</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FedAvg + GRU</w:t>
            </w:r>
          </w:p>
        </w:tc>
        <w:tc>
          <w:tcPr>
            <w:tcW w:type="dxa" w:w="56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Federation WITHOUT spatial reasoning</w:t>
            </w:r>
          </w:p>
        </w:tc>
      </w:tr>
      <w:tr>
        <w:tc>
          <w:tcPr>
            <w:tcW w:type="dxa" w:w="900"/>
            <w:tcMar>
              <w:top w:type="dxa" w:w="60"/>
              <w:left w:type="dxa" w:w="100"/>
              <w:bottom w:type="dxa" w:w="60"/>
              <w:right w:type="dxa" w:w="100"/>
            </w:tcMar>
          </w:tcPr>
          <w:p>
            <w:pPr>
              <w:jc w:val="left"/>
            </w:pPr>
            <w:r>
              <w:rPr>
                <w:b w:val="false"/>
                <w:bCs w:val="false"/>
                <w:sz w:val="18"/>
                <w:szCs w:val="18"/>
              </w:rPr>
              <w:t xml:space="preserve">6</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Proposed</w:t>
            </w:r>
          </w:p>
        </w:tc>
        <w:tc>
          <w:tcPr>
            <w:tcW w:type="dxa" w:w="56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Federated + server graph + decision layer</w:t>
            </w:r>
          </w:p>
        </w:tc>
      </w:tr>
    </w:tbl>
    <w:p>
      <w:pPr>
        <w:spacing w:after="160"/>
      </w:pPr>
    </w:p>
    <w:p>
      <w:pPr>
        <w:pBdr>
          <w:left w:val="single" w:color="0C6D6D" w:sz="12" w:space="8"/>
        </w:pBdr>
        <w:spacing w:after="160"/>
        <w:ind w:left="180"/>
      </w:pPr>
      <w:r>
        <w:rPr>
          <w:i/>
          <w:iCs/>
          <w:color w:val="5A6D6C"/>
          <w:sz w:val="20"/>
          <w:szCs w:val="20"/>
        </w:rPr>
        <w:t xml:space="preserve">Rung 5 is the critical control. The difference between rungs 5 and 6 isolates the graph layer specifically, rather than crediting it with federation's effects.</w:t>
      </w:r>
    </w:p>
    <w:p>
      <w:r>
        <w:br w:type="page"/>
      </w:r>
    </w:p>
    <w:p>
      <w:pPr>
        <w:pStyle w:val="Heading1"/>
        <w:spacing w:after="160" w:before="360"/>
      </w:pPr>
      <w:bookmarkStart w:name="_Toc23" w:id="23"/>
      <w:r>
        <w:t xml:space="preserve">6. Results</w:t>
      </w:r>
      <w:bookmarkEnd w:id="23"/>
    </w:p>
    <w:p>
      <w:pPr>
        <w:pStyle w:val="Heading2"/>
        <w:spacing w:after="120" w:before="280"/>
      </w:pPr>
      <w:bookmarkStart w:name="_Toc24" w:id="24"/>
      <w:r>
        <w:t xml:space="preserve">6.1 At 30 stations — does spatial reasoning help?</w:t>
      </w:r>
      <w:bookmarkEnd w:id="24"/>
    </w:p>
    <w:p>
      <w:pPr>
        <w:spacing w:after="120"/>
      </w:pPr>
      <w:r>
        <w:t xml:space="preserve">Paired block bootstrap at a three-hour horizon, resampling both stations and time. This is the strict test; at seven stations nothing survived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800"/>
        <w:gridCol w:w="1960"/>
      </w:tblGrid>
      <w:tr>
        <w:trPr>
          <w:tblHeader/>
        </w:trPr>
        <w:tc>
          <w:tcPr>
            <w:tcW w:type="dxa" w:w="2400"/>
            <w:shd w:fill="EEF3F3" w:val="clear"/>
            <w:tcMar>
              <w:top w:type="dxa" w:w="60"/>
              <w:left w:type="dxa" w:w="100"/>
              <w:bottom w:type="dxa" w:w="60"/>
              <w:right w:type="dxa" w:w="100"/>
            </w:tcMar>
          </w:tcPr>
          <w:p>
            <w:pPr>
              <w:jc w:val="left"/>
            </w:pPr>
            <w:r>
              <w:rPr>
                <w:b/>
                <w:bCs/>
                <w:sz w:val="18"/>
                <w:szCs w:val="18"/>
              </w:rPr>
              <w:t xml:space="preserve">Metric</w:t>
            </w:r>
          </w:p>
        </w:tc>
        <w:tc>
          <w:tcPr>
            <w:tcW w:type="dxa" w:w="2200"/>
            <w:shd w:fill="EEF3F3" w:val="clear"/>
            <w:tcMar>
              <w:top w:type="dxa" w:w="60"/>
              <w:left w:type="dxa" w:w="100"/>
              <w:bottom w:type="dxa" w:w="60"/>
              <w:right w:type="dxa" w:w="100"/>
            </w:tcMar>
          </w:tcPr>
          <w:p>
            <w:pPr>
              <w:jc w:val="right"/>
            </w:pPr>
            <w:r>
              <w:rPr>
                <w:b/>
                <w:bCs/>
                <w:sz w:val="18"/>
                <w:szCs w:val="18"/>
              </w:rPr>
              <w:t xml:space="preserve">Difference</w:t>
            </w:r>
          </w:p>
        </w:tc>
        <w:tc>
          <w:tcPr>
            <w:tcW w:type="dxa" w:w="2800"/>
            <w:shd w:fill="EEF3F3" w:val="clear"/>
            <w:tcMar>
              <w:top w:type="dxa" w:w="60"/>
              <w:left w:type="dxa" w:w="100"/>
              <w:bottom w:type="dxa" w:w="60"/>
              <w:right w:type="dxa" w:w="100"/>
            </w:tcMar>
          </w:tcPr>
          <w:p>
            <w:pPr>
              <w:jc w:val="right"/>
            </w:pPr>
            <w:r>
              <w:rPr>
                <w:b/>
                <w:bCs/>
                <w:sz w:val="18"/>
                <w:szCs w:val="18"/>
              </w:rPr>
              <w:t xml:space="preserve">95% CI</w:t>
            </w:r>
          </w:p>
        </w:tc>
        <w:tc>
          <w:tcPr>
            <w:tcW w:type="dxa" w:w="1960"/>
            <w:shd w:fill="EEF3F3" w:val="clear"/>
            <w:tcMar>
              <w:top w:type="dxa" w:w="60"/>
              <w:left w:type="dxa" w:w="100"/>
              <w:bottom w:type="dxa" w:w="60"/>
              <w:right w:type="dxa" w:w="100"/>
            </w:tcMar>
          </w:tcPr>
          <w:p>
            <w:pPr>
              <w:jc w:val="right"/>
            </w:pPr>
            <w:r>
              <w:rPr>
                <w:b/>
                <w:bCs/>
                <w:sz w:val="18"/>
                <w:szCs w:val="18"/>
              </w:rPr>
              <w:t xml:space="preserve">Established</w:t>
            </w:r>
          </w:p>
        </w:tc>
      </w:tr>
      <w:tr>
        <w:tc>
          <w:tcPr>
            <w:tcW w:type="dxa" w:w="2400"/>
            <w:tcMar>
              <w:top w:type="dxa" w:w="60"/>
              <w:left w:type="dxa" w:w="100"/>
              <w:bottom w:type="dxa" w:w="60"/>
              <w:right w:type="dxa" w:w="100"/>
            </w:tcMar>
          </w:tcPr>
          <w:p>
            <w:pPr>
              <w:jc w:val="left"/>
            </w:pPr>
            <w:r>
              <w:rPr>
                <w:b w:val="false"/>
                <w:bCs w:val="false"/>
                <w:sz w:val="18"/>
                <w:szCs w:val="18"/>
              </w:rPr>
              <w:t xml:space="preserve">recall</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+0.119</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[0.051, 0.200]</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w:t>
            </w:r>
          </w:p>
        </w:tc>
      </w:tr>
      <w:tr>
        <w:tc>
          <w:tcPr>
            <w:tcW w:type="dxa" w:w="2400"/>
            <w:tcMar>
              <w:top w:type="dxa" w:w="60"/>
              <w:left w:type="dxa" w:w="100"/>
              <w:bottom w:type="dxa" w:w="60"/>
              <w:right w:type="dxa" w:w="100"/>
            </w:tcMar>
          </w:tcPr>
          <w:p>
            <w:pPr>
              <w:jc w:val="left"/>
            </w:pPr>
            <w:r>
              <w:rPr>
                <w:b w:val="false"/>
                <w:bCs w:val="false"/>
                <w:sz w:val="18"/>
                <w:szCs w:val="18"/>
              </w:rPr>
              <w:t xml:space="preserve">precision</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-0.191</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[-0.288, -0.094]</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w:t>
            </w:r>
          </w:p>
        </w:tc>
      </w:tr>
      <w:tr>
        <w:tc>
          <w:tcPr>
            <w:tcW w:type="dxa" w:w="2400"/>
            <w:tcMar>
              <w:top w:type="dxa" w:w="60"/>
              <w:left w:type="dxa" w:w="100"/>
              <w:bottom w:type="dxa" w:w="60"/>
              <w:right w:type="dxa" w:w="100"/>
            </w:tcMar>
          </w:tcPr>
          <w:p>
            <w:pPr>
              <w:jc w:val="left"/>
            </w:pPr>
            <w:r>
              <w:rPr>
                <w:b w:val="false"/>
                <w:bCs w:val="false"/>
                <w:sz w:val="18"/>
                <w:szCs w:val="18"/>
              </w:rPr>
              <w:t xml:space="preserve">F1</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+0.059</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[-0.007, 0.136]</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no</w:t>
            </w:r>
          </w:p>
        </w:tc>
      </w:tr>
      <w:tr>
        <w:tc>
          <w:tcPr>
            <w:tcW w:type="dxa" w:w="2400"/>
            <w:tcMar>
              <w:top w:type="dxa" w:w="60"/>
              <w:left w:type="dxa" w:w="100"/>
              <w:bottom w:type="dxa" w:w="60"/>
              <w:right w:type="dxa" w:w="100"/>
            </w:tcMar>
          </w:tcPr>
          <w:p>
            <w:pPr>
              <w:jc w:val="left"/>
            </w:pPr>
            <w:r>
              <w:rPr>
                <w:b w:val="false"/>
                <w:bCs w:val="false"/>
                <w:sz w:val="18"/>
                <w:szCs w:val="18"/>
              </w:rPr>
              <w:t xml:space="preserve">AUC-PR</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+0.017</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[-0.051, 0.097]</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no</w:t>
            </w:r>
          </w:p>
        </w:tc>
      </w:tr>
    </w:tbl>
    <w:p>
      <w:pPr>
        <w:spacing w:after="160"/>
      </w:pPr>
    </w:p>
    <w:p>
      <w:pPr>
        <w:pBdr>
          <w:left w:val="single" w:color="0C6D6D" w:sz="12" w:space="8"/>
        </w:pBdr>
        <w:spacing w:after="160"/>
        <w:ind w:left="180"/>
      </w:pPr>
      <w:r>
        <w:rPr>
          <w:i/>
          <w:iCs/>
          <w:color w:val="5A6D6C"/>
          <w:sz w:val="20"/>
          <w:szCs w:val="20"/>
        </w:rPr>
        <w:t xml:space="preserve">The honest headline is not "the proposed model is better". It is that spatial reasoning trades precision for recall, and both halves of that trade are established rather than noise. F1 cannot separate them because gain and cost roughly cancel.</w:t>
      </w:r>
    </w:p>
    <w:p>
      <w:pPr>
        <w:pStyle w:val="Heading2"/>
        <w:spacing w:after="120" w:before="280"/>
      </w:pPr>
      <w:bookmarkStart w:name="_Toc25" w:id="25"/>
      <w:r>
        <w:t xml:space="preserve">6.2 What privacy costs</w:t>
      </w:r>
      <w:bookmarkEnd w:id="25"/>
    </w:p>
    <w:p>
      <w:pPr>
        <w:spacing w:after="120"/>
      </w:pPr>
      <w:r>
        <w:t xml:space="preserve">Against rung 4, the centralised model with full raw data access, the F1 difference is +0.002 with an interval of [−0.034, 0.045] — statistically indistinguishable. The federated model never sees a raw neighbour reading and matches it.</w:t>
      </w:r>
    </w:p>
    <w:p>
      <w:pPr>
        <w:pStyle w:val="Heading2"/>
        <w:spacing w:after="120" w:before="280"/>
      </w:pPr>
      <w:bookmarkStart w:name="_Toc26" w:id="26"/>
      <w:r>
        <w:t xml:space="preserve">6.3 At 69 stations — two things become established</w:t>
      </w:r>
      <w:bookmarkEnd w:id="2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800"/>
        <w:gridCol w:w="1960"/>
      </w:tblGrid>
      <w:tr>
        <w:trPr>
          <w:tblHeader/>
        </w:trPr>
        <w:tc>
          <w:tcPr>
            <w:tcW w:type="dxa" w:w="2400"/>
            <w:shd w:fill="EEF3F3" w:val="clear"/>
            <w:tcMar>
              <w:top w:type="dxa" w:w="60"/>
              <w:left w:type="dxa" w:w="100"/>
              <w:bottom w:type="dxa" w:w="60"/>
              <w:right w:type="dxa" w:w="100"/>
            </w:tcMar>
          </w:tcPr>
          <w:p>
            <w:pPr>
              <w:jc w:val="left"/>
            </w:pPr>
            <w:r>
              <w:rPr>
                <w:b/>
                <w:bCs/>
                <w:sz w:val="18"/>
                <w:szCs w:val="18"/>
              </w:rPr>
              <w:t xml:space="preserve">Metric</w:t>
            </w:r>
          </w:p>
        </w:tc>
        <w:tc>
          <w:tcPr>
            <w:tcW w:type="dxa" w:w="2200"/>
            <w:shd w:fill="EEF3F3" w:val="clear"/>
            <w:tcMar>
              <w:top w:type="dxa" w:w="60"/>
              <w:left w:type="dxa" w:w="100"/>
              <w:bottom w:type="dxa" w:w="60"/>
              <w:right w:type="dxa" w:w="100"/>
            </w:tcMar>
          </w:tcPr>
          <w:p>
            <w:pPr>
              <w:jc w:val="right"/>
            </w:pPr>
            <w:r>
              <w:rPr>
                <w:b/>
                <w:bCs/>
                <w:sz w:val="18"/>
                <w:szCs w:val="18"/>
              </w:rPr>
              <w:t xml:space="preserve">Difference</w:t>
            </w:r>
          </w:p>
        </w:tc>
        <w:tc>
          <w:tcPr>
            <w:tcW w:type="dxa" w:w="2800"/>
            <w:shd w:fill="EEF3F3" w:val="clear"/>
            <w:tcMar>
              <w:top w:type="dxa" w:w="60"/>
              <w:left w:type="dxa" w:w="100"/>
              <w:bottom w:type="dxa" w:w="60"/>
              <w:right w:type="dxa" w:w="100"/>
            </w:tcMar>
          </w:tcPr>
          <w:p>
            <w:pPr>
              <w:jc w:val="right"/>
            </w:pPr>
            <w:r>
              <w:rPr>
                <w:b/>
                <w:bCs/>
                <w:sz w:val="18"/>
                <w:szCs w:val="18"/>
              </w:rPr>
              <w:t xml:space="preserve">95% CI</w:t>
            </w:r>
          </w:p>
        </w:tc>
        <w:tc>
          <w:tcPr>
            <w:tcW w:type="dxa" w:w="1960"/>
            <w:shd w:fill="EEF3F3" w:val="clear"/>
            <w:tcMar>
              <w:top w:type="dxa" w:w="60"/>
              <w:left w:type="dxa" w:w="100"/>
              <w:bottom w:type="dxa" w:w="60"/>
              <w:right w:type="dxa" w:w="100"/>
            </w:tcMar>
          </w:tcPr>
          <w:p>
            <w:pPr>
              <w:jc w:val="right"/>
            </w:pPr>
            <w:r>
              <w:rPr>
                <w:b/>
                <w:bCs/>
                <w:sz w:val="18"/>
                <w:szCs w:val="18"/>
              </w:rPr>
              <w:t xml:space="preserve">Established</w:t>
            </w:r>
          </w:p>
        </w:tc>
      </w:tr>
      <w:tr>
        <w:tc>
          <w:tcPr>
            <w:tcW w:type="dxa" w:w="2400"/>
            <w:tcMar>
              <w:top w:type="dxa" w:w="60"/>
              <w:left w:type="dxa" w:w="100"/>
              <w:bottom w:type="dxa" w:w="60"/>
              <w:right w:type="dxa" w:w="100"/>
            </w:tcMar>
          </w:tcPr>
          <w:p>
            <w:pPr>
              <w:jc w:val="left"/>
            </w:pPr>
            <w:r>
              <w:rPr>
                <w:b w:val="false"/>
                <w:bCs w:val="false"/>
                <w:sz w:val="18"/>
                <w:szCs w:val="18"/>
              </w:rPr>
              <w:t xml:space="preserve">recall</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+0.124</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[0.076, 0.181]</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w:t>
            </w:r>
          </w:p>
        </w:tc>
      </w:tr>
      <w:tr>
        <w:tc>
          <w:tcPr>
            <w:tcW w:type="dxa" w:w="2400"/>
            <w:tcMar>
              <w:top w:type="dxa" w:w="60"/>
              <w:left w:type="dxa" w:w="100"/>
              <w:bottom w:type="dxa" w:w="60"/>
              <w:right w:type="dxa" w:w="100"/>
            </w:tcMar>
          </w:tcPr>
          <w:p>
            <w:pPr>
              <w:jc w:val="left"/>
            </w:pPr>
            <w:r>
              <w:rPr>
                <w:b w:val="false"/>
                <w:bCs w:val="false"/>
                <w:sz w:val="18"/>
                <w:szCs w:val="18"/>
              </w:rPr>
              <w:t xml:space="preserve">precision</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-0.182</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[-0.240, -0.115]</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w:t>
            </w:r>
          </w:p>
        </w:tc>
      </w:tr>
      <w:tr>
        <w:tc>
          <w:tcPr>
            <w:tcW w:type="dxa" w:w="2400"/>
            <w:tcMar>
              <w:top w:type="dxa" w:w="60"/>
              <w:left w:type="dxa" w:w="100"/>
              <w:bottom w:type="dxa" w:w="60"/>
              <w:right w:type="dxa" w:w="100"/>
            </w:tcMar>
          </w:tcPr>
          <w:p>
            <w:pPr>
              <w:jc w:val="left"/>
            </w:pPr>
            <w:r>
              <w:rPr>
                <w:b w:val="false"/>
                <w:bCs w:val="false"/>
                <w:sz w:val="18"/>
                <w:szCs w:val="18"/>
              </w:rPr>
              <w:t xml:space="preserve">F1</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+0.062</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[0.018, 0.110]</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 - new</w:t>
            </w:r>
          </w:p>
        </w:tc>
      </w:tr>
      <w:tr>
        <w:tc>
          <w:tcPr>
            <w:tcW w:type="dxa" w:w="2400"/>
            <w:tcMar>
              <w:top w:type="dxa" w:w="60"/>
              <w:left w:type="dxa" w:w="100"/>
              <w:bottom w:type="dxa" w:w="60"/>
              <w:right w:type="dxa" w:w="100"/>
            </w:tcMar>
          </w:tcPr>
          <w:p>
            <w:pPr>
              <w:jc w:val="left"/>
            </w:pPr>
            <w:r>
              <w:rPr>
                <w:b w:val="false"/>
                <w:bCs w:val="false"/>
                <w:sz w:val="18"/>
                <w:szCs w:val="18"/>
              </w:rPr>
              <w:t xml:space="preserve">AUC-PR</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+0.027</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[-0.022, 0.077]</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no</w:t>
            </w:r>
          </w:p>
        </w:tc>
      </w:tr>
    </w:tbl>
    <w:p>
      <w:pPr>
        <w:spacing w:after="160"/>
      </w:pPr>
    </w:p>
    <w:p>
      <w:pPr>
        <w:spacing w:after="120"/>
      </w:pPr>
      <w:r>
        <w:t xml:space="preserve">F1 now excludes zero. At 30 stations the honest reading was "a trade, not an improvement"; at 69 the interval clears zero, so the proposed model is established as net better rather than merely differently balanced.</w:t>
      </w:r>
    </w:p>
    <w:p>
      <w:pPr>
        <w:pStyle w:val="Heading2"/>
        <w:spacing w:after="120" w:before="280"/>
      </w:pPr>
      <w:bookmarkStart w:name="_Toc27" w:id="27"/>
      <w:r>
        <w:t xml:space="preserve">6.4 Per fault type — the sharpest result</w:t>
      </w:r>
      <w:bookmarkEnd w:id="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800"/>
        <w:gridCol w:w="1960"/>
      </w:tblGrid>
      <w:tr>
        <w:trPr>
          <w:tblHeader/>
        </w:trPr>
        <w:tc>
          <w:tcPr>
            <w:tcW w:type="dxa" w:w="2400"/>
            <w:shd w:fill="EEF3F3" w:val="clear"/>
            <w:tcMar>
              <w:top w:type="dxa" w:w="60"/>
              <w:left w:type="dxa" w:w="100"/>
              <w:bottom w:type="dxa" w:w="60"/>
              <w:right w:type="dxa" w:w="100"/>
            </w:tcMar>
          </w:tcPr>
          <w:p>
            <w:pPr>
              <w:jc w:val="left"/>
            </w:pPr>
            <w:r>
              <w:rPr>
                <w:b/>
                <w:bCs/>
                <w:sz w:val="18"/>
                <w:szCs w:val="18"/>
              </w:rPr>
              <w:t xml:space="preserve">Subtype</w:t>
            </w:r>
          </w:p>
        </w:tc>
        <w:tc>
          <w:tcPr>
            <w:tcW w:type="dxa" w:w="2200"/>
            <w:shd w:fill="EEF3F3" w:val="clear"/>
            <w:tcMar>
              <w:top w:type="dxa" w:w="60"/>
              <w:left w:type="dxa" w:w="100"/>
              <w:bottom w:type="dxa" w:w="60"/>
              <w:right w:type="dxa" w:w="100"/>
            </w:tcMar>
          </w:tcPr>
          <w:p>
            <w:pPr>
              <w:jc w:val="right"/>
            </w:pPr>
            <w:r>
              <w:rPr>
                <w:b/>
                <w:bCs/>
                <w:sz w:val="18"/>
                <w:szCs w:val="18"/>
              </w:rPr>
              <w:t xml:space="preserve">Difference</w:t>
            </w:r>
          </w:p>
        </w:tc>
        <w:tc>
          <w:tcPr>
            <w:tcW w:type="dxa" w:w="2800"/>
            <w:shd w:fill="EEF3F3" w:val="clear"/>
            <w:tcMar>
              <w:top w:type="dxa" w:w="60"/>
              <w:left w:type="dxa" w:w="100"/>
              <w:bottom w:type="dxa" w:w="60"/>
              <w:right w:type="dxa" w:w="100"/>
            </w:tcMar>
          </w:tcPr>
          <w:p>
            <w:pPr>
              <w:jc w:val="right"/>
            </w:pPr>
            <w:r>
              <w:rPr>
                <w:b/>
                <w:bCs/>
                <w:sz w:val="18"/>
                <w:szCs w:val="18"/>
              </w:rPr>
              <w:t xml:space="preserve">95% CI</w:t>
            </w:r>
          </w:p>
        </w:tc>
        <w:tc>
          <w:tcPr>
            <w:tcW w:type="dxa" w:w="1960"/>
            <w:shd w:fill="EEF3F3" w:val="clear"/>
            <w:tcMar>
              <w:top w:type="dxa" w:w="60"/>
              <w:left w:type="dxa" w:w="100"/>
              <w:bottom w:type="dxa" w:w="60"/>
              <w:right w:type="dxa" w:w="100"/>
            </w:tcMar>
          </w:tcPr>
          <w:p>
            <w:pPr>
              <w:jc w:val="right"/>
            </w:pPr>
            <w:r>
              <w:rPr>
                <w:b/>
                <w:bCs/>
                <w:sz w:val="18"/>
                <w:szCs w:val="18"/>
              </w:rPr>
              <w:t xml:space="preserve">Established</w:t>
            </w:r>
          </w:p>
        </w:tc>
      </w:tr>
      <w:tr>
        <w:tc>
          <w:tcPr>
            <w:tcW w:type="dxa" w:w="2400"/>
            <w:tcMar>
              <w:top w:type="dxa" w:w="60"/>
              <w:left w:type="dxa" w:w="100"/>
              <w:bottom w:type="dxa" w:w="60"/>
              <w:right w:type="dxa" w:w="100"/>
            </w:tcMar>
          </w:tcPr>
          <w:p>
            <w:pPr>
              <w:jc w:val="left"/>
            </w:pPr>
            <w:r>
              <w:rPr>
                <w:b w:val="false"/>
                <w:bCs w:val="false"/>
                <w:sz w:val="18"/>
                <w:szCs w:val="18"/>
              </w:rPr>
              <w:t xml:space="preserve">stuck_at</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+0.402</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[0.330, 0.473]</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w:t>
            </w:r>
          </w:p>
        </w:tc>
      </w:tr>
      <w:tr>
        <w:tc>
          <w:tcPr>
            <w:tcW w:type="dxa" w:w="2400"/>
            <w:tcMar>
              <w:top w:type="dxa" w:w="60"/>
              <w:left w:type="dxa" w:w="100"/>
              <w:bottom w:type="dxa" w:w="60"/>
              <w:right w:type="dxa" w:w="100"/>
            </w:tcMar>
          </w:tcPr>
          <w:p>
            <w:pPr>
              <w:jc w:val="left"/>
            </w:pPr>
            <w:r>
              <w:rPr>
                <w:b w:val="false"/>
                <w:bCs w:val="false"/>
                <w:sz w:val="18"/>
                <w:szCs w:val="18"/>
              </w:rPr>
              <w:t xml:space="preserve">dropout</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+0.362</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[0.262, 0.437]</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w:t>
            </w:r>
          </w:p>
        </w:tc>
      </w:tr>
      <w:tr>
        <w:tc>
          <w:tcPr>
            <w:tcW w:type="dxa" w:w="2400"/>
            <w:tcMar>
              <w:top w:type="dxa" w:w="60"/>
              <w:left w:type="dxa" w:w="100"/>
              <w:bottom w:type="dxa" w:w="60"/>
              <w:right w:type="dxa" w:w="100"/>
            </w:tcMar>
          </w:tcPr>
          <w:p>
            <w:pPr>
              <w:jc w:val="left"/>
            </w:pPr>
            <w:r>
              <w:rPr>
                <w:b w:val="false"/>
                <w:bCs w:val="false"/>
                <w:sz w:val="18"/>
                <w:szCs w:val="18"/>
              </w:rPr>
              <w:t xml:space="preserve">drift</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+0.049</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[0.010, 0.097]</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 - new</w:t>
            </w:r>
          </w:p>
        </w:tc>
      </w:tr>
      <w:tr>
        <w:tc>
          <w:tcPr>
            <w:tcW w:type="dxa" w:w="2400"/>
            <w:tcMar>
              <w:top w:type="dxa" w:w="60"/>
              <w:left w:type="dxa" w:w="100"/>
              <w:bottom w:type="dxa" w:w="60"/>
              <w:right w:type="dxa" w:w="100"/>
            </w:tcMar>
          </w:tcPr>
          <w:p>
            <w:pPr>
              <w:jc w:val="left"/>
            </w:pPr>
            <w:r>
              <w:rPr>
                <w:b w:val="false"/>
                <w:bCs w:val="false"/>
                <w:sz w:val="18"/>
                <w:szCs w:val="18"/>
              </w:rPr>
              <w:t xml:space="preserve">spike</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-0.078</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[-0.098, -0.059]</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yes - WORSE</w:t>
            </w:r>
          </w:p>
        </w:tc>
      </w:tr>
      <w:tr>
        <w:tc>
          <w:tcPr>
            <w:tcW w:type="dxa" w:w="2400"/>
            <w:tcMar>
              <w:top w:type="dxa" w:w="60"/>
              <w:left w:type="dxa" w:w="100"/>
              <w:bottom w:type="dxa" w:w="60"/>
              <w:right w:type="dxa" w:w="100"/>
            </w:tcMar>
          </w:tcPr>
          <w:p>
            <w:pPr>
              <w:jc w:val="left"/>
            </w:pPr>
            <w:r>
              <w:rPr>
                <w:b w:val="false"/>
                <w:bCs w:val="false"/>
                <w:sz w:val="18"/>
                <w:szCs w:val="18"/>
              </w:rPr>
              <w:t xml:space="preserve">noise</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-0.024</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[-0.064, 0.018]</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no</w:t>
            </w:r>
          </w:p>
        </w:tc>
      </w:tr>
      <w:tr>
        <w:tc>
          <w:tcPr>
            <w:tcW w:type="dxa" w:w="2400"/>
            <w:tcMar>
              <w:top w:type="dxa" w:w="60"/>
              <w:left w:type="dxa" w:w="100"/>
              <w:bottom w:type="dxa" w:w="60"/>
              <w:right w:type="dxa" w:w="100"/>
            </w:tcMar>
          </w:tcPr>
          <w:p>
            <w:pPr>
              <w:jc w:val="left"/>
            </w:pPr>
            <w:r>
              <w:rPr>
                <w:b w:val="false"/>
                <w:bCs w:val="false"/>
                <w:sz w:val="18"/>
                <w:szCs w:val="18"/>
              </w:rPr>
              <w:t xml:space="preserve">bias</w:t>
            </w:r>
          </w:p>
        </w:tc>
        <w:tc>
          <w:tcPr>
            <w:tcW w:type="dxa" w:w="22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-0.002</w:t>
            </w:r>
          </w:p>
        </w:tc>
        <w:tc>
          <w:tcPr>
            <w:tcW w:type="dxa" w:w="28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[-0.007, 0.005]</w:t>
            </w:r>
          </w:p>
        </w:tc>
        <w:tc>
          <w:tcPr>
            <w:tcW w:type="dxa" w:w="19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no</w:t>
            </w:r>
          </w:p>
        </w:tc>
      </w:tr>
    </w:tbl>
    <w:p>
      <w:pPr>
        <w:spacing w:after="160"/>
      </w:pPr>
    </w:p>
    <w:p>
      <w:pPr>
        <w:spacing w:after="120"/>
      </w:pPr>
      <w:r>
        <w:t xml:space="preserve">This is mechanically coherent rather than a lucky aggregate. The spatial mechanism wins exactly where a fault makes a station easier to forecast — a frozen or dropped sensor flattens the series, the local residual shrinks, and the local detector has nothing to work with. It loses on spikes, where the local residual was already the best available signal and adding a neighbour-agreement term only dilutes it.</w:t>
      </w:r>
    </w:p>
    <w:p>
      <w:pPr>
        <w:spacing w:after="120"/>
      </w:pPr>
      <w:r>
        <w:t xml:space="preserve">Drift crosses into significance for the first time at 69 stations. The effect is real and it is tiny: a 0.049 improvement on a base recall of about 0.013 means the mechanism finally has enough neighbours to register drift at all. The honest statement is "no longer indistinguishable from zero", not "solved".</w:t>
      </w:r>
    </w:p>
    <w:p>
      <w:pPr>
        <w:pStyle w:val="Heading2"/>
        <w:spacing w:after="120" w:before="280"/>
      </w:pPr>
      <w:bookmarkStart w:name="_Toc28" w:id="28"/>
      <w:r>
        <w:t xml:space="preserve">6.5 Forecasting — a reversal at full scale</w:t>
      </w:r>
      <w:bookmarkEnd w:id="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20"/>
        <w:gridCol w:w="1920"/>
        <w:gridCol w:w="1920"/>
      </w:tblGrid>
      <w:tr>
        <w:trPr>
          <w:tblHeader/>
        </w:trPr>
        <w:tc>
          <w:tcPr>
            <w:tcW w:type="dxa" w:w="3600"/>
            <w:shd w:fill="EEF3F3" w:val="clear"/>
            <w:tcMar>
              <w:top w:type="dxa" w:w="60"/>
              <w:left w:type="dxa" w:w="100"/>
              <w:bottom w:type="dxa" w:w="60"/>
              <w:right w:type="dxa" w:w="100"/>
            </w:tcMar>
          </w:tcPr>
          <w:p>
            <w:pPr>
              <w:jc w:val="left"/>
            </w:pPr>
            <w:r>
              <w:rPr>
                <w:b/>
                <w:bCs/>
                <w:sz w:val="18"/>
                <w:szCs w:val="18"/>
              </w:rPr>
              <w:t xml:space="preserve">Model</w:t>
            </w:r>
          </w:p>
        </w:tc>
        <w:tc>
          <w:tcPr>
            <w:tcW w:type="dxa" w:w="1920"/>
            <w:shd w:fill="EEF3F3" w:val="clear"/>
            <w:tcMar>
              <w:top w:type="dxa" w:w="60"/>
              <w:left w:type="dxa" w:w="100"/>
              <w:bottom w:type="dxa" w:w="60"/>
              <w:right w:type="dxa" w:w="100"/>
            </w:tcMar>
          </w:tcPr>
          <w:p>
            <w:pPr>
              <w:jc w:val="right"/>
            </w:pPr>
            <w:r>
              <w:rPr>
                <w:b/>
                <w:bCs/>
                <w:sz w:val="18"/>
                <w:szCs w:val="18"/>
              </w:rPr>
              <w:t xml:space="preserve">RMSE 1h</w:t>
            </w:r>
          </w:p>
        </w:tc>
        <w:tc>
          <w:tcPr>
            <w:tcW w:type="dxa" w:w="1920"/>
            <w:shd w:fill="EEF3F3" w:val="clear"/>
            <w:tcMar>
              <w:top w:type="dxa" w:w="60"/>
              <w:left w:type="dxa" w:w="100"/>
              <w:bottom w:type="dxa" w:w="60"/>
              <w:right w:type="dxa" w:w="100"/>
            </w:tcMar>
          </w:tcPr>
          <w:p>
            <w:pPr>
              <w:jc w:val="right"/>
            </w:pPr>
            <w:r>
              <w:rPr>
                <w:b/>
                <w:bCs/>
                <w:sz w:val="18"/>
                <w:szCs w:val="18"/>
              </w:rPr>
              <w:t xml:space="preserve">RMSE 3h</w:t>
            </w:r>
          </w:p>
        </w:tc>
        <w:tc>
          <w:tcPr>
            <w:tcW w:type="dxa" w:w="1920"/>
            <w:shd w:fill="EEF3F3" w:val="clear"/>
            <w:tcMar>
              <w:top w:type="dxa" w:w="60"/>
              <w:left w:type="dxa" w:w="100"/>
              <w:bottom w:type="dxa" w:w="60"/>
              <w:right w:type="dxa" w:w="100"/>
            </w:tcMar>
          </w:tcPr>
          <w:p>
            <w:pPr>
              <w:jc w:val="right"/>
            </w:pPr>
            <w:r>
              <w:rPr>
                <w:b/>
                <w:bCs/>
                <w:sz w:val="18"/>
                <w:szCs w:val="18"/>
              </w:rPr>
              <w:t xml:space="preserve">RMSE 6h</w:t>
            </w:r>
          </w:p>
        </w:tc>
      </w:tr>
      <w:tr>
        <w:tc>
          <w:tcPr>
            <w:tcW w:type="dxa" w:w="3600"/>
            <w:tcMar>
              <w:top w:type="dxa" w:w="60"/>
              <w:left w:type="dxa" w:w="100"/>
              <w:bottom w:type="dxa" w:w="60"/>
              <w:right w:type="dxa" w:w="100"/>
            </w:tcMar>
          </w:tcPr>
          <w:p>
            <w:pPr>
              <w:jc w:val="left"/>
            </w:pPr>
            <w:r>
              <w:rPr>
                <w:b w:val="false"/>
                <w:bCs w:val="false"/>
                <w:sz w:val="18"/>
                <w:szCs w:val="18"/>
              </w:rPr>
              <w:t xml:space="preserve">4 Centralised ST-GNN</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12.27</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14.61</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15.09</w:t>
            </w:r>
          </w:p>
        </w:tc>
      </w:tr>
      <w:tr>
        <w:tc>
          <w:tcPr>
            <w:tcW w:type="dxa" w:w="3600"/>
            <w:tcMar>
              <w:top w:type="dxa" w:w="60"/>
              <w:left w:type="dxa" w:w="100"/>
              <w:bottom w:type="dxa" w:w="60"/>
              <w:right w:type="dxa" w:w="100"/>
            </w:tcMar>
          </w:tcPr>
          <w:p>
            <w:pPr>
              <w:jc w:val="left"/>
            </w:pPr>
            <w:r>
              <w:rPr>
                <w:b w:val="false"/>
                <w:bCs w:val="false"/>
                <w:sz w:val="18"/>
                <w:szCs w:val="18"/>
              </w:rPr>
              <w:t xml:space="preserve">5 FedAvg / 6 Proposed</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11.19</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13.17</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13.72</w:t>
            </w:r>
          </w:p>
        </w:tc>
      </w:tr>
    </w:tbl>
    <w:p>
      <w:pPr>
        <w:spacing w:after="160"/>
      </w:pPr>
    </w:p>
    <w:p>
      <w:pPr>
        <w:spacing w:after="120"/>
      </w:pPr>
      <w:r>
        <w:t xml:space="preserve">At 69 stations the federated model beats the centralised ceiling at every horizon — the opposite of the 30-station result. The explanation is structural rather than a modelling win: a centralised spatial model needs stations synchronised, consuming hours when the network reported together. At full scale that synchronisation barely exists, so rung 4 trains on heavily masked batches. Federated forecasting needs no synchronisation at all, because each client trains on its own complete record.</w:t>
      </w:r>
    </w:p>
    <w:p>
      <w:pPr>
        <w:pBdr>
          <w:left w:val="single" w:color="0C6D6D" w:sz="12" w:space="8"/>
        </w:pBdr>
        <w:spacing w:after="160"/>
        <w:ind w:left="180"/>
      </w:pPr>
      <w:r>
        <w:rPr>
          <w:i/>
          <w:iCs/>
          <w:color w:val="5A6D6C"/>
          <w:sz w:val="20"/>
          <w:szCs w:val="20"/>
        </w:rPr>
        <w:t xml:space="preserve">So the privacy-preserving method wins here not because it is better in principle, but because the centralised alternative depends on a property that real networks do not have. That is a stronger argument for the approach than any accuracy delta, and it only becomes visible at realistic scale.</w:t>
      </w:r>
    </w:p>
    <w:p>
      <w:r>
        <w:br w:type="page"/>
      </w:r>
    </w:p>
    <w:p>
      <w:pPr>
        <w:pStyle w:val="Heading1"/>
        <w:spacing w:after="160" w:before="360"/>
      </w:pPr>
      <w:bookmarkStart w:name="_Toc29" w:id="29"/>
      <w:r>
        <w:t xml:space="preserve">7. The Privacy Amendment</w:t>
      </w:r>
      <w:bookmarkEnd w:id="29"/>
    </w:p>
    <w:p>
      <w:pPr>
        <w:pStyle w:val="Heading2"/>
        <w:spacing w:after="120" w:before="280"/>
      </w:pPr>
      <w:bookmarkStart w:name="_Toc30" w:id="30"/>
      <w:r>
        <w:t xml:space="preserve">7.1 Why it was necessary</w:t>
      </w:r>
      <w:bookmarkEnd w:id="30"/>
    </w:p>
    <w:p>
      <w:pPr>
        <w:spacing w:after="120"/>
      </w:pPr>
      <w:r>
        <w:t xml:space="preserve">Drift recall sat at exactly zero at the alert operating point for every rung, including the centralised model with full raw access. This is not a tuning problem. A slowly drifting sensor stays easy to forecast, so the residual shrinks, and no server-side work can recover a signal the residual never carried. Either a drift-sensitive quantity crosses the privacy boundary, or drift is permanently out of reach.</w:t>
      </w:r>
    </w:p>
    <w:p>
      <w:pPr>
        <w:pStyle w:val="Heading2"/>
        <w:spacing w:after="120" w:before="280"/>
      </w:pPr>
      <w:bookmarkStart w:name="_Toc31" w:id="31"/>
      <w:r>
        <w:t xml:space="preserve">7.2 What was decided, and why it is defensible</w:t>
      </w:r>
      <w:bookmarkEnd w:id="31"/>
    </w:p>
    <w:p>
      <w:pPr>
        <w:spacing w:after="120"/>
      </w:pPr>
      <w:r>
        <w:t xml:space="preserve">The project owner was offered three options — a coarse ordinal, a continuous signed scalar, or refusing outright — and chose the coarse ordinal: one integer in 0 to 4, one byte, computed after z-scoring on the station's own series and averaged over 72 hours.</w:t>
      </w:r>
    </w:p>
    <w:p>
      <w:pPr>
        <w:spacing w:after="120"/>
      </w:pPr>
      <w:r>
        <w:t xml:space="preserve">Because it is computed on normalized data it says "I currently sit about one of my own standard deviations above my own training mean" and nothing about what that is in micrograms per cubic metre. The scaler never leaves the node, so absolute level and scale are both unrecoverable from an integer in 0 to 4. It is strictly coarser than the encoder hidden state already permitted, which is a continuous float vector over the same window. A test asserts that two stations with different physical levels but the same normalized shape produce the same bucket; if that ever fails, the field has started leaking scale and the justification is void.</w:t>
      </w:r>
    </w:p>
    <w:p>
      <w:pPr>
        <w:pStyle w:val="Heading2"/>
        <w:spacing w:after="120" w:before="280"/>
      </w:pPr>
      <w:bookmarkStart w:name="_Toc32" w:id="32"/>
      <w:r>
        <w:t xml:space="preserve">7.3 What it costs</w:t>
      </w:r>
      <w:bookmarkEnd w:id="32"/>
    </w:p>
    <w:p>
      <w:pPr>
        <w:pBdr>
          <w:left w:val="single" w:color="0C6D6D" w:sz="12" w:space="8"/>
        </w:pBdr>
        <w:spacing w:after="160"/>
        <w:ind w:left="180"/>
      </w:pPr>
      <w:r>
        <w:rPr>
          <w:i/>
          <w:iCs/>
          <w:color w:val="5A6D6C"/>
          <w:sz w:val="20"/>
          <w:szCs w:val="20"/>
        </w:rPr>
        <w:t xml:space="preserve">The novelty claim is "cross-node spatial reasoning under a federated constraint", and the constraint is now one field wider. Any write-up must describe the uploaded set as weights, encoder hidden states, and a coarse ordinal level summary — not "hidden states only".</w:t>
      </w:r>
    </w:p>
    <w:p>
      <w:pPr>
        <w:pStyle w:val="Heading2"/>
        <w:spacing w:after="120" w:before="280"/>
      </w:pPr>
      <w:bookmarkStart w:name="_Toc33" w:id="33"/>
      <w:r>
        <w:t xml:space="preserve">7.4 The measured scope is narrower than designed</w:t>
      </w:r>
      <w:bookmarkEnd w:id="3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20"/>
        <w:gridCol w:w="1920"/>
        <w:gridCol w:w="1560"/>
        <w:gridCol w:w="1560"/>
      </w:tblGrid>
      <w:tr>
        <w:trPr>
          <w:tblHeader/>
        </w:trPr>
        <w:tc>
          <w:tcPr>
            <w:tcW w:type="dxa" w:w="2400"/>
            <w:shd w:fill="EEF3F3" w:val="clear"/>
            <w:tcMar>
              <w:top w:type="dxa" w:w="60"/>
              <w:left w:type="dxa" w:w="100"/>
              <w:bottom w:type="dxa" w:w="60"/>
              <w:right w:type="dxa" w:w="100"/>
            </w:tcMar>
          </w:tcPr>
          <w:p>
            <w:pPr>
              <w:jc w:val="left"/>
            </w:pPr>
            <w:r>
              <w:rPr>
                <w:b/>
                <w:bCs/>
                <w:sz w:val="18"/>
                <w:szCs w:val="18"/>
              </w:rPr>
              <w:t xml:space="preserve">Node set</w:t>
            </w:r>
          </w:p>
        </w:tc>
        <w:tc>
          <w:tcPr>
            <w:tcW w:type="dxa" w:w="1920"/>
            <w:shd w:fill="EEF3F3" w:val="clear"/>
            <w:tcMar>
              <w:top w:type="dxa" w:w="60"/>
              <w:left w:type="dxa" w:w="100"/>
              <w:bottom w:type="dxa" w:w="60"/>
              <w:right w:type="dxa" w:w="100"/>
            </w:tcMar>
          </w:tcPr>
          <w:p>
            <w:pPr>
              <w:jc w:val="right"/>
            </w:pPr>
            <w:r>
              <w:rPr>
                <w:b/>
                <w:bCs/>
                <w:sz w:val="18"/>
                <w:szCs w:val="18"/>
              </w:rPr>
              <w:t xml:space="preserve">True positives</w:t>
            </w:r>
          </w:p>
        </w:tc>
        <w:tc>
          <w:tcPr>
            <w:tcW w:type="dxa" w:w="1920"/>
            <w:shd w:fill="EEF3F3" w:val="clear"/>
            <w:tcMar>
              <w:top w:type="dxa" w:w="60"/>
              <w:left w:type="dxa" w:w="100"/>
              <w:bottom w:type="dxa" w:w="60"/>
              <w:right w:type="dxa" w:w="100"/>
            </w:tcMar>
          </w:tcPr>
          <w:p>
            <w:pPr>
              <w:jc w:val="right"/>
            </w:pPr>
            <w:r>
              <w:rPr>
                <w:b/>
                <w:bCs/>
                <w:sz w:val="18"/>
                <w:szCs w:val="18"/>
              </w:rPr>
              <w:t xml:space="preserve">False positives</w:t>
            </w:r>
          </w:p>
        </w:tc>
        <w:tc>
          <w:tcPr>
            <w:tcW w:type="dxa" w:w="1560"/>
            <w:shd w:fill="EEF3F3" w:val="clear"/>
            <w:tcMar>
              <w:top w:type="dxa" w:w="60"/>
              <w:left w:type="dxa" w:w="100"/>
              <w:bottom w:type="dxa" w:w="60"/>
              <w:right w:type="dxa" w:w="100"/>
            </w:tcMar>
          </w:tcPr>
          <w:p>
            <w:pPr>
              <w:jc w:val="right"/>
            </w:pPr>
            <w:r>
              <w:rPr>
                <w:b/>
                <w:bCs/>
                <w:sz w:val="18"/>
                <w:szCs w:val="18"/>
              </w:rPr>
              <w:t xml:space="preserve">Missed</w:t>
            </w:r>
          </w:p>
        </w:tc>
        <w:tc>
          <w:tcPr>
            <w:tcW w:type="dxa" w:w="1560"/>
            <w:shd w:fill="EEF3F3" w:val="clear"/>
            <w:tcMar>
              <w:top w:type="dxa" w:w="60"/>
              <w:left w:type="dxa" w:w="100"/>
              <w:bottom w:type="dxa" w:w="60"/>
              <w:right w:type="dxa" w:w="100"/>
            </w:tcMar>
          </w:tcPr>
          <w:p>
            <w:pPr>
              <w:jc w:val="right"/>
            </w:pPr>
            <w:r>
              <w:rPr>
                <w:b/>
                <w:bCs/>
                <w:sz w:val="18"/>
                <w:szCs w:val="18"/>
              </w:rPr>
              <w:t xml:space="preserve">Precision</w:t>
            </w:r>
          </w:p>
        </w:tc>
      </w:tr>
      <w:tr>
        <w:tc>
          <w:tcPr>
            <w:tcW w:type="dxa" w:w="2400"/>
            <w:tcMar>
              <w:top w:type="dxa" w:w="60"/>
              <w:left w:type="dxa" w:w="100"/>
              <w:bottom w:type="dxa" w:w="60"/>
              <w:right w:type="dxa" w:w="100"/>
            </w:tcMar>
          </w:tcPr>
          <w:p>
            <w:pPr>
              <w:jc w:val="left"/>
            </w:pPr>
            <w:r>
              <w:rPr>
                <w:b w:val="false"/>
                <w:bCs w:val="false"/>
                <w:sz w:val="18"/>
                <w:szCs w:val="18"/>
              </w:rPr>
              <w:t xml:space="preserve">7 stations</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w:t>
            </w:r>
          </w:p>
        </w:tc>
        <w:tc>
          <w:tcPr>
            <w:tcW w:type="dxa" w:w="15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3</w:t>
            </w:r>
          </w:p>
        </w:tc>
        <w:tc>
          <w:tcPr>
            <w:tcW w:type="dxa" w:w="15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n/a</w:t>
            </w:r>
          </w:p>
        </w:tc>
      </w:tr>
      <w:tr>
        <w:tc>
          <w:tcPr>
            <w:tcW w:type="dxa" w:w="2400"/>
            <w:tcMar>
              <w:top w:type="dxa" w:w="60"/>
              <w:left w:type="dxa" w:w="100"/>
              <w:bottom w:type="dxa" w:w="60"/>
              <w:right w:type="dxa" w:w="100"/>
            </w:tcMar>
          </w:tcPr>
          <w:p>
            <w:pPr>
              <w:jc w:val="left"/>
            </w:pPr>
            <w:r>
              <w:rPr>
                <w:b w:val="false"/>
                <w:bCs w:val="false"/>
                <w:sz w:val="18"/>
                <w:szCs w:val="18"/>
              </w:rPr>
              <w:t xml:space="preserve">30 stations</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11</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5</w:t>
            </w:r>
          </w:p>
        </w:tc>
        <w:tc>
          <w:tcPr>
            <w:tcW w:type="dxa" w:w="15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6</w:t>
            </w:r>
          </w:p>
        </w:tc>
        <w:tc>
          <w:tcPr>
            <w:tcW w:type="dxa" w:w="15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0.688</w:t>
            </w:r>
          </w:p>
        </w:tc>
      </w:tr>
      <w:tr>
        <w:tc>
          <w:tcPr>
            <w:tcW w:type="dxa" w:w="2400"/>
            <w:tcMar>
              <w:top w:type="dxa" w:w="60"/>
              <w:left w:type="dxa" w:w="100"/>
              <w:bottom w:type="dxa" w:w="60"/>
              <w:right w:type="dxa" w:w="100"/>
            </w:tcMar>
          </w:tcPr>
          <w:p>
            <w:pPr>
              <w:jc w:val="left"/>
            </w:pPr>
            <w:r>
              <w:rPr>
                <w:b w:val="false"/>
                <w:bCs w:val="false"/>
                <w:sz w:val="18"/>
                <w:szCs w:val="18"/>
              </w:rPr>
              <w:t xml:space="preserve">69 stations</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23</w:t>
            </w:r>
          </w:p>
        </w:tc>
        <w:tc>
          <w:tcPr>
            <w:tcW w:type="dxa" w:w="19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17</w:t>
            </w:r>
          </w:p>
        </w:tc>
        <w:tc>
          <w:tcPr>
            <w:tcW w:type="dxa" w:w="15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12</w:t>
            </w:r>
          </w:p>
        </w:tc>
        <w:tc>
          <w:tcPr>
            <w:tcW w:type="dxa" w:w="15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0.575</w:t>
            </w:r>
          </w:p>
        </w:tc>
      </w:tr>
    </w:tbl>
    <w:p>
      <w:pPr>
        <w:spacing w:after="160"/>
      </w:pPr>
    </w:p>
    <w:p>
      <w:pPr>
        <w:spacing w:after="120"/>
      </w:pPr>
      <w:r>
        <w:t xml:space="preserve">At seven stations the mechanism fails completely. All seven Barcelona stations sat in the same bucket, because stations inside one city co-move: the neighbour median moves with them and disagreement is zero for everybody, drifting or not.</w:t>
      </w:r>
    </w:p>
    <w:p>
      <w:pPr>
        <w:pBdr>
          <w:left w:val="single" w:color="0C6D6D" w:sz="12" w:space="8"/>
        </w:pBdr>
        <w:spacing w:after="160"/>
        <w:ind w:left="180"/>
      </w:pPr>
      <w:r>
        <w:rPr>
          <w:i/>
          <w:iCs/>
          <w:color w:val="5A6D6C"/>
          <w:sz w:val="20"/>
          <w:szCs w:val="20"/>
        </w:rPr>
        <w:t xml:space="preserve">The mechanism needs dispersion among neighbours, not merely neighbours. A dense single-city cluster is its worst case, not its best — the opposite of what a reader would assume.</w:t>
      </w:r>
    </w:p>
    <w:p>
      <w:pPr>
        <w:spacing w:after="120"/>
      </w:pPr>
      <w:r>
        <w:t xml:space="preserve">Two further limits. It identifies stations, never readings, because the contract permits one ordinal per station per upload — so per-reading drift recall stays near 0.013. And roughly one flag in three is a genuine local level shift rather than drift.</w:t>
      </w:r>
    </w:p>
    <w:p>
      <w:r>
        <w:br w:type="page"/>
      </w:r>
    </w:p>
    <w:p>
      <w:pPr>
        <w:pStyle w:val="Heading1"/>
        <w:spacing w:after="160" w:before="360"/>
      </w:pPr>
      <w:bookmarkStart w:name="_Toc34" w:id="34"/>
      <w:r>
        <w:t xml:space="preserve">8. Real Co-Located Fault Labels</w:t>
      </w:r>
      <w:bookmarkEnd w:id="34"/>
    </w:p>
    <w:p>
      <w:pPr>
        <w:spacing w:after="120"/>
      </w:pPr>
      <w:r>
        <w:t xml:space="preserve">This is the project's recommended stretch goal and the first time anything here has been measured against a fault that actually happened rather than one that was injected.</w:t>
      </w:r>
    </w:p>
    <w:p>
      <w:pPr>
        <w:pStyle w:val="Heading2"/>
        <w:spacing w:after="120" w:before="280"/>
      </w:pPr>
      <w:bookmarkStart w:name="_Toc35" w:id="35"/>
      <w:r>
        <w:t xml:space="preserve">8.1 The data</w:t>
      </w:r>
      <w:bookmarkEnd w:id="35"/>
    </w:p>
    <w:p>
      <w:pPr>
        <w:spacing w:after="120"/>
      </w:pPr>
      <w:r>
        <w:t xml:space="preserve">H2020 CAPTOR, Catalonia, summer 2018. A low-cost metal-oxide ozone sensor sits beside an EEA reference instrument measuring the same air, so when the cheap one is wrong you know it is wrong and by how much. That is a plausible-but-wrong reading with ground truth attached — exactly what the Validity flags cannot provide.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shd w:fill="EEF3F3" w:val="clear"/>
            <w:tcMar>
              <w:top w:type="dxa" w:w="60"/>
              <w:left w:type="dxa" w:w="100"/>
              <w:bottom w:type="dxa" w:w="60"/>
              <w:right w:type="dxa" w:w="100"/>
            </w:tcMar>
          </w:tcPr>
          <w:p>
            <w:pPr>
              <w:jc w:val="left"/>
            </w:pPr>
            <w:r>
              <w:rPr>
                <w:b/>
                <w:bCs/>
                <w:sz w:val="18"/>
                <w:szCs w:val="18"/>
              </w:rPr>
              <w:t xml:space="preserve">Station</w:t>
            </w:r>
          </w:p>
        </w:tc>
        <w:tc>
          <w:tcPr>
            <w:tcW w:type="dxa" w:w="2120"/>
            <w:shd w:fill="EEF3F3" w:val="clear"/>
            <w:tcMar>
              <w:top w:type="dxa" w:w="60"/>
              <w:left w:type="dxa" w:w="100"/>
              <w:bottom w:type="dxa" w:w="60"/>
              <w:right w:type="dxa" w:w="100"/>
            </w:tcMar>
          </w:tcPr>
          <w:p>
            <w:pPr>
              <w:jc w:val="right"/>
            </w:pPr>
            <w:r>
              <w:rPr>
                <w:b/>
                <w:bCs/>
                <w:sz w:val="18"/>
                <w:szCs w:val="18"/>
              </w:rPr>
              <w:t xml:space="preserve">Rows</w:t>
            </w:r>
          </w:p>
        </w:tc>
        <w:tc>
          <w:tcPr>
            <w:tcW w:type="dxa" w:w="2120"/>
            <w:shd w:fill="EEF3F3" w:val="clear"/>
            <w:tcMar>
              <w:top w:type="dxa" w:w="60"/>
              <w:left w:type="dxa" w:w="100"/>
              <w:bottom w:type="dxa" w:w="60"/>
              <w:right w:type="dxa" w:w="100"/>
            </w:tcMar>
          </w:tcPr>
          <w:p>
            <w:pPr>
              <w:jc w:val="right"/>
            </w:pPr>
            <w:r>
              <w:rPr>
                <w:b/>
                <w:bCs/>
                <w:sz w:val="18"/>
                <w:szCs w:val="18"/>
              </w:rPr>
              <w:t xml:space="preserve">Faults</w:t>
            </w:r>
          </w:p>
        </w:tc>
        <w:tc>
          <w:tcPr>
            <w:tcW w:type="dxa" w:w="2120"/>
            <w:shd w:fill="EEF3F3" w:val="clear"/>
            <w:tcMar>
              <w:top w:type="dxa" w:w="60"/>
              <w:left w:type="dxa" w:w="100"/>
              <w:bottom w:type="dxa" w:w="60"/>
              <w:right w:type="dxa" w:w="100"/>
            </w:tcMar>
          </w:tcPr>
          <w:p>
            <w:pPr>
              <w:jc w:val="right"/>
            </w:pPr>
            <w:r>
              <w:rPr>
                <w:b/>
                <w:bCs/>
                <w:sz w:val="18"/>
                <w:szCs w:val="18"/>
              </w:rPr>
              <w:t xml:space="preserve">Rate</w:t>
            </w:r>
          </w:p>
        </w:tc>
      </w:tr>
      <w:tr>
        <w:tc>
          <w:tcPr>
            <w:tcW w:type="dxa" w:w="3000"/>
            <w:tcMar>
              <w:top w:type="dxa" w:w="60"/>
              <w:left w:type="dxa" w:w="100"/>
              <w:bottom w:type="dxa" w:w="60"/>
              <w:right w:type="dxa" w:w="100"/>
            </w:tcMar>
          </w:tcPr>
          <w:p>
            <w:pPr>
              <w:jc w:val="left"/>
            </w:pPr>
            <w:r>
              <w:rPr>
                <w:b w:val="false"/>
                <w:bCs w:val="false"/>
                <w:sz w:val="18"/>
                <w:szCs w:val="18"/>
              </w:rPr>
              <w:t xml:space="preserve">ES1397A</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1,699</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35</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0.0206</w:t>
            </w:r>
          </w:p>
        </w:tc>
      </w:tr>
      <w:tr>
        <w:tc>
          <w:tcPr>
            <w:tcW w:type="dxa" w:w="3000"/>
            <w:tcMar>
              <w:top w:type="dxa" w:w="60"/>
              <w:left w:type="dxa" w:w="100"/>
              <w:bottom w:type="dxa" w:w="60"/>
              <w:right w:type="dxa" w:w="100"/>
            </w:tcMar>
          </w:tcPr>
          <w:p>
            <w:pPr>
              <w:jc w:val="left"/>
            </w:pPr>
            <w:r>
              <w:rPr>
                <w:b w:val="false"/>
                <w:bCs w:val="false"/>
                <w:sz w:val="18"/>
                <w:szCs w:val="18"/>
              </w:rPr>
              <w:t xml:space="preserve">ES1642A</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2,132</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42</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0.0197</w:t>
            </w:r>
          </w:p>
        </w:tc>
      </w:tr>
      <w:tr>
        <w:tc>
          <w:tcPr>
            <w:tcW w:type="dxa" w:w="3000"/>
            <w:tcMar>
              <w:top w:type="dxa" w:w="60"/>
              <w:left w:type="dxa" w:w="100"/>
              <w:bottom w:type="dxa" w:w="60"/>
              <w:right w:type="dxa" w:w="100"/>
            </w:tcMar>
          </w:tcPr>
          <w:p>
            <w:pPr>
              <w:jc w:val="left"/>
            </w:pPr>
            <w:r>
              <w:rPr>
                <w:b w:val="false"/>
                <w:bCs w:val="false"/>
                <w:sz w:val="18"/>
                <w:szCs w:val="18"/>
              </w:rPr>
              <w:t xml:space="preserve">ES1679A</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696</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53</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0.0761</w:t>
            </w:r>
          </w:p>
        </w:tc>
      </w:tr>
      <w:tr>
        <w:tc>
          <w:tcPr>
            <w:tcW w:type="dxa" w:w="3000"/>
            <w:tcMar>
              <w:top w:type="dxa" w:w="60"/>
              <w:left w:type="dxa" w:w="100"/>
              <w:bottom w:type="dxa" w:w="60"/>
              <w:right w:type="dxa" w:w="100"/>
            </w:tcMar>
          </w:tcPr>
          <w:p>
            <w:pPr>
              <w:jc w:val="left"/>
            </w:pPr>
            <w:r>
              <w:rPr>
                <w:b w:val="false"/>
                <w:bCs w:val="false"/>
                <w:sz w:val="18"/>
                <w:szCs w:val="18"/>
              </w:rPr>
              <w:t xml:space="preserve">ES1923A</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1,306</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33</w:t>
            </w:r>
          </w:p>
        </w:tc>
        <w:tc>
          <w:tcPr>
            <w:tcW w:type="dxa" w:w="212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0.0253</w:t>
            </w:r>
          </w:p>
        </w:tc>
      </w:tr>
    </w:tbl>
    <w:p>
      <w:pPr>
        <w:spacing w:after="160"/>
      </w:pPr>
    </w:p>
    <w:p>
      <w:pPr>
        <w:spacing w:after="120"/>
      </w:pPr>
      <w:r>
        <w:t xml:space="preserve">A fifth pair was excluded. At 1.84 kilometres its sensor-reference difference includes genuine spatial variation in ozone rather than sensor error, and its 11.08% apparent fault rate against 0.77 to 5.32% elsewhere is the tell.</w:t>
      </w:r>
    </w:p>
    <w:p>
      <w:pPr>
        <w:pStyle w:val="Heading2"/>
        <w:spacing w:after="120" w:before="280"/>
      </w:pPr>
      <w:bookmarkStart w:name="_Toc36" w:id="36"/>
      <w:r>
        <w:t xml:space="preserve">8.2 What counts as a fault</w:t>
      </w:r>
      <w:bookmarkEnd w:id="36"/>
    </w:p>
    <w:p>
      <w:pPr>
        <w:spacing w:after="120"/>
      </w:pPr>
      <w:r>
        <w:t xml:space="preserve">A low-cost sensor is always somewhat wrong — pooled mean absolute error of 15.7 to 19.8 against a reference standard deviation of 31 to 45 — so "fault" is not a natural binary. The threshold is rate-matched to the measured EEA rate of 2.805%, the same constant the injector is locked to, landing at an absolute error above 1.183 standard deviations. Matching the rate is what makes real and synthetic numbers comparable; different prevalence would move precision for reasons unrelated to the detector.</w:t>
      </w:r>
    </w:p>
    <w:p>
      <w:pPr>
        <w:pStyle w:val="Heading2"/>
        <w:spacing w:after="120" w:before="280"/>
      </w:pPr>
      <w:bookmarkStart w:name="_Toc37" w:id="37"/>
      <w:r>
        <w:t xml:space="preserve">8.3 The finding visible before any model ran</w:t>
      </w:r>
      <w:bookmarkEnd w:id="37"/>
    </w:p>
    <w:p>
      <w:pPr>
        <w:pBdr>
          <w:left w:val="single" w:color="0C6D6D" w:sz="12" w:space="8"/>
        </w:pBdr>
        <w:spacing w:after="160"/>
        <w:ind w:left="180"/>
      </w:pPr>
      <w:r>
        <w:rPr>
          <w:i/>
          <w:iCs/>
          <w:color w:val="5A6D6C"/>
          <w:sz w:val="20"/>
          <w:szCs w:val="20"/>
        </w:rPr>
        <w:t xml:space="preserve">Real sensor errors concentrate in exactly the band synthetic evaluation found hardest: median magnitude 1.34 sigma, maximum 3.07. There is nothing above 5 sigma, where the detector reaches 0.946. There are no easy faults in this set.</w:t>
      </w:r>
    </w:p>
    <w:p>
      <w:pPr>
        <w:spacing w:after="120"/>
      </w:pPr>
      <w:r>
        <w:t xml:space="preserve">Synthetic evaluation had already measured recall in the 1 to 2 sigma band at 0.211 at the alert operating point and 0.549 at the review point. So the prediction, made before touching this data, was that real faults would be caught somewhere in that range.</w:t>
      </w:r>
    </w:p>
    <w:p>
      <w:pPr>
        <w:pStyle w:val="Heading2"/>
        <w:spacing w:after="120" w:before="280"/>
      </w:pPr>
      <w:bookmarkStart w:name="_Toc38" w:id="38"/>
      <w:r>
        <w:t xml:space="preserve">8.4 Measured</w:t>
      </w:r>
      <w:bookmarkEnd w:id="3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rPr>
          <w:tblHeader/>
        </w:trPr>
        <w:tc>
          <w:tcPr>
            <w:tcW w:type="dxa" w:w="2800"/>
            <w:shd w:fill="EEF3F3" w:val="clear"/>
            <w:tcMar>
              <w:top w:type="dxa" w:w="60"/>
              <w:left w:type="dxa" w:w="100"/>
              <w:bottom w:type="dxa" w:w="60"/>
              <w:right w:type="dxa" w:w="100"/>
            </w:tcMar>
          </w:tcPr>
          <w:p>
            <w:pPr>
              <w:jc w:val="left"/>
            </w:pPr>
            <w:r>
              <w:rPr>
                <w:b/>
                <w:bCs/>
                <w:sz w:val="18"/>
                <w:szCs w:val="18"/>
              </w:rPr>
              <w:t xml:space="preserve">Model</w:t>
            </w:r>
          </w:p>
        </w:tc>
        <w:tc>
          <w:tcPr>
            <w:tcW w:type="dxa" w:w="2000"/>
            <w:shd w:fill="EEF3F3" w:val="clear"/>
            <w:tcMar>
              <w:top w:type="dxa" w:w="60"/>
              <w:left w:type="dxa" w:w="100"/>
              <w:bottom w:type="dxa" w:w="60"/>
              <w:right w:type="dxa" w:w="100"/>
            </w:tcMar>
          </w:tcPr>
          <w:p>
            <w:pPr>
              <w:jc w:val="right"/>
            </w:pPr>
            <w:r>
              <w:rPr>
                <w:b/>
                <w:bCs/>
                <w:sz w:val="18"/>
                <w:szCs w:val="18"/>
              </w:rPr>
              <w:t xml:space="preserve">Detected</w:t>
            </w:r>
          </w:p>
        </w:tc>
        <w:tc>
          <w:tcPr>
            <w:tcW w:type="dxa" w:w="2000"/>
            <w:shd w:fill="EEF3F3" w:val="clear"/>
            <w:tcMar>
              <w:top w:type="dxa" w:w="60"/>
              <w:left w:type="dxa" w:w="100"/>
              <w:bottom w:type="dxa" w:w="60"/>
              <w:right w:type="dxa" w:w="100"/>
            </w:tcMar>
          </w:tcPr>
          <w:p>
            <w:pPr>
              <w:jc w:val="right"/>
            </w:pPr>
            <w:r>
              <w:rPr>
                <w:b/>
                <w:bCs/>
                <w:sz w:val="18"/>
                <w:szCs w:val="18"/>
              </w:rPr>
              <w:t xml:space="preserve">Recall</w:t>
            </w:r>
          </w:p>
        </w:tc>
        <w:tc>
          <w:tcPr>
            <w:tcW w:type="dxa" w:w="2560"/>
            <w:shd w:fill="EEF3F3" w:val="clear"/>
            <w:tcMar>
              <w:top w:type="dxa" w:w="60"/>
              <w:left w:type="dxa" w:w="100"/>
              <w:bottom w:type="dxa" w:w="60"/>
              <w:right w:type="dxa" w:w="100"/>
            </w:tcMar>
          </w:tcPr>
          <w:p>
            <w:pPr>
              <w:jc w:val="right"/>
            </w:pPr>
            <w:r>
              <w:rPr>
                <w:b/>
                <w:bCs/>
                <w:sz w:val="18"/>
                <w:szCs w:val="18"/>
              </w:rPr>
              <w:t xml:space="preserve">95% CI</w:t>
            </w:r>
          </w:p>
        </w:tc>
      </w:tr>
      <w:tr>
        <w:tc>
          <w:tcPr>
            <w:tcW w:type="dxa" w:w="2800"/>
            <w:tcMar>
              <w:top w:type="dxa" w:w="60"/>
              <w:left w:type="dxa" w:w="100"/>
              <w:bottom w:type="dxa" w:w="60"/>
              <w:right w:type="dxa" w:w="100"/>
            </w:tcMar>
          </w:tcPr>
          <w:p>
            <w:pPr>
              <w:jc w:val="left"/>
            </w:pPr>
            <w:r>
              <w:rPr>
                <w:b w:val="false"/>
                <w:bCs w:val="false"/>
                <w:sz w:val="18"/>
                <w:szCs w:val="18"/>
              </w:rPr>
              <w:t xml:space="preserve">Persistence</w:t>
            </w:r>
          </w:p>
        </w:tc>
        <w:tc>
          <w:tcPr>
            <w:tcW w:type="dxa" w:w="20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 / 16</w:t>
            </w:r>
          </w:p>
        </w:tc>
        <w:tc>
          <w:tcPr>
            <w:tcW w:type="dxa" w:w="20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0.000</w:t>
            </w:r>
          </w:p>
        </w:tc>
        <w:tc>
          <w:tcPr>
            <w:tcW w:type="dxa" w:w="25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[0.000, 0.206]</w:t>
            </w:r>
          </w:p>
        </w:tc>
      </w:tr>
      <w:tr>
        <w:tc>
          <w:tcPr>
            <w:tcW w:type="dxa" w:w="2800"/>
            <w:tcMar>
              <w:top w:type="dxa" w:w="60"/>
              <w:left w:type="dxa" w:w="100"/>
              <w:bottom w:type="dxa" w:w="60"/>
              <w:right w:type="dxa" w:w="100"/>
            </w:tcMar>
          </w:tcPr>
          <w:p>
            <w:pPr>
              <w:jc w:val="left"/>
            </w:pPr>
            <w:r>
              <w:rPr>
                <w:b w:val="false"/>
                <w:bCs w:val="false"/>
                <w:sz w:val="18"/>
                <w:szCs w:val="18"/>
              </w:rPr>
              <w:t xml:space="preserve">Local GRU</w:t>
            </w:r>
          </w:p>
        </w:tc>
        <w:tc>
          <w:tcPr>
            <w:tcW w:type="dxa" w:w="20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5 / 16</w:t>
            </w:r>
          </w:p>
        </w:tc>
        <w:tc>
          <w:tcPr>
            <w:tcW w:type="dxa" w:w="20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0.312</w:t>
            </w:r>
          </w:p>
        </w:tc>
        <w:tc>
          <w:tcPr>
            <w:tcW w:type="dxa" w:w="25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[0.110, 0.587]</w:t>
            </w:r>
          </w:p>
        </w:tc>
      </w:tr>
      <w:tr>
        <w:tc>
          <w:tcPr>
            <w:tcW w:type="dxa" w:w="2800"/>
            <w:tcMar>
              <w:top w:type="dxa" w:w="60"/>
              <w:left w:type="dxa" w:w="100"/>
              <w:bottom w:type="dxa" w:w="60"/>
              <w:right w:type="dxa" w:w="100"/>
            </w:tcMar>
          </w:tcPr>
          <w:p>
            <w:pPr>
              <w:jc w:val="left"/>
            </w:pPr>
            <w:r>
              <w:rPr>
                <w:b w:val="false"/>
                <w:bCs w:val="false"/>
                <w:sz w:val="18"/>
                <w:szCs w:val="18"/>
              </w:rPr>
              <w:t xml:space="preserve">Proposed</w:t>
            </w:r>
          </w:p>
        </w:tc>
        <w:tc>
          <w:tcPr>
            <w:tcW w:type="dxa" w:w="20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6 / 16</w:t>
            </w:r>
          </w:p>
        </w:tc>
        <w:tc>
          <w:tcPr>
            <w:tcW w:type="dxa" w:w="20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0.375</w:t>
            </w:r>
          </w:p>
        </w:tc>
        <w:tc>
          <w:tcPr>
            <w:tcW w:type="dxa" w:w="25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[0.152, 0.646]</w:t>
            </w:r>
          </w:p>
        </w:tc>
      </w:tr>
    </w:tbl>
    <w:p>
      <w:pPr>
        <w:spacing w:after="160"/>
      </w:pPr>
    </w:p>
    <w:p>
      <w:pPr>
        <w:pBdr>
          <w:left w:val="single" w:color="0C6D6D" w:sz="12" w:space="8"/>
        </w:pBdr>
        <w:spacing w:after="160"/>
        <w:ind w:left="180"/>
      </w:pPr>
      <w:r>
        <w:rPr>
          <w:i/>
          <w:iCs/>
          <w:color w:val="5A6D6C"/>
          <w:sz w:val="20"/>
          <w:szCs w:val="20"/>
        </w:rPr>
        <w:t xml:space="preserve">0.375 falls inside the 0.211 to 0.549 range the synthetic evaluation predicted for faults of this magnitude. The synthetic methodology — adopted reluctantly, and weakening the headline claim — was NOT misleading about difficulty.</w:t>
      </w:r>
    </w:p>
    <w:p>
      <w:pPr>
        <w:pStyle w:val="Heading2"/>
        <w:spacing w:after="120" w:before="280"/>
      </w:pPr>
      <w:bookmarkStart w:name="_Toc39" w:id="39"/>
      <w:r>
        <w:t xml:space="preserve">8.5 One result that is unambiguously bad</w:t>
      </w:r>
      <w:bookmarkEnd w:id="39"/>
    </w:p>
    <w:p>
      <w:pPr>
        <w:spacing w:after="120"/>
      </w:pPr>
      <w:r>
        <w:t xml:space="preserve">On the only station carrying meaningful fault mass, the proposed model flags 80% of genuine extreme readings as faults, against 0% for the local GRU. That is the Gupchup failure mode in full, and worse than anything measured on synthetic data. The spatial mechanism has three neighbours here with poor temporal overlap, so the neighbourhood consensus it depends on is close to meaningless — consistent with the finding that the mechanism needs dispersion and sufficient neighbours, and a direct warning against deploying it on a small cluster.</w:t>
      </w:r>
    </w:p>
    <w:p>
      <w:pPr>
        <w:pStyle w:val="Heading2"/>
        <w:spacing w:after="120" w:before="280"/>
      </w:pPr>
      <w:bookmarkStart w:name="_Toc40" w:id="40"/>
      <w:r>
        <w:t xml:space="preserve">8.6 Caveats, which are large</w:t>
      </w:r>
      <w:bookmarkEnd w:id="40"/>
    </w:p>
    <w:p>
      <w:pPr>
        <w:pStyle w:val="ListParagraph"/>
        <w:numPr>
          <w:ilvl w:val="0"/>
          <w:numId w:val="2"/>
        </w:numPr>
        <w:spacing w:after="80"/>
      </w:pPr>
      <w:r>
        <w:t xml:space="preserve">Sixteen faults in the test split. One detection moves recall by six points, and the intervals above span a factor of four.</w:t>
      </w:r>
    </w:p>
    <w:p>
      <w:pPr>
        <w:pStyle w:val="ListParagraph"/>
        <w:numPr>
          <w:ilvl w:val="0"/>
          <w:numId w:val="2"/>
        </w:numPr>
        <w:spacing w:after="80"/>
      </w:pPr>
      <w:r>
        <w:t xml:space="preserve">Ozone, not nitrogen dioxide. Fault mechanisms should transfer; pollutant chemistry does not.</w:t>
      </w:r>
    </w:p>
    <w:p>
      <w:pPr>
        <w:pStyle w:val="ListParagraph"/>
        <w:numPr>
          <w:ilvl w:val="0"/>
          <w:numId w:val="2"/>
        </w:numPr>
        <w:spacing w:after="80"/>
      </w:pPr>
      <w:r>
        <w:t xml:space="preserve">Summer 2018 only, with 84 to 302 test windows per station.</w:t>
      </w:r>
    </w:p>
    <w:p>
      <w:pPr>
        <w:pStyle w:val="ListParagraph"/>
        <w:numPr>
          <w:ilvl w:val="0"/>
          <w:numId w:val="2"/>
        </w:numPr>
        <w:spacing w:after="80"/>
      </w:pPr>
      <w:r>
        <w:t xml:space="preserve">The chronological split placed 163 of the record's faults outside the test window.</w:t>
      </w:r>
    </w:p>
    <w:p>
      <w:pPr>
        <w:spacing w:after="120"/>
      </w:pPr>
      <w:r>
        <w:t xml:space="preserve">This licenses saying the synthetic evaluation is calibrated. It does not license a headline real-fault recall figure; the honest summary is "consistent with synthetic, at n=16".</w:t>
      </w:r>
    </w:p>
    <w:p>
      <w:r>
        <w:br w:type="page"/>
      </w:r>
    </w:p>
    <w:p>
      <w:pPr>
        <w:pStyle w:val="Heading1"/>
        <w:spacing w:after="160" w:before="360"/>
      </w:pPr>
      <w:bookmarkStart w:name="_Toc41" w:id="41"/>
      <w:r>
        <w:t xml:space="preserve">9. Scaling: Three Walls, Three Different Causes</w:t>
      </w:r>
      <w:bookmarkEnd w:id="41"/>
    </w:p>
    <w:p>
      <w:pPr>
        <w:spacing w:after="120"/>
      </w:pPr>
      <w:r>
        <w:t xml:space="preserve">Each looked like the previous one and was not. Recorded because the distinction cost real time.</w:t>
      </w:r>
    </w:p>
    <w:p>
      <w:pPr>
        <w:pStyle w:val="Heading2"/>
        <w:spacing w:after="120" w:before="280"/>
      </w:pPr>
      <w:bookmarkStart w:name="_Toc42" w:id="42"/>
      <w:r>
        <w:t xml:space="preserve">9.1 Wall one — zero common window origins</w:t>
      </w:r>
      <w:bookmarkEnd w:id="4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shd w:fill="EEF3F3" w:val="clear"/>
            <w:tcMar>
              <w:top w:type="dxa" w:w="60"/>
              <w:left w:type="dxa" w:w="100"/>
              <w:bottom w:type="dxa" w:w="60"/>
              <w:right w:type="dxa" w:w="100"/>
            </w:tcMar>
          </w:tcPr>
          <w:p>
            <w:pPr>
              <w:jc w:val="left"/>
            </w:pPr>
            <w:r>
              <w:rPr>
                <w:b/>
                <w:bCs/>
                <w:sz w:val="18"/>
                <w:szCs w:val="18"/>
              </w:rPr>
              <w:t xml:space="preserve">Stations</w:t>
            </w:r>
          </w:p>
        </w:tc>
        <w:tc>
          <w:tcPr>
            <w:tcW w:type="dxa" w:w="3600"/>
            <w:shd w:fill="EEF3F3" w:val="clear"/>
            <w:tcMar>
              <w:top w:type="dxa" w:w="60"/>
              <w:left w:type="dxa" w:w="100"/>
              <w:bottom w:type="dxa" w:w="60"/>
              <w:right w:type="dxa" w:w="100"/>
            </w:tcMar>
          </w:tcPr>
          <w:p>
            <w:pPr>
              <w:jc w:val="right"/>
            </w:pPr>
            <w:r>
              <w:rPr>
                <w:b/>
                <w:bCs/>
                <w:sz w:val="18"/>
                <w:szCs w:val="18"/>
              </w:rPr>
              <w:t xml:space="preserve">Common train origins</w:t>
            </w:r>
          </w:p>
        </w:tc>
        <w:tc>
          <w:tcPr>
            <w:tcW w:type="dxa" w:w="3160"/>
            <w:shd w:fill="EEF3F3" w:val="clear"/>
            <w:tcMar>
              <w:top w:type="dxa" w:w="60"/>
              <w:left w:type="dxa" w:w="100"/>
              <w:bottom w:type="dxa" w:w="60"/>
              <w:right w:type="dxa" w:w="100"/>
            </w:tcMar>
          </w:tcPr>
          <w:p>
            <w:pPr>
              <w:jc w:val="right"/>
            </w:pPr>
            <w:r>
              <w:rPr>
                <w:b/>
                <w:bCs/>
                <w:sz w:val="18"/>
                <w:szCs w:val="18"/>
              </w:rPr>
              <w:t xml:space="preserve">Retained</w:t>
            </w:r>
          </w:p>
        </w:tc>
      </w:tr>
      <w:tr>
        <w:tc>
          <w:tcPr>
            <w:tcW w:type="dxa" w:w="2600"/>
            <w:tcMar>
              <w:top w:type="dxa" w:w="60"/>
              <w:left w:type="dxa" w:w="100"/>
              <w:bottom w:type="dxa" w:w="60"/>
              <w:right w:type="dxa" w:w="100"/>
            </w:tcMar>
          </w:tcPr>
          <w:p>
            <w:pPr>
              <w:jc w:val="left"/>
            </w:pPr>
            <w:r>
              <w:rPr>
                <w:b w:val="false"/>
                <w:bCs w:val="false"/>
                <w:sz w:val="18"/>
                <w:szCs w:val="18"/>
              </w:rPr>
              <w:t xml:space="preserve">15 or fewer</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48,892</w:t>
            </w:r>
          </w:p>
        </w:tc>
        <w:tc>
          <w:tcPr>
            <w:tcW w:type="dxa" w:w="3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100%</w:t>
            </w:r>
          </w:p>
        </w:tc>
      </w:tr>
      <w:tr>
        <w:tc>
          <w:tcPr>
            <w:tcW w:type="dxa" w:w="2600"/>
            <w:tcMar>
              <w:top w:type="dxa" w:w="60"/>
              <w:left w:type="dxa" w:w="100"/>
              <w:bottom w:type="dxa" w:w="60"/>
              <w:right w:type="dxa" w:w="100"/>
            </w:tcMar>
          </w:tcPr>
          <w:p>
            <w:pPr>
              <w:jc w:val="left"/>
            </w:pPr>
            <w:r>
              <w:rPr>
                <w:b w:val="false"/>
                <w:bCs w:val="false"/>
                <w:sz w:val="18"/>
                <w:szCs w:val="18"/>
              </w:rPr>
              <w:t xml:space="preserve">30</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42,076</w:t>
            </w:r>
          </w:p>
        </w:tc>
        <w:tc>
          <w:tcPr>
            <w:tcW w:type="dxa" w:w="3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86.1%</w:t>
            </w:r>
          </w:p>
        </w:tc>
      </w:tr>
      <w:tr>
        <w:tc>
          <w:tcPr>
            <w:tcW w:type="dxa" w:w="2600"/>
            <w:tcMar>
              <w:top w:type="dxa" w:w="60"/>
              <w:left w:type="dxa" w:w="100"/>
              <w:bottom w:type="dxa" w:w="60"/>
              <w:right w:type="dxa" w:w="100"/>
            </w:tcMar>
          </w:tcPr>
          <w:p>
            <w:pPr>
              <w:jc w:val="left"/>
            </w:pPr>
            <w:r>
              <w:rPr>
                <w:b w:val="false"/>
                <w:bCs w:val="false"/>
                <w:sz w:val="18"/>
                <w:szCs w:val="18"/>
              </w:rPr>
              <w:t xml:space="preserve">50</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27,729</w:t>
            </w:r>
          </w:p>
        </w:tc>
        <w:tc>
          <w:tcPr>
            <w:tcW w:type="dxa" w:w="3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56.7%</w:t>
            </w:r>
          </w:p>
        </w:tc>
      </w:tr>
      <w:tr>
        <w:tc>
          <w:tcPr>
            <w:tcW w:type="dxa" w:w="2600"/>
            <w:tcMar>
              <w:top w:type="dxa" w:w="60"/>
              <w:left w:type="dxa" w:w="100"/>
              <w:bottom w:type="dxa" w:w="60"/>
              <w:right w:type="dxa" w:w="100"/>
            </w:tcMar>
          </w:tcPr>
          <w:p>
            <w:pPr>
              <w:jc w:val="left"/>
            </w:pPr>
            <w:r>
              <w:rPr>
                <w:b w:val="false"/>
                <w:bCs w:val="false"/>
                <w:sz w:val="18"/>
                <w:szCs w:val="18"/>
              </w:rPr>
              <w:t xml:space="preserve">69</w:t>
            </w:r>
          </w:p>
        </w:tc>
        <w:tc>
          <w:tcPr>
            <w:tcW w:type="dxa" w:w="360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w:t>
            </w:r>
          </w:p>
        </w:tc>
        <w:tc>
          <w:tcPr>
            <w:tcW w:type="dxa" w:w="316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w:t>
            </w:r>
          </w:p>
        </w:tc>
      </w:tr>
    </w:tbl>
    <w:p>
      <w:pPr>
        <w:spacing w:after="160"/>
      </w:pPr>
    </w:p>
    <w:p>
      <w:pPr>
        <w:spacing w:after="120"/>
      </w:pPr>
      <w:r>
        <w:t xml:space="preserve">The spatial rungs required a window origin present at every station. At the full network no hour at all is reported by every station, so that half of the project could not run. This also retroactively explains two earlier failures of roughly eighteen hours each: they reached rung 5, which needs no alignment, and would have died at rung 6 regardless of the memory exhaustion that actually killed them.</w:t>
      </w:r>
    </w:p>
    <w:p>
      <w:pPr>
        <w:spacing w:after="120"/>
      </w:pPr>
      <w:r>
        <w:t xml:space="preserve">The fix is to require that at least 60% of stations reported an hour, with absent stations zero-filled and flagged in a mask. The mask is load-bearing rather than cosmetic: features are z-scored, so the zero fill is each station's own training mean, and an unmasked model reads "absent" as "sitting exactly at its average" — for a fault detector, the worst possible default.</w:t>
      </w:r>
    </w:p>
    <w:p>
      <w:pPr>
        <w:pStyle w:val="Heading2"/>
        <w:spacing w:after="120" w:before="280"/>
      </w:pPr>
      <w:bookmarkStart w:name="_Toc43" w:id="43"/>
      <w:r>
        <w:t xml:space="preserve">9.2 Wall two — stations with no scoreable overlap</w:t>
      </w:r>
      <w:bookmarkEnd w:id="43"/>
    </w:p>
    <w:p>
      <w:pPr>
        <w:spacing w:after="120"/>
      </w:pPr>
      <w:r>
        <w:t xml:space="preserve">With masking in place, rung 4 trained successfully on all 69 stations and then died at scoring. Not a masking bug: splits are per-station and chronological, so a station whose record spans 2017 to 2018 has its validation window in 2018, and if the network's densely reported hours fall elsewhere it shares no scoreable origin with the rest. Six of 69 stations have exactly zero. Masked alignment lets the spatial rungs see the whole network; it cannot conjure overlap that does not exist.</w:t>
      </w:r>
    </w:p>
    <w:p>
      <w:pPr>
        <w:pStyle w:val="Heading2"/>
        <w:spacing w:after="120" w:before="280"/>
      </w:pPr>
      <w:bookmarkStart w:name="_Toc44" w:id="44"/>
      <w:r>
        <w:t xml:space="preserve">9.3 Wall three — memory, twice, for different reasons</w:t>
      </w:r>
      <w:bookmarkEnd w:id="44"/>
    </w:p>
    <w:p>
      <w:pPr>
        <w:spacing w:after="120"/>
      </w:pPr>
      <w:r>
        <w:t xml:space="preserve">First, loading 69 stations when only 30 were needed; fixed by truncating the station list before any window array is read, since truncating afterwards still pays the full peak. Second, rung 4 materialised a dense cross-station tensor of 6.64 gigabytes for training alone, duplicating per-station arrays already resident; fixed by assembling each batch on access, which costs about 19 megabytes per batch and keeps peak memory flat.</w:t>
      </w:r>
    </w:p>
    <w:p>
      <w:pPr>
        <w:pStyle w:val="Heading2"/>
        <w:spacing w:after="120" w:before="280"/>
      </w:pPr>
      <w:bookmarkStart w:name="_Toc45" w:id="45"/>
      <w:r>
        <w:t xml:space="preserve">9.4 The discrete GPU was never being used</w:t>
      </w:r>
      <w:bookmarkEnd w:id="45"/>
    </w:p>
    <w:p>
      <w:pPr>
        <w:spacing w:after="120"/>
      </w:pPr>
      <w:r>
        <w:t xml:space="preserve">Every run until 14 October, including two of roughly eighteen hours, was processor-bound: the installed PyTorch wheel was a CPU-only build on a machine with an idle RTX 4060. After switching to the matching CUDA build, the node GRU trains 5.4 times faster and the spatial network 3.9 times faster, with losses agreeing to five decimal places across devices.</w:t>
      </w:r>
    </w:p>
    <w:p>
      <w:r>
        <w:br w:type="page"/>
      </w:r>
    </w:p>
    <w:p>
      <w:pPr>
        <w:pStyle w:val="Heading1"/>
        <w:spacing w:after="160" w:before="360"/>
      </w:pPr>
      <w:bookmarkStart w:name="_Toc46" w:id="46"/>
      <w:r>
        <w:t xml:space="preserve">10. Generalization to Delhi</w:t>
      </w:r>
      <w:bookmarkEnd w:id="46"/>
    </w:p>
    <w:p>
      <w:pPr>
        <w:spacing w:after="120"/>
      </w:pPr>
      <w:r>
        <w:t xml:space="preserve">A Catalonia-trained model applied to seven Delhi stations without retraining, over the 22 feature columns the regions share. India is a generalization test only: never trained on, every row marked synthetic, and both the injection rate and episode durations borrowed from the measured European values because the Indian source has no validity equivalent.</w:t>
      </w:r>
    </w:p>
    <w:p>
      <w:pPr>
        <w:pStyle w:val="Heading2"/>
        <w:spacing w:after="120" w:before="280"/>
      </w:pPr>
      <w:bookmarkStart w:name="_Toc47" w:id="47"/>
      <w:r>
        <w:t xml:space="preserve">10.1 Forecasting transfers better than predicted</w:t>
      </w:r>
      <w:bookmarkEnd w:id="4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shd w:fill="EEF3F3" w:val="clear"/>
            <w:tcMar>
              <w:top w:type="dxa" w:w="60"/>
              <w:left w:type="dxa" w:w="100"/>
              <w:bottom w:type="dxa" w:w="60"/>
              <w:right w:type="dxa" w:w="100"/>
            </w:tcMar>
          </w:tcPr>
          <w:p>
            <w:pPr>
              <w:jc w:val="left"/>
            </w:pPr>
            <w:r>
              <w:rPr>
                <w:b/>
                <w:bCs/>
                <w:sz w:val="18"/>
                <w:szCs w:val="18"/>
              </w:rPr>
              <w:t xml:space="preserve">Region</w:t>
            </w:r>
          </w:p>
        </w:tc>
        <w:tc>
          <w:tcPr>
            <w:tcW w:type="dxa" w:w="1740"/>
            <w:shd w:fill="EEF3F3" w:val="clear"/>
            <w:tcMar>
              <w:top w:type="dxa" w:w="60"/>
              <w:left w:type="dxa" w:w="100"/>
              <w:bottom w:type="dxa" w:w="60"/>
              <w:right w:type="dxa" w:w="100"/>
            </w:tcMar>
          </w:tcPr>
          <w:p>
            <w:pPr>
              <w:jc w:val="right"/>
            </w:pPr>
            <w:r>
              <w:rPr>
                <w:b/>
                <w:bCs/>
                <w:sz w:val="18"/>
                <w:szCs w:val="18"/>
              </w:rPr>
              <w:t xml:space="preserve">RMSE 1h</w:t>
            </w:r>
          </w:p>
        </w:tc>
        <w:tc>
          <w:tcPr>
            <w:tcW w:type="dxa" w:w="1740"/>
            <w:shd w:fill="EEF3F3" w:val="clear"/>
            <w:tcMar>
              <w:top w:type="dxa" w:w="60"/>
              <w:left w:type="dxa" w:w="100"/>
              <w:bottom w:type="dxa" w:w="60"/>
              <w:right w:type="dxa" w:w="100"/>
            </w:tcMar>
          </w:tcPr>
          <w:p>
            <w:pPr>
              <w:jc w:val="right"/>
            </w:pPr>
            <w:r>
              <w:rPr>
                <w:b/>
                <w:bCs/>
                <w:sz w:val="18"/>
                <w:szCs w:val="18"/>
              </w:rPr>
              <w:t xml:space="preserve">RMSE 6h</w:t>
            </w:r>
          </w:p>
        </w:tc>
        <w:tc>
          <w:tcPr>
            <w:tcW w:type="dxa" w:w="1740"/>
            <w:shd w:fill="EEF3F3" w:val="clear"/>
            <w:tcMar>
              <w:top w:type="dxa" w:w="60"/>
              <w:left w:type="dxa" w:w="100"/>
              <w:bottom w:type="dxa" w:w="60"/>
              <w:right w:type="dxa" w:w="100"/>
            </w:tcMar>
          </w:tcPr>
          <w:p>
            <w:pPr>
              <w:jc w:val="right"/>
            </w:pPr>
            <w:r>
              <w:rPr>
                <w:b/>
                <w:bCs/>
                <w:sz w:val="18"/>
                <w:szCs w:val="18"/>
              </w:rPr>
              <w:t xml:space="preserve">MAPE 1h</w:t>
            </w:r>
          </w:p>
        </w:tc>
        <w:tc>
          <w:tcPr>
            <w:tcW w:type="dxa" w:w="1740"/>
            <w:shd w:fill="EEF3F3" w:val="clear"/>
            <w:tcMar>
              <w:top w:type="dxa" w:w="60"/>
              <w:left w:type="dxa" w:w="100"/>
              <w:bottom w:type="dxa" w:w="60"/>
              <w:right w:type="dxa" w:w="100"/>
            </w:tcMar>
          </w:tcPr>
          <w:p>
            <w:pPr>
              <w:jc w:val="right"/>
            </w:pPr>
            <w:r>
              <w:rPr>
                <w:b/>
                <w:bCs/>
                <w:sz w:val="18"/>
                <w:szCs w:val="18"/>
              </w:rPr>
              <w:t xml:space="preserve">MAPE 6h</w:t>
            </w:r>
          </w:p>
        </w:tc>
      </w:tr>
      <w:tr>
        <w:tc>
          <w:tcPr>
            <w:tcW w:type="dxa" w:w="2400"/>
            <w:tcMar>
              <w:top w:type="dxa" w:w="60"/>
              <w:left w:type="dxa" w:w="100"/>
              <w:bottom w:type="dxa" w:w="60"/>
              <w:right w:type="dxa" w:w="100"/>
            </w:tcMar>
          </w:tcPr>
          <w:p>
            <w:pPr>
              <w:jc w:val="left"/>
            </w:pPr>
            <w:r>
              <w:rPr>
                <w:b w:val="false"/>
                <w:bCs w:val="false"/>
                <w:sz w:val="18"/>
                <w:szCs w:val="18"/>
              </w:rPr>
              <w:t xml:space="preserve">Catalonia</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15.09</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20.08</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34.0%</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68.3%</w:t>
            </w:r>
          </w:p>
        </w:tc>
      </w:tr>
      <w:tr>
        <w:tc>
          <w:tcPr>
            <w:tcW w:type="dxa" w:w="2400"/>
            <w:tcMar>
              <w:top w:type="dxa" w:w="60"/>
              <w:left w:type="dxa" w:w="100"/>
              <w:bottom w:type="dxa" w:w="60"/>
              <w:right w:type="dxa" w:w="100"/>
            </w:tcMar>
          </w:tcPr>
          <w:p>
            <w:pPr>
              <w:jc w:val="left"/>
            </w:pPr>
            <w:r>
              <w:rPr>
                <w:b w:val="false"/>
                <w:bCs w:val="false"/>
                <w:sz w:val="18"/>
                <w:szCs w:val="18"/>
              </w:rPr>
              <w:t xml:space="preserve">Delhi</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48.90</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58.32</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41.7%</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68.7%</w:t>
            </w:r>
          </w:p>
        </w:tc>
      </w:tr>
    </w:tbl>
    <w:p>
      <w:pPr>
        <w:spacing w:after="160"/>
      </w:pPr>
    </w:p>
    <w:p>
      <w:pPr>
        <w:spacing w:after="120"/>
      </w:pPr>
      <w:r>
        <w:t xml:space="preserve">Absolute error is 3.2 times worse, which looks damning until relative error is examined: mean absolute percentage error is essentially identical at the six-hour horizon. The gap is scale — Delhi's pollution is simply higher. The design contract predicted the learned weather-to-pollution relationship would not describe Delhi's biomass and dust sources; measured, that effect is much smaller than expected.</w:t>
      </w:r>
    </w:p>
    <w:p>
      <w:pPr>
        <w:pStyle w:val="Heading2"/>
        <w:spacing w:after="120" w:before="280"/>
      </w:pPr>
      <w:bookmarkStart w:name="_Toc48" w:id="48"/>
      <w:r>
        <w:t xml:space="preserve">10.2 What actually breaks: calibration stability</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shd w:fill="EEF3F3" w:val="clear"/>
            <w:tcMar>
              <w:top w:type="dxa" w:w="60"/>
              <w:left w:type="dxa" w:w="100"/>
              <w:bottom w:type="dxa" w:w="60"/>
              <w:right w:type="dxa" w:w="100"/>
            </w:tcMar>
          </w:tcPr>
          <w:p>
            <w:pPr>
              <w:jc w:val="left"/>
            </w:pPr>
            <w:r>
              <w:rPr>
                <w:b/>
                <w:bCs/>
                <w:sz w:val="18"/>
                <w:szCs w:val="18"/>
              </w:rPr>
              <w:t xml:space="preserve">Region</w:t>
            </w:r>
          </w:p>
        </w:tc>
        <w:tc>
          <w:tcPr>
            <w:tcW w:type="dxa" w:w="1740"/>
            <w:shd w:fill="EEF3F3" w:val="clear"/>
            <w:tcMar>
              <w:top w:type="dxa" w:w="60"/>
              <w:left w:type="dxa" w:w="100"/>
              <w:bottom w:type="dxa" w:w="60"/>
              <w:right w:type="dxa" w:w="100"/>
            </w:tcMar>
          </w:tcPr>
          <w:p>
            <w:pPr>
              <w:jc w:val="right"/>
            </w:pPr>
            <w:r>
              <w:rPr>
                <w:b/>
                <w:bCs/>
                <w:sz w:val="18"/>
                <w:szCs w:val="18"/>
              </w:rPr>
              <w:t xml:space="preserve">Minimum</w:t>
            </w:r>
          </w:p>
        </w:tc>
        <w:tc>
          <w:tcPr>
            <w:tcW w:type="dxa" w:w="1740"/>
            <w:shd w:fill="EEF3F3" w:val="clear"/>
            <w:tcMar>
              <w:top w:type="dxa" w:w="60"/>
              <w:left w:type="dxa" w:w="100"/>
              <w:bottom w:type="dxa" w:w="60"/>
              <w:right w:type="dxa" w:w="100"/>
            </w:tcMar>
          </w:tcPr>
          <w:p>
            <w:pPr>
              <w:jc w:val="right"/>
            </w:pPr>
            <w:r>
              <w:rPr>
                <w:b/>
                <w:bCs/>
                <w:sz w:val="18"/>
                <w:szCs w:val="18"/>
              </w:rPr>
              <w:t xml:space="preserve">Median</w:t>
            </w:r>
          </w:p>
        </w:tc>
        <w:tc>
          <w:tcPr>
            <w:tcW w:type="dxa" w:w="1740"/>
            <w:shd w:fill="EEF3F3" w:val="clear"/>
            <w:tcMar>
              <w:top w:type="dxa" w:w="60"/>
              <w:left w:type="dxa" w:w="100"/>
              <w:bottom w:type="dxa" w:w="60"/>
              <w:right w:type="dxa" w:w="100"/>
            </w:tcMar>
          </w:tcPr>
          <w:p>
            <w:pPr>
              <w:jc w:val="right"/>
            </w:pPr>
            <w:r>
              <w:rPr>
                <w:b/>
                <w:bCs/>
                <w:sz w:val="18"/>
                <w:szCs w:val="18"/>
              </w:rPr>
              <w:t xml:space="preserve">Maximum</w:t>
            </w:r>
          </w:p>
        </w:tc>
        <w:tc>
          <w:tcPr>
            <w:tcW w:type="dxa" w:w="1740"/>
            <w:shd w:fill="EEF3F3" w:val="clear"/>
            <w:tcMar>
              <w:top w:type="dxa" w:w="60"/>
              <w:left w:type="dxa" w:w="100"/>
              <w:bottom w:type="dxa" w:w="60"/>
              <w:right w:type="dxa" w:w="100"/>
            </w:tcMar>
          </w:tcPr>
          <w:p>
            <w:pPr>
              <w:jc w:val="right"/>
            </w:pPr>
            <w:r>
              <w:rPr>
                <w:b/>
                <w:bCs/>
                <w:sz w:val="18"/>
                <w:szCs w:val="18"/>
              </w:rPr>
              <w:t xml:space="preserve">Spread</w:t>
            </w:r>
          </w:p>
        </w:tc>
      </w:tr>
      <w:tr>
        <w:tc>
          <w:tcPr>
            <w:tcW w:type="dxa" w:w="2400"/>
            <w:tcMar>
              <w:top w:type="dxa" w:w="60"/>
              <w:left w:type="dxa" w:w="100"/>
              <w:bottom w:type="dxa" w:w="60"/>
              <w:right w:type="dxa" w:w="100"/>
            </w:tcMar>
          </w:tcPr>
          <w:p>
            <w:pPr>
              <w:jc w:val="left"/>
            </w:pPr>
            <w:r>
              <w:rPr>
                <w:b w:val="false"/>
                <w:bCs w:val="false"/>
                <w:sz w:val="18"/>
                <w:szCs w:val="18"/>
              </w:rPr>
              <w:t xml:space="preserve">Catalonia</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1.771</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2.473</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2.844</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1.6x</w:t>
            </w:r>
          </w:p>
        </w:tc>
      </w:tr>
      <w:tr>
        <w:tc>
          <w:tcPr>
            <w:tcW w:type="dxa" w:w="2400"/>
            <w:tcMar>
              <w:top w:type="dxa" w:w="60"/>
              <w:left w:type="dxa" w:w="100"/>
              <w:bottom w:type="dxa" w:w="60"/>
              <w:right w:type="dxa" w:w="100"/>
            </w:tcMar>
          </w:tcPr>
          <w:p>
            <w:pPr>
              <w:jc w:val="left"/>
            </w:pPr>
            <w:r>
              <w:rPr>
                <w:b w:val="false"/>
                <w:bCs w:val="false"/>
                <w:sz w:val="18"/>
                <w:szCs w:val="18"/>
              </w:rPr>
              <w:t xml:space="preserve">Delhi</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0.564</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3.022</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15.103</w:t>
            </w:r>
          </w:p>
        </w:tc>
        <w:tc>
          <w:tcPr>
            <w:tcW w:type="dxa" w:w="1740"/>
            <w:tcMar>
              <w:top w:type="dxa" w:w="60"/>
              <w:left w:type="dxa" w:w="100"/>
              <w:bottom w:type="dxa" w:w="60"/>
              <w:right w:type="dxa" w:w="100"/>
            </w:tcMar>
          </w:tcPr>
          <w:p>
            <w:pPr>
              <w:jc w:val="right"/>
            </w:pPr>
            <w:r>
              <w:rPr>
                <w:rFonts w:ascii="Consolas" w:cs="Consolas" w:eastAsia="Consolas" w:hAnsi="Consolas"/>
                <w:b w:val="false"/>
                <w:bCs w:val="false"/>
                <w:sz w:val="18"/>
                <w:szCs w:val="18"/>
              </w:rPr>
              <w:t xml:space="preserve">26.8x</w:t>
            </w:r>
          </w:p>
        </w:tc>
      </w:tr>
    </w:tbl>
    <w:p>
      <w:pPr>
        <w:spacing w:after="160"/>
      </w:pPr>
    </w:p>
    <w:p>
      <w:pPr>
        <w:pBdr>
          <w:left w:val="single" w:color="0C6D6D" w:sz="12" w:space="8"/>
        </w:pBdr>
        <w:spacing w:after="160"/>
        <w:ind w:left="180"/>
      </w:pPr>
      <w:r>
        <w:rPr>
          <w:i/>
          <w:iCs/>
          <w:color w:val="5A6D6C"/>
          <w:sz w:val="20"/>
          <w:szCs w:val="20"/>
        </w:rPr>
        <w:t xml:space="preserve">The contract asked for the threshold shift as the result. That number is 1.22x — and reporting it alone would have hidden everything that matters. The failure is a collapse of calibration stability, and the median was the pooling that concealed it.</w:t>
      </w:r>
    </w:p>
    <w:p>
      <w:pPr>
        <w:pStyle w:val="Heading2"/>
        <w:spacing w:after="120" w:before="280"/>
      </w:pPr>
      <w:bookmarkStart w:name="_Toc49" w:id="49"/>
      <w:r>
        <w:t xml:space="preserve">10.3 The counterintuitive consequence</w:t>
      </w:r>
      <w:bookmarkEnd w:id="49"/>
    </w:p>
    <w:p>
      <w:pPr>
        <w:spacing w:after="120"/>
      </w:pPr>
      <w:r>
        <w:t xml:space="preserve">Delhi detects better with Catalonia's threshold (precision 0.564) than with one fitted to its own validation window (0.092). Two stations calibrating near 0.5 flag 545 readings between them and annihilate precision, while one borrowed threshold flags 94 and keeps it. Of the contract's two options, per-station local calibration is the worse one here — the Delhi validation split is too short to estimate a rare-event threshold stably. That is a claim about validation-window length rather than about India.</w:t>
      </w:r>
    </w:p>
    <w:p>
      <w:r>
        <w:br w:type="page"/>
      </w:r>
    </w:p>
    <w:p>
      <w:pPr>
        <w:pStyle w:val="Heading1"/>
        <w:spacing w:after="160" w:before="360"/>
      </w:pPr>
      <w:bookmarkStart w:name="_Toc50" w:id="50"/>
      <w:r>
        <w:t xml:space="preserve">11. What Did Not Work</w:t>
      </w:r>
      <w:bookmarkEnd w:id="50"/>
    </w:p>
    <w:p>
      <w:pPr>
        <w:pStyle w:val="Heading2"/>
        <w:spacing w:after="120" w:before="280"/>
      </w:pPr>
      <w:bookmarkStart w:name="_Toc51" w:id="51"/>
      <w:r>
        <w:t xml:space="preserve">11.1 Clustered aggregation — measured and rejected</w:t>
      </w:r>
      <w:bookmarkEnd w:id="51"/>
    </w:p>
    <w:p>
      <w:pPr>
        <w:spacing w:after="120"/>
      </w:pPr>
      <w:r>
        <w:t xml:space="preserve">Community-based aggregation is worse on forecast error at every horizon and on F1, better only on the false-positive control. The reason matters more than the result: clustering split the stations into communities of 18, 9, 1, 1 and 1, and equal weight per community hands three singleton stations 60% of the global model between them. The rule exists so that a crowd cannot outvote a lone station; at this community structure it overcorrects into exactly the opposite failure.</w:t>
      </w:r>
    </w:p>
    <w:p>
      <w:pPr>
        <w:pStyle w:val="Heading2"/>
        <w:spacing w:after="120" w:before="280"/>
      </w:pPr>
      <w:bookmarkStart w:name="_Toc52" w:id="52"/>
      <w:r>
        <w:t xml:space="preserve">11.2 Federation does not help forecasting at moderate scale</w:t>
      </w:r>
      <w:bookmarkEnd w:id="52"/>
    </w:p>
    <w:p>
      <w:pPr>
        <w:spacing w:after="120"/>
      </w:pPr>
      <w:r>
        <w:t xml:space="preserve">At 30 stations, purely local per-station models beat the federated global model at every horizon. One shared forecaster across heterogeneous stations is worse than many local ones. Federation earns its place through the spatial half, not through weight sharing. At 69 stations the comparison changes, for the structural reason given in Section 6.5.</w:t>
      </w:r>
    </w:p>
    <w:p>
      <w:pPr>
        <w:pStyle w:val="Heading2"/>
        <w:spacing w:after="120" w:before="280"/>
      </w:pPr>
      <w:bookmarkStart w:name="_Toc53" w:id="53"/>
      <w:r>
        <w:t xml:space="preserve">11.3 Drift remains largely unsolved</w:t>
      </w:r>
      <w:bookmarkEnd w:id="53"/>
    </w:p>
    <w:p>
      <w:pPr>
        <w:spacing w:after="120"/>
      </w:pPr>
      <w:r>
        <w:t xml:space="preserve">Per-reading drift recall is about 0.013 even at full scale. The station-level channel works but identifies stations, not readings.</w:t>
      </w:r>
    </w:p>
    <w:p>
      <w:pPr>
        <w:pStyle w:val="Heading1"/>
        <w:spacing w:after="160" w:before="360"/>
      </w:pPr>
      <w:bookmarkStart w:name="_Toc54" w:id="54"/>
      <w:r>
        <w:t xml:space="preserve">12. Engineering Lessons</w:t>
      </w:r>
      <w:bookmarkEnd w:id="54"/>
    </w:p>
    <w:p>
      <w:pPr>
        <w:pStyle w:val="ListParagraph"/>
        <w:numPr>
          <w:ilvl w:val="0"/>
          <w:numId w:val="2"/>
        </w:numPr>
        <w:spacing w:after="80"/>
      </w:pPr>
      <w:r>
        <w:t xml:space="preserve">Never pipe a background job through a pager or filter. It buffers until the stream ends, so progress is invisible — and the pipeline's exit code belongs to the filter, so a run that died was reported as having completed successfully.</w:t>
      </w:r>
    </w:p>
    <w:p>
      <w:pPr>
        <w:pStyle w:val="ListParagraph"/>
        <w:numPr>
          <w:ilvl w:val="0"/>
          <w:numId w:val="2"/>
        </w:numPr>
        <w:spacing w:after="80"/>
      </w:pPr>
      <w:r>
        <w:t xml:space="preserve">Do not edit source while a long job runs. A lazy import picked up a new module against a dependency the process had cached before the edit, losing fifty minutes of training.</w:t>
      </w:r>
    </w:p>
    <w:p>
      <w:pPr>
        <w:pStyle w:val="ListParagraph"/>
        <w:numPr>
          <w:ilvl w:val="0"/>
          <w:numId w:val="2"/>
        </w:numPr>
        <w:spacing w:after="80"/>
      </w:pPr>
      <w:r>
        <w:t xml:space="preserve">A silent fallback is worse than a crash. A table of detection rates by fault size hardcoded the wrong dataset names, skipped 24 of 30 stations, and produced output formatted identically to a correct result.</w:t>
      </w:r>
    </w:p>
    <w:p>
      <w:pPr>
        <w:pStyle w:val="ListParagraph"/>
        <w:numPr>
          <w:ilvl w:val="0"/>
          <w:numId w:val="2"/>
        </w:numPr>
        <w:spacing w:after="80"/>
      </w:pPr>
      <w:r>
        <w:t xml:space="preserve">Check what the loss is divided by. A masked loss divided by the station-sample count while summing over the forecast horizon, inflating the reported figure exactly sixfold.</w:t>
      </w:r>
    </w:p>
    <w:p>
      <w:pPr>
        <w:pStyle w:val="ListParagraph"/>
        <w:numPr>
          <w:ilvl w:val="0"/>
          <w:numId w:val="2"/>
        </w:numPr>
        <w:spacing w:after="80"/>
      </w:pPr>
      <w:r>
        <w:t xml:space="preserve">Verify the accelerator is actually in use. Two multi-hour runs were processor-bound on a machine with an idle GPU.</w:t>
      </w:r>
    </w:p>
    <w:p>
      <w:r>
        <w:br w:type="page"/>
      </w:r>
    </w:p>
    <w:p>
      <w:pPr>
        <w:pStyle w:val="Heading1"/>
        <w:spacing w:after="160" w:before="360"/>
      </w:pPr>
      <w:bookmarkStart w:name="_Toc55" w:id="55"/>
      <w:r>
        <w:t xml:space="preserve">13. Honest Summary</w:t>
      </w:r>
      <w:bookmarkEnd w:id="55"/>
    </w:p>
    <w:p>
      <w:pPr>
        <w:pStyle w:val="Heading2"/>
        <w:spacing w:after="120" w:before="280"/>
      </w:pPr>
      <w:bookmarkStart w:name="_Toc56" w:id="56"/>
      <w:r>
        <w:t xml:space="preserve">What is established</w:t>
      </w:r>
      <w:bookmarkEnd w:id="56"/>
    </w:p>
    <w:p>
      <w:pPr>
        <w:spacing w:after="120"/>
      </w:pPr>
      <w:r>
        <w:t xml:space="preserve">Cross-station spatial reasoning from compressed embeddings genuinely improves fault detection, and genuinely costs precision. Both effects survive the strict resampling test at 69 stations, where the net effect on F1 also becomes established. The privacy constraint costs nothing measurable in F1 against a centralised model with full raw data access. All of this is specific to node sets of roughly 30 or more; at seven stations nothing was establishable.</w:t>
      </w:r>
    </w:p>
    <w:p>
      <w:pPr>
        <w:pStyle w:val="Heading2"/>
        <w:spacing w:after="120" w:before="280"/>
      </w:pPr>
      <w:bookmarkStart w:name="_Toc57" w:id="57"/>
      <w:r>
        <w:t xml:space="preserve">What is specific and mechanical</w:t>
      </w:r>
      <w:bookmarkEnd w:id="57"/>
    </w:p>
    <w:p>
      <w:pPr>
        <w:spacing w:after="120"/>
      </w:pPr>
      <w:r>
        <w:t xml:space="preserve">The mechanism works where faults make a station easier to forecast — stuck sensors and dropouts — and is actively worse on spikes, where the local residual was already the best available signal. This is not a lucky aggregate; it follows from what each fault does to the residual.</w:t>
      </w:r>
    </w:p>
    <w:p>
      <w:pPr>
        <w:pStyle w:val="Heading2"/>
        <w:spacing w:after="120" w:before="280"/>
      </w:pPr>
      <w:bookmarkStart w:name="_Toc58" w:id="58"/>
      <w:r>
        <w:t xml:space="preserve">What is not solved</w:t>
      </w:r>
      <w:bookmarkEnd w:id="58"/>
    </w:p>
    <w:p>
      <w:pPr>
        <w:spacing w:after="120"/>
      </w:pPr>
      <w:r>
        <w:t xml:space="preserve">Per-reading drift. Constant bias. Anything below roughly one standard deviation, where detection stays under 0.21 even at the permissive operating point. And on a small cluster the spatial mechanism can be actively harmful, flagging 80% of genuine extremes.</w:t>
      </w:r>
    </w:p>
    <w:p>
      <w:pPr>
        <w:pStyle w:val="Heading2"/>
        <w:spacing w:after="120" w:before="280"/>
      </w:pPr>
      <w:bookmarkStart w:name="_Toc59" w:id="59"/>
      <w:r>
        <w:t xml:space="preserve">What the project cannot yet claim</w:t>
      </w:r>
      <w:bookmarkEnd w:id="59"/>
    </w:p>
    <w:p>
      <w:pPr>
        <w:pBdr>
          <w:left w:val="single" w:color="0C6D6D" w:sz="12" w:space="8"/>
        </w:pBdr>
        <w:spacing w:after="160"/>
        <w:ind w:left="180"/>
      </w:pPr>
      <w:r>
        <w:rPr>
          <w:i/>
          <w:iCs/>
          <w:color w:val="5A6D6C"/>
          <w:sz w:val="20"/>
          <w:szCs w:val="20"/>
        </w:rPr>
        <w:t xml:space="preserve">That any of this works at scale on real faults. Almost every fault number is measured against synthetic injection, because the primary dataset destroys the readings its own fault labels point at. A 16-fault real experiment corroborates the synthetic methodology — real detection landed inside the predicted range — but corroboration at n=16 is not the same as evidence at scale. Closing that gap requires a larger co-located deployment, not more compute.</w:t>
      </w:r>
    </w:p>
    <w:p>
      <w:pPr>
        <w:spacing w:after="160"/>
      </w:pPr>
    </w:p>
    <w:p>
      <w:pPr>
        <w:spacing w:after="120"/>
      </w:pPr>
      <w:r>
        <w:rPr>
          <w:i/>
          <w:iCs/>
          <w:color w:val="5A6D6C"/>
          <w:sz w:val="20"/>
          <w:szCs w:val="20"/>
        </w:rPr>
        <w:t xml:space="preserve">Every figure in this report traces to a run under the project's outputs directory or to a dated entry in its append-only build log. Nothing is an estimate unless it says so.</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Light" w:cs="Calibri Light" w:eastAsia="Calibri Light" w:hAnsi="Calibri Light"/>
      <w:b/>
      <w:bCs/>
      <w:color w:val="0C6D6D"/>
      <w:sz w:val="34"/>
      <w:szCs w:val="34"/>
    </w:rPr>
  </w:style>
  <w:style w:type="paragraph" w:styleId="Heading2">
    <w:name w:val="Heading 2"/>
    <w:basedOn w:val="Normal"/>
    <w:next w:val="Normal"/>
    <w:qFormat/>
    <w:rPr>
      <w:rFonts w:ascii="Calibri Light" w:cs="Calibri Light" w:eastAsia="Calibri Light" w:hAnsi="Calibri Light"/>
      <w:b/>
      <w:bCs/>
      <w:color w:val="10201F"/>
      <w:sz w:val="26"/>
      <w:szCs w:val="26"/>
    </w:rPr>
  </w:style>
  <w:style w:type="paragraph" w:styleId="Heading3">
    <w:name w:val="Heading 3"/>
    <w:basedOn w:val="Normal"/>
    <w:next w:val="Normal"/>
    <w:qFormat/>
    <w:rPr>
      <w:rFonts w:ascii="Calibri" w:cs="Calibri" w:eastAsia="Calibri" w:hAnsi="Calibri"/>
      <w:b/>
      <w:bCs/>
      <w:color w:val="5A6D6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FedAirGuard — Full Technical Report</dc:title>
  <dc:creator>FedAirGuard</dc:creator>
  <dc:description>Privacy-preserving federated spatiotemporal AI for air-quality sensor fault detection</dc:description>
  <cp:lastModifiedBy>Un-named</cp:lastModifiedBy>
  <cp:revision>1</cp:revision>
  <dcterms:created xsi:type="dcterms:W3CDTF">2026-10-14T12:52:57.849Z</dcterms:created>
  <dcterms:modified xsi:type="dcterms:W3CDTF">2026-10-14T12:52:57.850Z</dcterms:modified>
</cp:coreProperties>
</file>

<file path=docProps/custom.xml><?xml version="1.0" encoding="utf-8"?>
<Properties xmlns="http://schemas.openxmlformats.org/officeDocument/2006/custom-properties" xmlns:vt="http://schemas.openxmlformats.org/officeDocument/2006/docPropsVTypes"/>
</file>