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sz w:val="72"/>
          <w:szCs w:val="72"/>
        </w:rPr>
        <w:t xml:space="preserve">🏛</w:t>
      </w:r>
    </w:p>
    <w:p>
      <w:pPr>
        <w:pStyle w:val="Title"/>
        <w:jc w:val="center"/>
      </w:pPr>
      <w:r>
        <w:rPr>
          <w:b/>
          <w:bCs/>
          <w:color w:val="1F3864"/>
          <w:sz w:val="56"/>
          <w:szCs w:val="56"/>
        </w:rPr>
        <w:t xml:space="preserve">Government Budget Intelligence</w:t>
      </w:r>
    </w:p>
    <w:p>
      <w:pPr>
        <w:spacing w:after="400"/>
        <w:jc w:val="center"/>
      </w:pPr>
      <w:r>
        <w:rPr>
          <w:b/>
          <w:bCs/>
          <w:color w:val="1F3864"/>
          <w:sz w:val="56"/>
          <w:szCs w:val="56"/>
        </w:rPr>
        <w:t xml:space="preserve">&amp; Forecasting System</w:t>
      </w:r>
    </w:p>
    <w:p>
      <w:pPr>
        <w:spacing w:after="60"/>
        <w:jc w:val="center"/>
      </w:pPr>
      <w:r>
        <w:rPr>
          <w:i/>
          <w:iCs/>
          <w:color w:val="2E74B5"/>
          <w:sz w:val="28"/>
          <w:szCs w:val="28"/>
        </w:rPr>
        <w:t xml:space="preserve">A Data Science Capstone Project</w:t>
      </w:r>
    </w:p>
    <w:p>
      <w:pPr>
        <w:spacing w:after="600"/>
        <w:jc w:val="center"/>
      </w:pPr>
      <w:r>
        <w:rPr>
          <w:color w:val="595959"/>
          <w:sz w:val="22"/>
          <w:szCs w:val="22"/>
        </w:rPr>
        <w:t xml:space="preserve">Budget Analysis · Variance Detection · Multi-Year Budget Projection</w:t>
      </w:r>
    </w:p>
    <w:p>
      <w:pPr>
        <w:spacing w:after="60" w:before="1200"/>
        <w:jc w:val="center"/>
      </w:pPr>
      <w:r>
        <w:rPr>
          <w:b/>
          <w:bCs/>
          <w:sz w:val="24"/>
          <w:szCs w:val="24"/>
        </w:rPr>
        <w:t xml:space="preserve">Project Report</w:t>
      </w:r>
    </w:p>
    <w:p>
      <w:pPr>
        <w:spacing w:after="60"/>
        <w:jc w:val="center"/>
      </w:pPr>
      <w:r>
        <w:rPr>
          <w:color w:val="595959"/>
          <w:sz w:val="22"/>
          <w:szCs w:val="22"/>
        </w:rPr>
        <w:t xml:space="preserve">Forecast Horizon: FY2026</w:t>
      </w:r>
    </w:p>
    <w:p>
      <w:pPr>
        <w:jc w:val="center"/>
      </w:pPr>
      <w:r>
        <w:rPr>
          <w:color w:val="595959"/>
          <w:sz w:val="22"/>
          <w:szCs w:val="22"/>
        </w:rPr>
        <w:t xml:space="preserve">August 2026</w:t>
      </w:r>
    </w:p>
    <w:p>
      <w:pPr>
        <w:spacing w:before="1600"/>
        <w:jc w:val="center"/>
      </w:pPr>
      <w:r>
        <w:rPr>
          <w:i/>
          <w:iCs/>
          <w:color w:val="595959"/>
          <w:sz w:val="18"/>
          <w:szCs w:val="18"/>
        </w:rPr>
        <w:t xml:space="preserve">Source notebook: Capstone_Budget_Intelligence.ipynb</w:t>
      </w:r>
    </w:p>
    <w:p>
      <w:pPr>
        <w:sectPr>
          <w:pgSz w:w="12240" w:h="15840" w:orient="portrait"/>
          <w:pgMar w:top="1440" w:right="1440" w:bottom="1440" w:left="1440" w:header="708" w:footer="708" w:gutter="0"/>
          <w:pgNumType/>
          <w:docGrid w:linePitch="360"/>
        </w:sectPr>
      </w:pP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160" w:before="360"/>
      </w:pPr>
      <w:r>
        <w:t xml:space="preserve">Executive Summary</w:t>
      </w:r>
    </w:p>
    <w:p>
      <w:pPr>
        <w:spacing w:after="160" w:line="276" w:lineRule="auto"/>
      </w:pPr>
      <w:r>
        <w:t xml:space="preserve">This capstone project builds an end-to-end budget intelligence pipeline for a public-sector agency: it ingests historical budget and execution data, engineers predictive features, forecasts next-fiscal-year budget requirements with machine learning, benchmarks that forecast against a classical time-series baseline, and flags budget lines that carry funding risk. The analysis spans fiscal years 2019 through the partial-year 2026 across eight departments and five spending categories.</w:t>
      </w:r>
    </w:p>
    <w:p>
      <w:pPr>
        <w:spacing w:after="160" w:line="276" w:lineRule="auto"/>
      </w:pPr>
      <w:r>
        <w:t xml:space="preserve">The business question driving the work: based on historical budget execution, current-year spending patterns, planned requirements, and organizational/workload drivers, what will the agency's future budget requirement look like — and where are variances or funding risks most likely to emerge?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shd w:fill="DCE6F1" w:val="clear"/>
            <w:tcMar>
              <w:top w:type="dxa" w:w="80"/>
              <w:left w:type="dxa" w:w="100"/>
              <w:bottom w:type="dxa" w:w="80"/>
              <w:right w:type="dxa" w:w="100"/>
            </w:tcMar>
            <w:vAlign w:val="center"/>
          </w:tcPr>
          <w:p>
            <w:pPr>
              <w:jc w:val="left"/>
            </w:pPr>
            <w:r>
              <w:rPr>
                <w:b/>
                <w:bCs/>
              </w:rPr>
              <w:t xml:space="preserve">FY2026 ML-forecasted agency-wide requirement</w:t>
            </w:r>
          </w:p>
        </w:tc>
        <w:tc>
          <w:tcPr>
            <w:tcMar>
              <w:top w:type="dxa" w:w="80"/>
              <w:left w:type="dxa" w:w="100"/>
              <w:bottom w:type="dxa" w:w="80"/>
              <w:right w:type="dxa" w:w="100"/>
            </w:tcMar>
            <w:vAlign w:val="center"/>
          </w:tcPr>
          <w:p>
            <w:pPr>
              <w:jc w:val="center"/>
            </w:pPr>
            <w:r>
              <w:rPr>
                <w:b w:val="false"/>
                <w:bCs w:val="false"/>
              </w:rPr>
              <w:t xml:space="preserve">$1,359,930K  (+0.8% vs. FY2025 actuals)</w:t>
            </w:r>
          </w:p>
        </w:tc>
      </w:tr>
      <w:tr>
        <w:tc>
          <w:tcPr>
            <w:shd w:fill="DCE6F1" w:val="clear"/>
            <w:tcMar>
              <w:top w:type="dxa" w:w="80"/>
              <w:left w:type="dxa" w:w="100"/>
              <w:bottom w:type="dxa" w:w="80"/>
              <w:right w:type="dxa" w:w="100"/>
            </w:tcMar>
            <w:vAlign w:val="center"/>
          </w:tcPr>
          <w:p>
            <w:pPr>
              <w:jc w:val="left"/>
            </w:pPr>
            <w:r>
              <w:rPr>
                <w:b/>
                <w:bCs/>
              </w:rPr>
              <w:t xml:space="preserve">Model accuracy (walk-forward backtest)</w:t>
            </w:r>
          </w:p>
        </w:tc>
        <w:tc>
          <w:tcPr>
            <w:tcMar>
              <w:top w:type="dxa" w:w="80"/>
              <w:left w:type="dxa" w:w="100"/>
              <w:bottom w:type="dxa" w:w="80"/>
              <w:right w:type="dxa" w:w="100"/>
            </w:tcMar>
            <w:vAlign w:val="center"/>
          </w:tcPr>
          <w:p>
            <w:pPr>
              <w:jc w:val="center"/>
            </w:pPr>
            <w:r>
              <w:rPr>
                <w:b w:val="false"/>
                <w:bCs w:val="false"/>
              </w:rPr>
              <w:t xml:space="preserve">7.4% MAPE, vs. 9.4% for a naive persistence baseline (~22% lower error)</w:t>
            </w:r>
          </w:p>
        </w:tc>
      </w:tr>
      <w:tr>
        <w:tc>
          <w:tcPr>
            <w:shd w:fill="DCE6F1" w:val="clear"/>
            <w:tcMar>
              <w:top w:type="dxa" w:w="80"/>
              <w:left w:type="dxa" w:w="100"/>
              <w:bottom w:type="dxa" w:w="80"/>
              <w:right w:type="dxa" w:w="100"/>
            </w:tcMar>
            <w:vAlign w:val="center"/>
          </w:tcPr>
          <w:p>
            <w:pPr>
              <w:jc w:val="left"/>
            </w:pPr>
            <w:r>
              <w:rPr>
                <w:b/>
                <w:bCs/>
              </w:rPr>
              <w:t xml:space="preserve">Budget lines flagged for funding-risk review</w:t>
            </w:r>
          </w:p>
        </w:tc>
        <w:tc>
          <w:tcPr>
            <w:tcMar>
              <w:top w:type="dxa" w:w="80"/>
              <w:left w:type="dxa" w:w="100"/>
              <w:bottom w:type="dxa" w:w="80"/>
              <w:right w:type="dxa" w:w="100"/>
            </w:tcMar>
            <w:vAlign w:val="center"/>
          </w:tcPr>
          <w:p>
            <w:pPr>
              <w:jc w:val="center"/>
            </w:pPr>
            <w:r>
              <w:rPr>
                <w:b w:val="false"/>
                <w:bCs w:val="false"/>
              </w:rPr>
              <w:t xml:space="preserve">10 lines representing $371,208K in spend exposure</w:t>
            </w:r>
          </w:p>
        </w:tc>
      </w:tr>
      <w:tr>
        <w:tc>
          <w:tcPr>
            <w:shd w:fill="DCE6F1" w:val="clear"/>
            <w:tcMar>
              <w:top w:type="dxa" w:w="80"/>
              <w:left w:type="dxa" w:w="100"/>
              <w:bottom w:type="dxa" w:w="80"/>
              <w:right w:type="dxa" w:w="100"/>
            </w:tcMar>
            <w:vAlign w:val="center"/>
          </w:tcPr>
          <w:p>
            <w:pPr>
              <w:jc w:val="left"/>
            </w:pPr>
            <w:r>
              <w:rPr>
                <w:b/>
                <w:bCs/>
              </w:rPr>
              <w:t xml:space="preserve">Top forecast drivers (SHAP attribution)</w:t>
            </w:r>
          </w:p>
        </w:tc>
        <w:tc>
          <w:tcPr>
            <w:tcMar>
              <w:top w:type="dxa" w:w="80"/>
              <w:left w:type="dxa" w:w="100"/>
              <w:bottom w:type="dxa" w:w="80"/>
              <w:right w:type="dxa" w:w="100"/>
            </w:tcMar>
            <w:vAlign w:val="center"/>
          </w:tcPr>
          <w:p>
            <w:pPr>
              <w:jc w:val="center"/>
            </w:pPr>
            <w:r>
              <w:rPr>
                <w:b w:val="false"/>
                <w:bCs w:val="false"/>
              </w:rPr>
              <w:t xml:space="preserve">Prior-year budget allocation, prior-year actual spend, 3-year rolling average spend</w:t>
            </w:r>
          </w:p>
        </w:tc>
      </w:tr>
      <w:tr>
        <w:tc>
          <w:tcPr>
            <w:shd w:fill="DCE6F1" w:val="clear"/>
            <w:tcMar>
              <w:top w:type="dxa" w:w="80"/>
              <w:left w:type="dxa" w:w="100"/>
              <w:bottom w:type="dxa" w:w="80"/>
              <w:right w:type="dxa" w:w="100"/>
            </w:tcMar>
            <w:vAlign w:val="center"/>
          </w:tcPr>
          <w:p>
            <w:pPr>
              <w:jc w:val="left"/>
            </w:pPr>
            <w:r>
              <w:rPr>
                <w:b/>
                <w:bCs/>
              </w:rPr>
              <w:t xml:space="preserve">Departmental execution behavior</w:t>
            </w:r>
          </w:p>
        </w:tc>
        <w:tc>
          <w:tcPr>
            <w:tcMar>
              <w:top w:type="dxa" w:w="80"/>
              <w:left w:type="dxa" w:w="100"/>
              <w:bottom w:type="dxa" w:w="80"/>
              <w:right w:type="dxa" w:w="100"/>
            </w:tcMar>
            <w:vAlign w:val="center"/>
          </w:tcPr>
          <w:p>
            <w:pPr>
              <w:jc w:val="center"/>
            </w:pPr>
            <w:r>
              <w:rPr>
                <w:b w:val="false"/>
                <w:bCs w:val="false"/>
              </w:rPr>
              <w:t xml:space="preserve">Statistically significant differences across departments (ANOVA F=3.90, p&lt;0.001)</w:t>
            </w:r>
          </w:p>
        </w:tc>
      </w:tr>
    </w:tbl>
    <w:p>
      <w:pPr>
        <w:spacing w:after="200"/>
      </w:pPr>
    </w:p>
    <w:p>
      <w:pPr>
        <w:spacing w:after="160" w:line="276" w:lineRule="auto"/>
      </w:pPr>
      <w:r>
        <w:t xml:space="preserve">The gradient boosting model outperforms a naive persistence baseline in every backtested year and produces forecasts within roughly 1-6% of an independent Holt-Winters time-series estimate for every department — giving budget officers two mutually corroborating views of next year's requirement. Section 11 translates these results into five concrete findings and recommendations for the budget office.</w:t>
      </w:r>
    </w:p>
    <w:p>
      <w:pPr>
        <w:pStyle w:val="Heading1"/>
        <w:spacing w:after="160" w:before="360"/>
      </w:pPr>
      <w:r>
        <w:t xml:space="preserve">1. Introduction &amp; Business Question</w:t>
      </w:r>
    </w:p>
    <w:p>
      <w:pPr>
        <w:spacing w:after="160" w:line="276" w:lineRule="auto"/>
      </w:pPr>
      <w:r>
        <w:t xml:space="preserve">Government budget offices must answer the same question every cycle: how much funding will each department and category need next year, and where is the agency most exposed to overruns or lapses? Traditionally this is done with spreadsheet trend lines and analyst judgment. This project explores whether a structured, auditable data science pipeline can do better — while remaining transparent enough for a non-technical budget officer to trust.</w:t>
      </w:r>
    </w:p>
    <w:p>
      <w:pPr>
        <w:spacing w:after="160" w:line="276" w:lineRule="auto"/>
      </w:pPr>
      <w:r>
        <w:t xml:space="preserve">The notebook follows an 11-stage lifecycle, moving from raw source data through to an executive-ready forecast and risk register: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80"/>
              <w:left w:type="dxa" w:w="100"/>
              <w:bottom w:type="dxa" w:w="80"/>
              <w:right w:type="dxa" w:w="100"/>
            </w:tcMar>
            <w:vAlign w:val="center"/>
          </w:tcPr>
          <w:p>
            <w:pPr>
              <w:jc w:val="center"/>
            </w:pPr>
            <w:r>
              <w:rPr>
                <w:b/>
                <w:bCs/>
                <w:color w:val="FFFFFF"/>
              </w:rPr>
              <w:t xml:space="preserve">Stage</w:t>
            </w:r>
          </w:p>
        </w:tc>
        <w:tc>
          <w:tcPr>
            <w:tcW w:type="dxa" w:w="6150"/>
            <w:shd w:fill="1F3864" w:val="clear"/>
            <w:tcMar>
              <w:top w:type="dxa" w:w="80"/>
              <w:left w:type="dxa" w:w="100"/>
              <w:bottom w:type="dxa" w:w="80"/>
              <w:right w:type="dxa" w:w="100"/>
            </w:tcMar>
            <w:vAlign w:val="center"/>
          </w:tcPr>
          <w:p>
            <w:pPr>
              <w:jc w:val="center"/>
            </w:pPr>
            <w:r>
              <w:rPr>
                <w:b/>
                <w:bCs/>
                <w:color w:val="FFFFFF"/>
              </w:rPr>
              <w:t xml:space="preserve">What it does</w:t>
            </w:r>
          </w:p>
        </w:tc>
      </w:tr>
      <w:tr>
        <w:tc>
          <w:tcPr>
            <w:tcW w:type="dxa" w:w="3200"/>
            <w:shd w:fill="F2F6FA" w:val="clear"/>
            <w:tcMar>
              <w:top w:type="dxa" w:w="80"/>
              <w:left w:type="dxa" w:w="100"/>
              <w:bottom w:type="dxa" w:w="80"/>
              <w:right w:type="dxa" w:w="100"/>
            </w:tcMar>
            <w:vAlign w:val="center"/>
          </w:tcPr>
          <w:p>
            <w:pPr>
              <w:jc w:val="left"/>
            </w:pPr>
            <w:r>
              <w:rPr>
                <w:b w:val="false"/>
                <w:bCs w:val="false"/>
              </w:rPr>
              <w:t xml:space="preserve">1. Data Engineering</w:t>
            </w:r>
          </w:p>
        </w:tc>
        <w:tc>
          <w:tcPr>
            <w:tcW w:type="dxa" w:w="6150"/>
            <w:shd w:fill="F2F6FA" w:val="clear"/>
            <w:tcMar>
              <w:top w:type="dxa" w:w="80"/>
              <w:left w:type="dxa" w:w="100"/>
              <w:bottom w:type="dxa" w:w="80"/>
              <w:right w:type="dxa" w:w="100"/>
            </w:tcMar>
            <w:vAlign w:val="center"/>
          </w:tcPr>
          <w:p>
            <w:pPr>
              <w:jc w:val="center"/>
            </w:pPr>
            <w:r>
              <w:rPr>
                <w:b w:val="false"/>
                <w:bCs w:val="false"/>
              </w:rPr>
              <w:t xml:space="preserve">Ingest 5 source tables, validate, merge into an analytical master table</w:t>
            </w:r>
          </w:p>
        </w:tc>
      </w:tr>
      <w:tr>
        <w:tc>
          <w:tcPr>
            <w:tcW w:type="dxa" w:w="3200"/>
            <w:shd w:fill="FFFFFF" w:val="clear"/>
            <w:tcMar>
              <w:top w:type="dxa" w:w="80"/>
              <w:left w:type="dxa" w:w="100"/>
              <w:bottom w:type="dxa" w:w="80"/>
              <w:right w:type="dxa" w:w="100"/>
            </w:tcMar>
            <w:vAlign w:val="center"/>
          </w:tcPr>
          <w:p>
            <w:pPr>
              <w:jc w:val="left"/>
            </w:pPr>
            <w:r>
              <w:rPr>
                <w:b w:val="false"/>
                <w:bCs w:val="false"/>
              </w:rPr>
              <w:t xml:space="preserve">2. Exploratory Data Analysis</w:t>
            </w:r>
          </w:p>
        </w:tc>
        <w:tc>
          <w:tcPr>
            <w:tcW w:type="dxa" w:w="6150"/>
            <w:shd w:fill="FFFFFF" w:val="clear"/>
            <w:tcMar>
              <w:top w:type="dxa" w:w="80"/>
              <w:left w:type="dxa" w:w="100"/>
              <w:bottom w:type="dxa" w:w="80"/>
              <w:right w:type="dxa" w:w="100"/>
            </w:tcMar>
            <w:vAlign w:val="center"/>
          </w:tcPr>
          <w:p>
            <w:pPr>
              <w:jc w:val="center"/>
            </w:pPr>
            <w:r>
              <w:rPr>
                <w:b w:val="false"/>
                <w:bCs w:val="false"/>
              </w:rPr>
              <w:t xml:space="preserve">Spend trends, seasonality, department/category mix, variance patterns</w:t>
            </w:r>
          </w:p>
        </w:tc>
      </w:tr>
      <w:tr>
        <w:tc>
          <w:tcPr>
            <w:tcW w:type="dxa" w:w="3200"/>
            <w:shd w:fill="F2F6FA" w:val="clear"/>
            <w:tcMar>
              <w:top w:type="dxa" w:w="80"/>
              <w:left w:type="dxa" w:w="100"/>
              <w:bottom w:type="dxa" w:w="80"/>
              <w:right w:type="dxa" w:w="100"/>
            </w:tcMar>
            <w:vAlign w:val="center"/>
          </w:tcPr>
          <w:p>
            <w:pPr>
              <w:jc w:val="left"/>
            </w:pPr>
            <w:r>
              <w:rPr>
                <w:b w:val="false"/>
                <w:bCs w:val="false"/>
              </w:rPr>
              <w:t xml:space="preserve">3. Feature Engineering</w:t>
            </w:r>
          </w:p>
        </w:tc>
        <w:tc>
          <w:tcPr>
            <w:tcW w:type="dxa" w:w="6150"/>
            <w:shd w:fill="F2F6FA" w:val="clear"/>
            <w:tcMar>
              <w:top w:type="dxa" w:w="80"/>
              <w:left w:type="dxa" w:w="100"/>
              <w:bottom w:type="dxa" w:w="80"/>
              <w:right w:type="dxa" w:w="100"/>
            </w:tcMar>
            <w:vAlign w:val="center"/>
          </w:tcPr>
          <w:p>
            <w:pPr>
              <w:jc w:val="center"/>
            </w:pPr>
            <w:r>
              <w:rPr>
                <w:b w:val="false"/>
                <w:bCs w:val="false"/>
              </w:rPr>
              <w:t xml:space="preserve">Lags, rolling stats, workload ratios, macro-adjustments, cyclical encodings</w:t>
            </w:r>
          </w:p>
        </w:tc>
      </w:tr>
      <w:tr>
        <w:tc>
          <w:tcPr>
            <w:tcW w:type="dxa" w:w="3200"/>
            <w:shd w:fill="FFFFFF" w:val="clear"/>
            <w:tcMar>
              <w:top w:type="dxa" w:w="80"/>
              <w:left w:type="dxa" w:w="100"/>
              <w:bottom w:type="dxa" w:w="80"/>
              <w:right w:type="dxa" w:w="100"/>
            </w:tcMar>
            <w:vAlign w:val="center"/>
          </w:tcPr>
          <w:p>
            <w:pPr>
              <w:jc w:val="left"/>
            </w:pPr>
            <w:r>
              <w:rPr>
                <w:b w:val="false"/>
                <w:bCs w:val="false"/>
              </w:rPr>
              <w:t xml:space="preserve">4. Statistical Analysis</w:t>
            </w:r>
          </w:p>
        </w:tc>
        <w:tc>
          <w:tcPr>
            <w:tcW w:type="dxa" w:w="6150"/>
            <w:shd w:fill="FFFFFF" w:val="clear"/>
            <w:tcMar>
              <w:top w:type="dxa" w:w="80"/>
              <w:left w:type="dxa" w:w="100"/>
              <w:bottom w:type="dxa" w:w="80"/>
              <w:right w:type="dxa" w:w="100"/>
            </w:tcMar>
            <w:vAlign w:val="center"/>
          </w:tcPr>
          <w:p>
            <w:pPr>
              <w:jc w:val="center"/>
            </w:pPr>
            <w:r>
              <w:rPr>
                <w:b w:val="false"/>
                <w:bCs w:val="false"/>
              </w:rPr>
              <w:t xml:space="preserve">Variance control charts, z-score anomaly flags, hypothesis tests</w:t>
            </w:r>
          </w:p>
        </w:tc>
      </w:tr>
      <w:tr>
        <w:tc>
          <w:tcPr>
            <w:tcW w:type="dxa" w:w="3200"/>
            <w:shd w:fill="F2F6FA" w:val="clear"/>
            <w:tcMar>
              <w:top w:type="dxa" w:w="80"/>
              <w:left w:type="dxa" w:w="100"/>
              <w:bottom w:type="dxa" w:w="80"/>
              <w:right w:type="dxa" w:w="100"/>
            </w:tcMar>
            <w:vAlign w:val="center"/>
          </w:tcPr>
          <w:p>
            <w:pPr>
              <w:jc w:val="left"/>
            </w:pPr>
            <w:r>
              <w:rPr>
                <w:b w:val="false"/>
                <w:bCs w:val="false"/>
              </w:rPr>
              <w:t xml:space="preserve">5. Time Series Forecasting</w:t>
            </w:r>
          </w:p>
        </w:tc>
        <w:tc>
          <w:tcPr>
            <w:tcW w:type="dxa" w:w="6150"/>
            <w:shd w:fill="F2F6FA" w:val="clear"/>
            <w:tcMar>
              <w:top w:type="dxa" w:w="80"/>
              <w:left w:type="dxa" w:w="100"/>
              <w:bottom w:type="dxa" w:w="80"/>
              <w:right w:type="dxa" w:w="100"/>
            </w:tcMar>
            <w:vAlign w:val="center"/>
          </w:tcPr>
          <w:p>
            <w:pPr>
              <w:jc w:val="center"/>
            </w:pPr>
            <w:r>
              <w:rPr>
                <w:b w:val="false"/>
                <w:bCs w:val="false"/>
              </w:rPr>
              <w:t xml:space="preserve">Holt-Winters baseline, per department</w:t>
            </w:r>
          </w:p>
        </w:tc>
      </w:tr>
      <w:tr>
        <w:tc>
          <w:tcPr>
            <w:tcW w:type="dxa" w:w="3200"/>
            <w:shd w:fill="FFFFFF" w:val="clear"/>
            <w:tcMar>
              <w:top w:type="dxa" w:w="80"/>
              <w:left w:type="dxa" w:w="100"/>
              <w:bottom w:type="dxa" w:w="80"/>
              <w:right w:type="dxa" w:w="100"/>
            </w:tcMar>
            <w:vAlign w:val="center"/>
          </w:tcPr>
          <w:p>
            <w:pPr>
              <w:jc w:val="left"/>
            </w:pPr>
            <w:r>
              <w:rPr>
                <w:b w:val="false"/>
                <w:bCs w:val="false"/>
              </w:rPr>
              <w:t xml:space="preserve">6. Machine Learning</w:t>
            </w:r>
          </w:p>
        </w:tc>
        <w:tc>
          <w:tcPr>
            <w:tcW w:type="dxa" w:w="6150"/>
            <w:shd w:fill="FFFFFF" w:val="clear"/>
            <w:tcMar>
              <w:top w:type="dxa" w:w="80"/>
              <w:left w:type="dxa" w:w="100"/>
              <w:bottom w:type="dxa" w:w="80"/>
              <w:right w:type="dxa" w:w="100"/>
            </w:tcMar>
            <w:vAlign w:val="center"/>
          </w:tcPr>
          <w:p>
            <w:pPr>
              <w:jc w:val="center"/>
            </w:pPr>
            <w:r>
              <w:rPr>
                <w:b w:val="false"/>
                <w:bCs w:val="false"/>
              </w:rPr>
              <w:t xml:space="preserve">Gradient boosting regression for next-FY budget requirement</w:t>
            </w:r>
          </w:p>
        </w:tc>
      </w:tr>
      <w:tr>
        <w:tc>
          <w:tcPr>
            <w:tcW w:type="dxa" w:w="3200"/>
            <w:shd w:fill="F2F6FA" w:val="clear"/>
            <w:tcMar>
              <w:top w:type="dxa" w:w="80"/>
              <w:left w:type="dxa" w:w="100"/>
              <w:bottom w:type="dxa" w:w="80"/>
              <w:right w:type="dxa" w:w="100"/>
            </w:tcMar>
            <w:vAlign w:val="center"/>
          </w:tcPr>
          <w:p>
            <w:pPr>
              <w:jc w:val="left"/>
            </w:pPr>
            <w:r>
              <w:rPr>
                <w:b w:val="false"/>
                <w:bCs w:val="false"/>
              </w:rPr>
              <w:t xml:space="preserve">7. Model Evaluation</w:t>
            </w:r>
          </w:p>
        </w:tc>
        <w:tc>
          <w:tcPr>
            <w:tcW w:type="dxa" w:w="6150"/>
            <w:shd w:fill="F2F6FA" w:val="clear"/>
            <w:tcMar>
              <w:top w:type="dxa" w:w="80"/>
              <w:left w:type="dxa" w:w="100"/>
              <w:bottom w:type="dxa" w:w="80"/>
              <w:right w:type="dxa" w:w="100"/>
            </w:tcMar>
            <w:vAlign w:val="center"/>
          </w:tcPr>
          <w:p>
            <w:pPr>
              <w:jc w:val="center"/>
            </w:pPr>
            <w:r>
              <w:rPr>
                <w:b w:val="false"/>
                <w:bCs w:val="false"/>
              </w:rPr>
              <w:t xml:space="preserve">Walk-forward backtesting; MAE / RMSE / MAPE vs. naive baseline</w:t>
            </w:r>
          </w:p>
        </w:tc>
      </w:tr>
      <w:tr>
        <w:tc>
          <w:tcPr>
            <w:tcW w:type="dxa" w:w="3200"/>
            <w:shd w:fill="FFFFFF" w:val="clear"/>
            <w:tcMar>
              <w:top w:type="dxa" w:w="80"/>
              <w:left w:type="dxa" w:w="100"/>
              <w:bottom w:type="dxa" w:w="80"/>
              <w:right w:type="dxa" w:w="100"/>
            </w:tcMar>
            <w:vAlign w:val="center"/>
          </w:tcPr>
          <w:p>
            <w:pPr>
              <w:jc w:val="left"/>
            </w:pPr>
            <w:r>
              <w:rPr>
                <w:b w:val="false"/>
                <w:bCs w:val="false"/>
              </w:rPr>
              <w:t xml:space="preserve">8. Explainability</w:t>
            </w:r>
          </w:p>
        </w:tc>
        <w:tc>
          <w:tcPr>
            <w:tcW w:type="dxa" w:w="6150"/>
            <w:shd w:fill="FFFFFF" w:val="clear"/>
            <w:tcMar>
              <w:top w:type="dxa" w:w="80"/>
              <w:left w:type="dxa" w:w="100"/>
              <w:bottom w:type="dxa" w:w="80"/>
              <w:right w:type="dxa" w:w="100"/>
            </w:tcMar>
            <w:vAlign w:val="center"/>
          </w:tcPr>
          <w:p>
            <w:pPr>
              <w:jc w:val="center"/>
            </w:pPr>
            <w:r>
              <w:rPr>
                <w:b w:val="false"/>
                <w:bCs w:val="false"/>
              </w:rPr>
              <w:t xml:space="preserve">SHAP feature attribution — why the model forecasts what it forecasts</w:t>
            </w:r>
          </w:p>
        </w:tc>
      </w:tr>
      <w:tr>
        <w:tc>
          <w:tcPr>
            <w:tcW w:type="dxa" w:w="3200"/>
            <w:shd w:fill="F2F6FA" w:val="clear"/>
            <w:tcMar>
              <w:top w:type="dxa" w:w="80"/>
              <w:left w:type="dxa" w:w="100"/>
              <w:bottom w:type="dxa" w:w="80"/>
              <w:right w:type="dxa" w:w="100"/>
            </w:tcMar>
            <w:vAlign w:val="center"/>
          </w:tcPr>
          <w:p>
            <w:pPr>
              <w:jc w:val="left"/>
            </w:pPr>
            <w:r>
              <w:rPr>
                <w:b w:val="false"/>
                <w:bCs w:val="false"/>
              </w:rPr>
              <w:t xml:space="preserve">9. Risk &amp; Anomaly Detection</w:t>
            </w:r>
          </w:p>
        </w:tc>
        <w:tc>
          <w:tcPr>
            <w:tcW w:type="dxa" w:w="6150"/>
            <w:shd w:fill="F2F6FA" w:val="clear"/>
            <w:tcMar>
              <w:top w:type="dxa" w:w="80"/>
              <w:left w:type="dxa" w:w="100"/>
              <w:bottom w:type="dxa" w:w="80"/>
              <w:right w:type="dxa" w:w="100"/>
            </w:tcMar>
            <w:vAlign w:val="center"/>
          </w:tcPr>
          <w:p>
            <w:pPr>
              <w:jc w:val="center"/>
            </w:pPr>
            <w:r>
              <w:rPr>
                <w:b w:val="false"/>
                <w:bCs w:val="false"/>
              </w:rPr>
              <w:t xml:space="preserve">Isolation Forest + rule-based funding-risk flags</w:t>
            </w:r>
          </w:p>
        </w:tc>
      </w:tr>
      <w:tr>
        <w:tc>
          <w:tcPr>
            <w:tcW w:type="dxa" w:w="3200"/>
            <w:shd w:fill="FFFFFF" w:val="clear"/>
            <w:tcMar>
              <w:top w:type="dxa" w:w="80"/>
              <w:left w:type="dxa" w:w="100"/>
              <w:bottom w:type="dxa" w:w="80"/>
              <w:right w:type="dxa" w:w="100"/>
            </w:tcMar>
            <w:vAlign w:val="center"/>
          </w:tcPr>
          <w:p>
            <w:pPr>
              <w:jc w:val="left"/>
            </w:pPr>
            <w:r>
              <w:rPr>
                <w:b w:val="false"/>
                <w:bCs w:val="false"/>
              </w:rPr>
              <w:t xml:space="preserve">10. Interactive Visualization</w:t>
            </w:r>
          </w:p>
        </w:tc>
        <w:tc>
          <w:tcPr>
            <w:tcW w:type="dxa" w:w="6150"/>
            <w:shd w:fill="FFFFFF" w:val="clear"/>
            <w:tcMar>
              <w:top w:type="dxa" w:w="80"/>
              <w:left w:type="dxa" w:w="100"/>
              <w:bottom w:type="dxa" w:w="80"/>
              <w:right w:type="dxa" w:w="100"/>
            </w:tcMar>
            <w:vAlign w:val="center"/>
          </w:tcPr>
          <w:p>
            <w:pPr>
              <w:jc w:val="center"/>
            </w:pPr>
            <w:r>
              <w:rPr>
                <w:b w:val="false"/>
                <w:bCs w:val="false"/>
              </w:rPr>
              <w:t xml:space="preserve">Plotly drill-downs (department → category → month)</w:t>
            </w:r>
          </w:p>
        </w:tc>
      </w:tr>
      <w:tr>
        <w:tc>
          <w:tcPr>
            <w:tcW w:type="dxa" w:w="3200"/>
            <w:shd w:fill="F2F6FA" w:val="clear"/>
            <w:tcMar>
              <w:top w:type="dxa" w:w="80"/>
              <w:left w:type="dxa" w:w="100"/>
              <w:bottom w:type="dxa" w:w="80"/>
              <w:right w:type="dxa" w:w="100"/>
            </w:tcMar>
            <w:vAlign w:val="center"/>
          </w:tcPr>
          <w:p>
            <w:pPr>
              <w:jc w:val="left"/>
            </w:pPr>
            <w:r>
              <w:rPr>
                <w:b w:val="false"/>
                <w:bCs w:val="false"/>
              </w:rPr>
              <w:t xml:space="preserve">11. Business Recommendations</w:t>
            </w:r>
          </w:p>
        </w:tc>
        <w:tc>
          <w:tcPr>
            <w:tcW w:type="dxa" w:w="6150"/>
            <w:shd w:fill="F2F6FA" w:val="clear"/>
            <w:tcMar>
              <w:top w:type="dxa" w:w="80"/>
              <w:left w:type="dxa" w:w="100"/>
              <w:bottom w:type="dxa" w:w="80"/>
              <w:right w:type="dxa" w:w="100"/>
            </w:tcMar>
            <w:vAlign w:val="center"/>
          </w:tcPr>
          <w:p>
            <w:pPr>
              <w:jc w:val="center"/>
            </w:pPr>
            <w:r>
              <w:rPr>
                <w:b w:val="false"/>
                <w:bCs w:val="false"/>
              </w:rPr>
              <w:t xml:space="preserve">Executive summary translating model output into action</w:t>
            </w:r>
          </w:p>
        </w:tc>
      </w:tr>
    </w:tbl>
    <w:p>
      <w:pPr>
        <w:spacing w:after="200"/>
      </w:pPr>
    </w:p>
    <w:p>
      <w:pPr>
        <w:spacing w:after="160" w:line="276" w:lineRule="auto"/>
      </w:pPr>
      <w:r>
        <w:rPr>
          <w:i/>
          <w:iCs/>
          <w:color w:val="595959"/>
        </w:rPr>
        <w:t xml:space="preserve">Data note: the pipeline runs on a synthetic-but-realistic dataset generated to mirror typical public-sector budget structures (appropriation → allocation → obligation → expenditure). The schema is designed so that an agency's real GL/ERP extracts can be substituted with no changes to the downstream analysis.</w:t>
      </w:r>
    </w:p>
    <w:p>
      <w:pPr>
        <w:pStyle w:val="Heading1"/>
        <w:spacing w:after="160" w:before="360"/>
      </w:pPr>
      <w:r>
        <w:t xml:space="preserve">2. Data Sources &amp; Engineering</w:t>
      </w:r>
    </w:p>
    <w:p>
      <w:pPr>
        <w:spacing w:after="160" w:line="276" w:lineRule="auto"/>
      </w:pPr>
      <w:r>
        <w:t xml:space="preserve">Five source tables were ingested and validated before being merged into a single analytical master table at the department × category × fiscal-year grain: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50"/>
      </w:tblGrid>
      <w:tr>
        <w:trPr>
          <w:tblHeader/>
        </w:trPr>
        <w:tc>
          <w:tcPr>
            <w:tcW w:type="dxa" w:w="3200"/>
            <w:shd w:fill="1F3864" w:val="clear"/>
            <w:tcMar>
              <w:top w:type="dxa" w:w="80"/>
              <w:left w:type="dxa" w:w="100"/>
              <w:bottom w:type="dxa" w:w="80"/>
              <w:right w:type="dxa" w:w="100"/>
            </w:tcMar>
            <w:vAlign w:val="center"/>
          </w:tcPr>
          <w:p>
            <w:pPr>
              <w:jc w:val="center"/>
            </w:pPr>
            <w:r>
              <w:rPr>
                <w:b/>
                <w:bCs/>
                <w:color w:val="FFFFFF"/>
              </w:rPr>
              <w:t xml:space="preserve">Source Table</w:t>
            </w:r>
          </w:p>
        </w:tc>
        <w:tc>
          <w:tcPr>
            <w:tcW w:type="dxa" w:w="1600"/>
            <w:shd w:fill="1F3864" w:val="clear"/>
            <w:tcMar>
              <w:top w:type="dxa" w:w="80"/>
              <w:left w:type="dxa" w:w="100"/>
              <w:bottom w:type="dxa" w:w="80"/>
              <w:right w:type="dxa" w:w="100"/>
            </w:tcMar>
            <w:vAlign w:val="center"/>
          </w:tcPr>
          <w:p>
            <w:pPr>
              <w:jc w:val="center"/>
            </w:pPr>
            <w:r>
              <w:rPr>
                <w:b/>
                <w:bCs/>
                <w:color w:val="FFFFFF"/>
              </w:rPr>
              <w:t xml:space="preserve">Rows</w:t>
            </w:r>
          </w:p>
        </w:tc>
        <w:tc>
          <w:tcPr>
            <w:tcW w:type="dxa" w:w="4550"/>
            <w:shd w:fill="1F3864" w:val="clear"/>
            <w:tcMar>
              <w:top w:type="dxa" w:w="80"/>
              <w:left w:type="dxa" w:w="100"/>
              <w:bottom w:type="dxa" w:w="80"/>
              <w:right w:type="dxa" w:w="100"/>
            </w:tcMar>
            <w:vAlign w:val="center"/>
          </w:tcPr>
          <w:p>
            <w:pPr>
              <w:jc w:val="center"/>
            </w:pPr>
            <w:r>
              <w:rPr>
                <w:b/>
                <w:bCs/>
                <w:color w:val="FFFFFF"/>
              </w:rPr>
              <w:t xml:space="preserve">Contents</w:t>
            </w:r>
          </w:p>
        </w:tc>
      </w:tr>
      <w:tr>
        <w:tc>
          <w:tcPr>
            <w:tcW w:type="dxa" w:w="3200"/>
            <w:shd w:fill="F2F6FA" w:val="clear"/>
            <w:tcMar>
              <w:top w:type="dxa" w:w="80"/>
              <w:left w:type="dxa" w:w="100"/>
              <w:bottom w:type="dxa" w:w="80"/>
              <w:right w:type="dxa" w:w="100"/>
            </w:tcMar>
            <w:vAlign w:val="center"/>
          </w:tcPr>
          <w:p>
            <w:pPr>
              <w:jc w:val="left"/>
            </w:pPr>
            <w:r>
              <w:rPr>
                <w:b w:val="false"/>
                <w:bCs w:val="false"/>
              </w:rPr>
              <w:t xml:space="preserve">budget_master.csv</w:t>
            </w:r>
          </w:p>
        </w:tc>
        <w:tc>
          <w:tcPr>
            <w:tcW w:type="dxa" w:w="1600"/>
            <w:shd w:fill="F2F6FA" w:val="clear"/>
            <w:tcMar>
              <w:top w:type="dxa" w:w="80"/>
              <w:left w:type="dxa" w:w="100"/>
              <w:bottom w:type="dxa" w:w="80"/>
              <w:right w:type="dxa" w:w="100"/>
            </w:tcMar>
            <w:vAlign w:val="center"/>
          </w:tcPr>
          <w:p>
            <w:pPr>
              <w:jc w:val="center"/>
            </w:pPr>
            <w:r>
              <w:rPr>
                <w:b w:val="false"/>
                <w:bCs w:val="false"/>
              </w:rPr>
              <w:t xml:space="preserve">320</w:t>
            </w:r>
          </w:p>
        </w:tc>
        <w:tc>
          <w:tcPr>
            <w:tcW w:type="dxa" w:w="4550"/>
            <w:shd w:fill="F2F6FA" w:val="clear"/>
            <w:tcMar>
              <w:top w:type="dxa" w:w="80"/>
              <w:left w:type="dxa" w:w="100"/>
              <w:bottom w:type="dxa" w:w="80"/>
              <w:right w:type="dxa" w:w="100"/>
            </w:tcMar>
            <w:vAlign w:val="center"/>
          </w:tcPr>
          <w:p>
            <w:pPr>
              <w:jc w:val="center"/>
            </w:pPr>
            <w:r>
              <w:rPr>
                <w:b w:val="false"/>
                <w:bCs w:val="false"/>
              </w:rPr>
              <w:t xml:space="preserve">Annual allocation vs. actual spend by department × category × fiscal year</w:t>
            </w:r>
          </w:p>
        </w:tc>
      </w:tr>
      <w:tr>
        <w:tc>
          <w:tcPr>
            <w:tcW w:type="dxa" w:w="3200"/>
            <w:shd w:fill="FFFFFF" w:val="clear"/>
            <w:tcMar>
              <w:top w:type="dxa" w:w="80"/>
              <w:left w:type="dxa" w:w="100"/>
              <w:bottom w:type="dxa" w:w="80"/>
              <w:right w:type="dxa" w:w="100"/>
            </w:tcMar>
            <w:vAlign w:val="center"/>
          </w:tcPr>
          <w:p>
            <w:pPr>
              <w:jc w:val="left"/>
            </w:pPr>
            <w:r>
              <w:rPr>
                <w:b w:val="false"/>
                <w:bCs w:val="false"/>
              </w:rPr>
              <w:t xml:space="preserve">monthly_execution.csv</w:t>
            </w:r>
          </w:p>
        </w:tc>
        <w:tc>
          <w:tcPr>
            <w:tcW w:type="dxa" w:w="1600"/>
            <w:shd w:fill="FFFFFF" w:val="clear"/>
            <w:tcMar>
              <w:top w:type="dxa" w:w="80"/>
              <w:left w:type="dxa" w:w="100"/>
              <w:bottom w:type="dxa" w:w="80"/>
              <w:right w:type="dxa" w:w="100"/>
            </w:tcMar>
            <w:vAlign w:val="center"/>
          </w:tcPr>
          <w:p>
            <w:pPr>
              <w:jc w:val="center"/>
            </w:pPr>
            <w:r>
              <w:rPr>
                <w:b w:val="false"/>
                <w:bCs w:val="false"/>
              </w:rPr>
              <w:t xml:space="preserve">3,680</w:t>
            </w:r>
          </w:p>
        </w:tc>
        <w:tc>
          <w:tcPr>
            <w:tcW w:type="dxa" w:w="4550"/>
            <w:shd w:fill="FFFFFF" w:val="clear"/>
            <w:tcMar>
              <w:top w:type="dxa" w:w="80"/>
              <w:left w:type="dxa" w:w="100"/>
              <w:bottom w:type="dxa" w:w="80"/>
              <w:right w:type="dxa" w:w="100"/>
            </w:tcMar>
            <w:vAlign w:val="center"/>
          </w:tcPr>
          <w:p>
            <w:pPr>
              <w:jc w:val="center"/>
            </w:pPr>
            <w:r>
              <w:rPr>
                <w:b w:val="false"/>
                <w:bCs w:val="false"/>
              </w:rPr>
              <w:t xml:space="preserve">Monthly obligation detail — spending pace and seasonality</w:t>
            </w:r>
          </w:p>
        </w:tc>
      </w:tr>
      <w:tr>
        <w:tc>
          <w:tcPr>
            <w:tcW w:type="dxa" w:w="3200"/>
            <w:shd w:fill="F2F6FA" w:val="clear"/>
            <w:tcMar>
              <w:top w:type="dxa" w:w="80"/>
              <w:left w:type="dxa" w:w="100"/>
              <w:bottom w:type="dxa" w:w="80"/>
              <w:right w:type="dxa" w:w="100"/>
            </w:tcMar>
            <w:vAlign w:val="center"/>
          </w:tcPr>
          <w:p>
            <w:pPr>
              <w:jc w:val="left"/>
            </w:pPr>
            <w:r>
              <w:rPr>
                <w:b w:val="false"/>
                <w:bCs w:val="false"/>
              </w:rPr>
              <w:t xml:space="preserve">workload_drivers.csv</w:t>
            </w:r>
          </w:p>
        </w:tc>
        <w:tc>
          <w:tcPr>
            <w:tcW w:type="dxa" w:w="1600"/>
            <w:shd w:fill="F2F6FA" w:val="clear"/>
            <w:tcMar>
              <w:top w:type="dxa" w:w="80"/>
              <w:left w:type="dxa" w:w="100"/>
              <w:bottom w:type="dxa" w:w="80"/>
              <w:right w:type="dxa" w:w="100"/>
            </w:tcMar>
            <w:vAlign w:val="center"/>
          </w:tcPr>
          <w:p>
            <w:pPr>
              <w:jc w:val="center"/>
            </w:pPr>
            <w:r>
              <w:rPr>
                <w:b w:val="false"/>
                <w:bCs w:val="false"/>
              </w:rPr>
              <w:t xml:space="preserve">64</w:t>
            </w:r>
          </w:p>
        </w:tc>
        <w:tc>
          <w:tcPr>
            <w:tcW w:type="dxa" w:w="4550"/>
            <w:shd w:fill="F2F6FA" w:val="clear"/>
            <w:tcMar>
              <w:top w:type="dxa" w:w="80"/>
              <w:left w:type="dxa" w:w="100"/>
              <w:bottom w:type="dxa" w:w="80"/>
              <w:right w:type="dxa" w:w="100"/>
            </w:tcMar>
            <w:vAlign w:val="center"/>
          </w:tcPr>
          <w:p>
            <w:pPr>
              <w:jc w:val="center"/>
            </w:pPr>
            <w:r>
              <w:rPr>
                <w:b w:val="false"/>
                <w:bCs w:val="false"/>
              </w:rPr>
              <w:t xml:space="preserve">Organizational drivers: caseloads, FTEs, service volumes</w:t>
            </w:r>
          </w:p>
        </w:tc>
      </w:tr>
      <w:tr>
        <w:tc>
          <w:tcPr>
            <w:tcW w:type="dxa" w:w="3200"/>
            <w:shd w:fill="FFFFFF" w:val="clear"/>
            <w:tcMar>
              <w:top w:type="dxa" w:w="80"/>
              <w:left w:type="dxa" w:w="100"/>
              <w:bottom w:type="dxa" w:w="80"/>
              <w:right w:type="dxa" w:w="100"/>
            </w:tcMar>
            <w:vAlign w:val="center"/>
          </w:tcPr>
          <w:p>
            <w:pPr>
              <w:jc w:val="left"/>
            </w:pPr>
            <w:r>
              <w:rPr>
                <w:b w:val="false"/>
                <w:bCs w:val="false"/>
              </w:rPr>
              <w:t xml:space="preserve">macro_indicators.csv</w:t>
            </w:r>
          </w:p>
        </w:tc>
        <w:tc>
          <w:tcPr>
            <w:tcW w:type="dxa" w:w="1600"/>
            <w:shd w:fill="FFFFFF" w:val="clear"/>
            <w:tcMar>
              <w:top w:type="dxa" w:w="80"/>
              <w:left w:type="dxa" w:w="100"/>
              <w:bottom w:type="dxa" w:w="80"/>
              <w:right w:type="dxa" w:w="100"/>
            </w:tcMar>
            <w:vAlign w:val="center"/>
          </w:tcPr>
          <w:p>
            <w:pPr>
              <w:jc w:val="center"/>
            </w:pPr>
            <w:r>
              <w:rPr>
                <w:b w:val="false"/>
                <w:bCs w:val="false"/>
              </w:rPr>
              <w:t xml:space="preserve">8</w:t>
            </w:r>
          </w:p>
        </w:tc>
        <w:tc>
          <w:tcPr>
            <w:tcW w:type="dxa" w:w="4550"/>
            <w:shd w:fill="FFFFFF" w:val="clear"/>
            <w:tcMar>
              <w:top w:type="dxa" w:w="80"/>
              <w:left w:type="dxa" w:w="100"/>
              <w:bottom w:type="dxa" w:w="80"/>
              <w:right w:type="dxa" w:w="100"/>
            </w:tcMar>
            <w:vAlign w:val="center"/>
          </w:tcPr>
          <w:p>
            <w:pPr>
              <w:jc w:val="center"/>
            </w:pPr>
            <w:r>
              <w:rPr>
                <w:b w:val="false"/>
                <w:bCs w:val="false"/>
              </w:rPr>
              <w:t xml:space="preserve">Inflation, COLA, unemployment, interest rates</w:t>
            </w:r>
          </w:p>
        </w:tc>
      </w:tr>
      <w:tr>
        <w:tc>
          <w:tcPr>
            <w:tcW w:type="dxa" w:w="3200"/>
            <w:shd w:fill="F2F6FA" w:val="clear"/>
            <w:tcMar>
              <w:top w:type="dxa" w:w="80"/>
              <w:left w:type="dxa" w:w="100"/>
              <w:bottom w:type="dxa" w:w="80"/>
              <w:right w:type="dxa" w:w="100"/>
            </w:tcMar>
            <w:vAlign w:val="center"/>
          </w:tcPr>
          <w:p>
            <w:pPr>
              <w:jc w:val="left"/>
            </w:pPr>
            <w:r>
              <w:rPr>
                <w:b w:val="false"/>
                <w:bCs w:val="false"/>
              </w:rPr>
              <w:t xml:space="preserve">capital_projects.csv</w:t>
            </w:r>
          </w:p>
        </w:tc>
        <w:tc>
          <w:tcPr>
            <w:tcW w:type="dxa" w:w="1600"/>
            <w:shd w:fill="F2F6FA" w:val="clear"/>
            <w:tcMar>
              <w:top w:type="dxa" w:w="80"/>
              <w:left w:type="dxa" w:w="100"/>
              <w:bottom w:type="dxa" w:w="80"/>
              <w:right w:type="dxa" w:w="100"/>
            </w:tcMar>
            <w:vAlign w:val="center"/>
          </w:tcPr>
          <w:p>
            <w:pPr>
              <w:jc w:val="center"/>
            </w:pPr>
            <w:r>
              <w:rPr>
                <w:b w:val="false"/>
                <w:bCs w:val="false"/>
              </w:rPr>
              <w:t xml:space="preserve">29</w:t>
            </w:r>
          </w:p>
        </w:tc>
        <w:tc>
          <w:tcPr>
            <w:tcW w:type="dxa" w:w="4550"/>
            <w:shd w:fill="F2F6FA" w:val="clear"/>
            <w:tcMar>
              <w:top w:type="dxa" w:w="80"/>
              <w:left w:type="dxa" w:w="100"/>
              <w:bottom w:type="dxa" w:w="80"/>
              <w:right w:type="dxa" w:w="100"/>
            </w:tcMar>
            <w:vAlign w:val="center"/>
          </w:tcPr>
          <w:p>
            <w:pPr>
              <w:jc w:val="center"/>
            </w:pPr>
            <w:r>
              <w:rPr>
                <w:b w:val="false"/>
                <w:bCs w:val="false"/>
              </w:rPr>
              <w:t xml:space="preserve">Capital project schedules and phasing</w:t>
            </w:r>
          </w:p>
        </w:tc>
      </w:tr>
    </w:tbl>
    <w:p>
      <w:pPr>
        <w:spacing w:after="200"/>
      </w:pPr>
    </w:p>
    <w:p>
      <w:pPr>
        <w:spacing w:after="160" w:line="276" w:lineRule="auto"/>
      </w:pPr>
      <w:r>
        <w:t xml:space="preserve">All five tables passed data-quality validation with zero nulls and zero duplicate keys. As a reconciliation check, monthly obligation detail was summed and compared against annual actuals from the budget master table: the maximum discrepancy was 0.0087%, confirming the two systems of record are consistent.</w:t>
      </w:r>
    </w:p>
    <w:p>
      <w:pPr>
        <w:spacing w:after="160" w:line="276" w:lineRule="auto"/>
      </w:pPr>
      <w:r>
        <w:t xml:space="preserve">The resulting master analytical table contains 320 rows (8 fiscal years × 8 departments × 5 categories) and 17 columns, combining budget figures with macro-economic indicators (inflation, COLA, unemployment, interest rates) and department-level workload drivers (workload volume, authorized FTEs). Fiscal year 2026 is treated throughout as a partial-year actual and is excluded from historical training targets.</w:t>
      </w:r>
    </w:p>
    <w:p>
      <w:pPr>
        <w:pStyle w:val="Heading1"/>
        <w:spacing w:after="160" w:before="360"/>
      </w:pPr>
      <w:r>
        <w:t xml:space="preserve">3. Exploratory Data Analysis</w:t>
      </w:r>
    </w:p>
    <w:p>
      <w:pPr>
        <w:pStyle w:val="Heading2"/>
        <w:spacing w:after="120" w:before="260"/>
      </w:pPr>
      <w:r>
        <w:t xml:space="preserve">3.1 Total Budget Trend — Allocated vs. Actual</w:t>
      </w:r>
    </w:p>
    <w:p>
      <w:pPr>
        <w:spacing w:after="160" w:line="276" w:lineRule="auto"/>
      </w:pPr>
      <w:r>
        <w:t xml:space="preserve">Agency-wide allocated budget grew steadily from roughly $1.11B in FY2019 to $1.43B in FY2025, with actual spend tracking below allocation in every complete year — the persistent gap between the two lines represents cumulative budget lapse. FY2026 is shown as a partial-year actual and should not be read as a shortfall.</w:t>
      </w:r>
    </w:p>
    <w:p>
      <w:pPr>
        <w:spacing w:after="40" w:before="120" w:line="240" w:lineRule="auto"/>
        <w:jc w:val="center"/>
      </w:pPr>
      <w:r>
        <w:drawing>
          <wp:inline distT="0" distB="0" distL="0" distR="0">
            <wp:extent cx="52387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343150"/>
                    </a:xfrm>
                    <a:prstGeom prst="rect">
                      <a:avLst/>
                    </a:prstGeom>
                  </pic:spPr>
                </pic:pic>
              </a:graphicData>
            </a:graphic>
          </wp:inline>
        </w:drawing>
      </w:r>
    </w:p>
    <w:p>
      <w:pPr>
        <w:spacing w:after="240" w:before="60"/>
        <w:jc w:val="center"/>
      </w:pPr>
      <w:r>
        <w:rPr>
          <w:i/>
          <w:iCs/>
          <w:color w:val="595959"/>
          <w:sz w:val="18"/>
          <w:szCs w:val="18"/>
        </w:rPr>
        <w:t xml:space="preserve">Figure 1. Total agency budget: allocated vs. actual spend by fiscal year.</w:t>
      </w:r>
    </w:p>
    <w:p>
      <w:pPr>
        <w:pStyle w:val="Heading2"/>
        <w:spacing w:after="120" w:before="260"/>
      </w:pPr>
      <w:r>
        <w:t xml:space="preserve">3.2 Department-Level Spend Composition</w:t>
      </w:r>
    </w:p>
    <w:p>
      <w:pPr>
        <w:spacing w:after="160" w:line="276" w:lineRule="auto"/>
      </w:pPr>
      <w:r>
        <w:t xml:space="preserve">Health &amp; Human Services and Education are consistently the two largest departments by actual spend, together accounting for a substantial share of the agency's total budget across the eight-year window, with the relative composition across departments remaining fairly stable year over year.</w:t>
      </w:r>
    </w:p>
    <w:p>
      <w:pPr>
        <w:spacing w:after="40" w:before="120" w:line="240" w:lineRule="auto"/>
        <w:jc w:val="center"/>
      </w:pPr>
      <w:r>
        <w:drawing>
          <wp:inline distT="0" distB="0" distL="0" distR="0">
            <wp:extent cx="55245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724150"/>
                    </a:xfrm>
                    <a:prstGeom prst="rect">
                      <a:avLst/>
                    </a:prstGeom>
                  </pic:spPr>
                </pic:pic>
              </a:graphicData>
            </a:graphic>
          </wp:inline>
        </w:drawing>
      </w:r>
    </w:p>
    <w:p>
      <w:pPr>
        <w:spacing w:after="240" w:before="60"/>
        <w:jc w:val="center"/>
      </w:pPr>
      <w:r>
        <w:rPr>
          <w:i/>
          <w:iCs/>
          <w:color w:val="595959"/>
          <w:sz w:val="18"/>
          <w:szCs w:val="18"/>
        </w:rPr>
        <w:t xml:space="preserve">Figure 2. Actual spend by department over time.</w:t>
      </w:r>
    </w:p>
    <w:p>
      <w:pPr>
        <w:pStyle w:val="Heading2"/>
        <w:spacing w:after="120" w:before="260"/>
      </w:pPr>
      <w:r>
        <w:t xml:space="preserve">3.3 Category Mix &amp; Departmental Variance (Latest Complete Fiscal Year)</w:t>
      </w:r>
    </w:p>
    <w:p>
      <w:pPr>
        <w:spacing w:after="160" w:line="276" w:lineRule="auto"/>
      </w:pPr>
      <w:r>
        <w:t xml:space="preserve">Personnel &amp; Compensation is the largest spending category agency-wide, followed by Operating Expenses. Average budget variance (actual vs. allocated) differs meaningfully by department, with some departments running consistently under their allocation and others closer to full execution.</w:t>
      </w:r>
    </w:p>
    <w:p>
      <w:pPr>
        <w:spacing w:after="40" w:before="120" w:line="240" w:lineRule="auto"/>
        <w:jc w:val="center"/>
      </w:pPr>
      <w:r>
        <w:drawing>
          <wp:inline distT="0" distB="0" distL="0" distR="0">
            <wp:extent cx="5524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933575"/>
                    </a:xfrm>
                    <a:prstGeom prst="rect">
                      <a:avLst/>
                    </a:prstGeom>
                  </pic:spPr>
                </pic:pic>
              </a:graphicData>
            </a:graphic>
          </wp:inline>
        </w:drawing>
      </w:r>
    </w:p>
    <w:p>
      <w:pPr>
        <w:spacing w:after="240" w:before="60"/>
        <w:jc w:val="center"/>
      </w:pPr>
      <w:r>
        <w:rPr>
          <w:i/>
          <w:iCs/>
          <w:color w:val="595959"/>
          <w:sz w:val="18"/>
          <w:szCs w:val="18"/>
        </w:rPr>
        <w:t xml:space="preserve">Figure 3. Spend by category and average variance % by department, latest closed fiscal year.</w:t>
      </w:r>
    </w:p>
    <w:p>
      <w:pPr>
        <w:pStyle w:val="Heading2"/>
        <w:spacing w:after="120" w:before="260"/>
      </w:pPr>
      <w:r>
        <w:t xml:space="preserve">3.4 Seasonality — the “Use-It-or-Lose-It” Pattern</w:t>
      </w:r>
    </w:p>
    <w:p>
      <w:pPr>
        <w:spacing w:after="160" w:line="276" w:lineRule="auto"/>
      </w:pPr>
      <w:r>
        <w:t xml:space="preserve">Monthly obligation data reveals a pronounced year-end spending spike: the final fiscal quarter (July–September) accounts for approximately 35.7% of annual obligations historically — far above the ~25% that even spending would imply. This pattern is a classic public-sector “use-it-or-lose-it” dynamic, and it matters for forecasting because a mid-year run-rate extrapolation would systematically under-predict full-year spend.</w:t>
      </w:r>
    </w:p>
    <w:p>
      <w:pPr>
        <w:spacing w:after="40" w:before="120" w:line="240" w:lineRule="auto"/>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24075"/>
                    </a:xfrm>
                    <a:prstGeom prst="rect">
                      <a:avLst/>
                    </a:prstGeom>
                  </pic:spPr>
                </pic:pic>
              </a:graphicData>
            </a:graphic>
          </wp:inline>
        </w:drawing>
      </w:r>
    </w:p>
    <w:p>
      <w:pPr>
        <w:spacing w:after="240" w:before="60"/>
        <w:jc w:val="center"/>
      </w:pPr>
      <w:r>
        <w:rPr>
          <w:i/>
          <w:iCs/>
          <w:color w:val="595959"/>
          <w:sz w:val="18"/>
          <w:szCs w:val="18"/>
        </w:rPr>
        <w:t xml:space="preserve">Figure 4. Average share of annual obligations by fiscal month (historical).</w:t>
      </w:r>
    </w:p>
    <w:p>
      <w:pPr>
        <w:pStyle w:val="Heading2"/>
        <w:spacing w:after="120" w:before="260"/>
      </w:pPr>
      <w:r>
        <w:t xml:space="preserve">3.5 Spend Growth vs. Workload Growth</w:t>
      </w:r>
    </w:p>
    <w:p>
      <w:pPr>
        <w:spacing w:after="160" w:line="276" w:lineRule="auto"/>
      </w:pPr>
      <w:r>
        <w:t xml:space="preserve">A correlation analysis between year-over-year spend growth and year-over-year workload growth (caseloads, service volumes) across departments confirms that spending tends to move with workload, supporting the inclusion of workload drivers as predictive features in the machine learning model in Section 6.</w:t>
      </w:r>
    </w:p>
    <w:p>
      <w:pPr>
        <w:pStyle w:val="Heading1"/>
        <w:spacing w:after="160" w:before="360"/>
      </w:pPr>
      <w:r>
        <w:t xml:space="preserve">4. Feature Engineering</w:t>
      </w:r>
    </w:p>
    <w:p>
      <w:pPr>
        <w:spacing w:after="160" w:line="276" w:lineRule="auto"/>
      </w:pPr>
      <w:r>
        <w:t xml:space="preserve">To predict next-fiscal-year actual spend for each department × category line, 21 features were engineered from information available before the forecast year — avoiding any look-ahead bias. The feature table spans 320 rows and 33 total columns. Feature groups include:</w:t>
      </w:r>
    </w:p>
    <w:p>
      <w:pPr>
        <w:pStyle w:val="ListParagraph"/>
        <w:numPr>
          <w:ilvl w:val="0"/>
          <w:numId w:val="2"/>
        </w:numPr>
        <w:spacing w:after="100"/>
      </w:pPr>
      <w:r>
        <w:rPr>
          <w:b/>
          <w:bCs/>
        </w:rPr>
        <w:t xml:space="preserve">Lag / momentum — </w:t>
      </w:r>
      <w:r>
        <w:t xml:space="preserve">prior-year actual and budgeted spend, 3-year rolling average, and year-over-year growth rate</w:t>
      </w:r>
    </w:p>
    <w:p>
      <w:pPr>
        <w:pStyle w:val="ListParagraph"/>
        <w:numPr>
          <w:ilvl w:val="0"/>
          <w:numId w:val="2"/>
        </w:numPr>
        <w:spacing w:after="100"/>
      </w:pPr>
      <w:r>
        <w:rPr>
          <w:b/>
          <w:bCs/>
        </w:rPr>
        <w:t xml:space="preserve">Execution behavior — </w:t>
      </w:r>
      <w:r>
        <w:t xml:space="preserve">historical execution rate (actual ÷ allocated) and its rolling variance</w:t>
      </w:r>
    </w:p>
    <w:p>
      <w:pPr>
        <w:pStyle w:val="ListParagraph"/>
        <w:numPr>
          <w:ilvl w:val="0"/>
          <w:numId w:val="2"/>
        </w:numPr>
        <w:spacing w:after="100"/>
      </w:pPr>
      <w:r>
        <w:rPr>
          <w:b/>
          <w:bCs/>
        </w:rPr>
        <w:t xml:space="preserve">Workload drivers — </w:t>
      </w:r>
      <w:r>
        <w:t xml:space="preserve">workload level and growth, spend-per-FTE and spend-per-workload-unit ratios</w:t>
      </w:r>
    </w:p>
    <w:p>
      <w:pPr>
        <w:pStyle w:val="ListParagraph"/>
        <w:numPr>
          <w:ilvl w:val="0"/>
          <w:numId w:val="2"/>
        </w:numPr>
        <w:spacing w:after="100"/>
      </w:pPr>
      <w:r>
        <w:rPr>
          <w:b/>
          <w:bCs/>
        </w:rPr>
        <w:t xml:space="preserve">Macro adjustment — </w:t>
      </w:r>
      <w:r>
        <w:t xml:space="preserve">inflation, cost-of-living adjustment, and unemployment rate for the forecast year</w:t>
      </w:r>
    </w:p>
    <w:p>
      <w:pPr>
        <w:pStyle w:val="ListParagraph"/>
        <w:numPr>
          <w:ilvl w:val="0"/>
          <w:numId w:val="2"/>
        </w:numPr>
        <w:spacing w:after="100"/>
      </w:pPr>
      <w:r>
        <w:rPr>
          <w:b/>
          <w:bCs/>
        </w:rPr>
        <w:t xml:space="preserve">Structural share — </w:t>
      </w:r>
      <w:r>
        <w:t xml:space="preserve">each line's share of its department's budget, and each department's share of the agency total</w:t>
      </w:r>
    </w:p>
    <w:p>
      <w:pPr>
        <w:spacing w:after="160" w:line="276" w:lineRule="auto"/>
      </w:pPr>
      <w:r>
        <w:t xml:space="preserve">A preliminary variance-explained scan shows the strongest single predictors of next-period spend are rolling 3-year spend volatility, prior actual spend, prior budget allocation, year-over-year spend growth, the rolling 3-year average, and prior execution rate — consistent with the intuition that budgets are highly path-dependent.</w:t>
      </w:r>
    </w:p>
    <w:p>
      <w:pPr>
        <w:pStyle w:val="Heading1"/>
        <w:spacing w:after="160" w:before="360"/>
      </w:pPr>
      <w:r>
        <w:t xml:space="preserve">5. Statistical Analysis — Variance Control &amp; Hypothesis Testing</w:t>
      </w:r>
    </w:p>
    <w:p>
      <w:pPr>
        <w:pStyle w:val="Heading2"/>
        <w:spacing w:after="120" w:before="260"/>
      </w:pPr>
      <w:r>
        <w:t xml:space="preserve">5.1 Statistical Process Control (SPC) for Budget Variance</w:t>
      </w:r>
    </w:p>
    <w:p>
      <w:pPr>
        <w:spacing w:after="160" w:line="276" w:lineRule="auto"/>
      </w:pPr>
      <w:r>
        <w:t xml:space="preserve">An SPC control chart was built for average annual budget variance percentage, with upper and lower control limits set at two standard deviations from the historical mean. This provides a simple, auditable way to flag years where agency-wide variance behavior departs from its historical envelope.</w:t>
      </w:r>
    </w:p>
    <w:p>
      <w:pPr>
        <w:spacing w:after="40" w:before="120" w:line="240" w:lineRule="auto"/>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124075"/>
                    </a:xfrm>
                    <a:prstGeom prst="rect">
                      <a:avLst/>
                    </a:prstGeom>
                  </pic:spPr>
                </pic:pic>
              </a:graphicData>
            </a:graphic>
          </wp:inline>
        </w:drawing>
      </w:r>
    </w:p>
    <w:p>
      <w:pPr>
        <w:spacing w:after="240" w:before="60"/>
        <w:jc w:val="center"/>
      </w:pPr>
      <w:r>
        <w:rPr>
          <w:i/>
          <w:iCs/>
          <w:color w:val="595959"/>
          <w:sz w:val="18"/>
          <w:szCs w:val="18"/>
        </w:rPr>
        <w:t xml:space="preserve">Figure 5. SPC chart for average budget variance % by fiscal year, with 2-sigma control limits.</w:t>
      </w:r>
    </w:p>
    <w:p>
      <w:pPr>
        <w:pStyle w:val="Heading2"/>
        <w:spacing w:after="120" w:before="260"/>
      </w:pPr>
      <w:r>
        <w:t xml:space="preserve">5.2 Line-Item Anomaly Flags (Z-Score)</w:t>
      </w:r>
    </w:p>
    <w:p>
      <w:pPr>
        <w:spacing w:after="160" w:line="276" w:lineRule="auto"/>
      </w:pPr>
      <w:r>
        <w:t xml:space="preserve">Each department × category line's variance in the latest closed fiscal year (FY2025) was compared against that specific line's own historical mean and standard deviation. No line exceeded the |z| &gt; 2 threshold in FY2025, indicating that, at the individual line-item level, variance behavior stayed within each line's own historical norm — even though, as Section 10 shows, several lines still merit review under broader multivariate and rule-based risk criteria.</w:t>
      </w:r>
    </w:p>
    <w:p>
      <w:pPr>
        <w:pStyle w:val="Heading2"/>
        <w:spacing w:after="120" w:before="260"/>
      </w:pPr>
      <w:r>
        <w:t xml:space="preserve">5.3 Hypothesis Test — Do Departments Differ in Execution Rate?</w:t>
      </w:r>
    </w:p>
    <w:p>
      <w:pPr>
        <w:spacing w:after="160" w:line="276" w:lineRule="auto"/>
      </w:pPr>
      <w:r>
        <w:t xml:space="preserve">A one-way ANOVA was run across departments' historical execution rates (actual spend ÷ allocated budget). The result was statistically significant: F = 3.90, p = 0.00045 — well below the conventional 0.05 threshold. This confirms that departments do not execute their budgets uniformly; execution rate is a real, measurable department-level effect and a legitimate feature for the forecasting model rather than noise.</w:t>
      </w:r>
    </w:p>
    <w:p>
      <w:pPr>
        <w:pStyle w:val="Heading1"/>
        <w:spacing w:after="160" w:before="360"/>
      </w:pPr>
      <w:r>
        <w:t xml:space="preserve">6. Time Series Forecasting (Baseline)</w:t>
      </w:r>
    </w:p>
    <w:p>
      <w:pPr>
        <w:spacing w:after="160" w:line="276" w:lineRule="auto"/>
      </w:pPr>
      <w:r>
        <w:t xml:space="preserve">As a transparent, easily-explained baseline, agency-wide and department-level annual spend were forecast using Holt-Winters exponential smoothing (additive, damped trend). This baseline requires no external features and serves both as a sanity-check floor for the machine learning model and as a cross-check budget officers can verify without a data science background.</w:t>
      </w:r>
    </w:p>
    <w:p>
      <w:pPr>
        <w:spacing w:after="40" w:before="120" w:line="240" w:lineRule="auto"/>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124075"/>
                    </a:xfrm>
                    <a:prstGeom prst="rect">
                      <a:avLst/>
                    </a:prstGeom>
                  </pic:spPr>
                </pic:pic>
              </a:graphicData>
            </a:graphic>
          </wp:inline>
        </w:drawing>
      </w:r>
    </w:p>
    <w:p>
      <w:pPr>
        <w:spacing w:after="240" w:before="60"/>
        <w:jc w:val="center"/>
      </w:pPr>
      <w:r>
        <w:rPr>
          <w:i/>
          <w:iCs/>
          <w:color w:val="595959"/>
          <w:sz w:val="18"/>
          <w:szCs w:val="18"/>
        </w:rPr>
        <w:t xml:space="preserve">Figure 6. Holt-Winters agency-wide forecast trajectory.</w:t>
      </w:r>
    </w:p>
    <w:p>
      <w:pPr>
        <w:spacing w:after="160" w:line="276" w:lineRule="auto"/>
      </w:pPr>
      <w:r>
        <w:t xml:space="preserve">The Holt-Winters agency-wide forecast projects $1,404,266.5K for FY2026 and $1,459,587.6K for FY2027. Department-level Holt-Winters forecasts for FY2026 range from $36,817.9K (Parks &amp; Recreation) up to $332,646.1K (Health &amp; Human Services), and are used in Section 8 as an independent comparison point for the machine learning forecast.</w:t>
      </w:r>
    </w:p>
    <w:p>
      <w:pPr>
        <w:pStyle w:val="Heading1"/>
        <w:spacing w:after="160" w:before="360"/>
      </w:pPr>
      <w:r>
        <w:t xml:space="preserve">7. Machine Learning — Predicting Next-FY Budget Requirement</w:t>
      </w:r>
    </w:p>
    <w:p>
      <w:pPr>
        <w:spacing w:after="160" w:line="276" w:lineRule="auto"/>
      </w:pPr>
      <w:r>
        <w:t xml:space="preserve">The forecasting problem was framed as supervised regression: predict each department × category line's actual spend using only information known before that fiscal year (prior actuals, rolling trends, workload, and macro conditions). A Gradient Boosting Regressor (300 estimators, max depth 3, learning rate 0.05) was evaluated using walk-forward validation — training on all years before the test year and evaluating on the test year only — which avoids look-ahead bias and mirrors how the model would be used in production.</w:t>
      </w:r>
    </w:p>
    <w:p>
      <w:pPr>
        <w:pStyle w:val="Heading2"/>
        <w:spacing w:after="120" w:before="260"/>
      </w:pPr>
      <w:r>
        <w:t xml:space="preserve">7.1 Walk-Forward Backtest Results</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1300"/>
        <w:gridCol w:w="700"/>
        <w:gridCol w:w="1300"/>
        <w:gridCol w:w="1300"/>
        <w:gridCol w:w="1300"/>
        <w:gridCol w:w="1300"/>
        <w:gridCol w:w="1850"/>
      </w:tblGrid>
      <w:tr>
        <w:trPr>
          <w:tblHeader/>
        </w:trPr>
        <w:tc>
          <w:tcPr>
            <w:tcW w:type="dxa" w:w="1300"/>
            <w:shd w:fill="1F3864" w:val="clear"/>
            <w:tcMar>
              <w:top w:type="dxa" w:w="80"/>
              <w:left w:type="dxa" w:w="100"/>
              <w:bottom w:type="dxa" w:w="80"/>
              <w:right w:type="dxa" w:w="100"/>
            </w:tcMar>
            <w:vAlign w:val="center"/>
          </w:tcPr>
          <w:p>
            <w:pPr>
              <w:jc w:val="center"/>
            </w:pPr>
            <w:r>
              <w:rPr>
                <w:b/>
                <w:bCs/>
                <w:color w:val="FFFFFF"/>
              </w:rPr>
              <w:t xml:space="preserve">Test Year</w:t>
            </w:r>
          </w:p>
        </w:tc>
        <w:tc>
          <w:tcPr>
            <w:tcW w:type="dxa" w:w="700"/>
            <w:shd w:fill="1F3864" w:val="clear"/>
            <w:tcMar>
              <w:top w:type="dxa" w:w="80"/>
              <w:left w:type="dxa" w:w="100"/>
              <w:bottom w:type="dxa" w:w="80"/>
              <w:right w:type="dxa" w:w="100"/>
            </w:tcMar>
            <w:vAlign w:val="center"/>
          </w:tcPr>
          <w:p>
            <w:pPr>
              <w:jc w:val="center"/>
            </w:pPr>
            <w:r>
              <w:rPr>
                <w:b/>
                <w:bCs/>
                <w:color w:val="FFFFFF"/>
              </w:rPr>
              <w:t xml:space="preserve">n</w:t>
            </w:r>
          </w:p>
        </w:tc>
        <w:tc>
          <w:tcPr>
            <w:tcW w:type="dxa" w:w="1300"/>
            <w:shd w:fill="1F3864" w:val="clear"/>
            <w:tcMar>
              <w:top w:type="dxa" w:w="80"/>
              <w:left w:type="dxa" w:w="100"/>
              <w:bottom w:type="dxa" w:w="80"/>
              <w:right w:type="dxa" w:w="100"/>
            </w:tcMar>
            <w:vAlign w:val="center"/>
          </w:tcPr>
          <w:p>
            <w:pPr>
              <w:jc w:val="center"/>
            </w:pPr>
            <w:r>
              <w:rPr>
                <w:b/>
                <w:bCs/>
                <w:color w:val="FFFFFF"/>
              </w:rPr>
              <w:t xml:space="preserve">GBR MAE</w:t>
            </w:r>
          </w:p>
        </w:tc>
        <w:tc>
          <w:tcPr>
            <w:tcW w:type="dxa" w:w="1300"/>
            <w:shd w:fill="1F3864" w:val="clear"/>
            <w:tcMar>
              <w:top w:type="dxa" w:w="80"/>
              <w:left w:type="dxa" w:w="100"/>
              <w:bottom w:type="dxa" w:w="80"/>
              <w:right w:type="dxa" w:w="100"/>
            </w:tcMar>
            <w:vAlign w:val="center"/>
          </w:tcPr>
          <w:p>
            <w:pPr>
              <w:jc w:val="center"/>
            </w:pPr>
            <w:r>
              <w:rPr>
                <w:b/>
                <w:bCs/>
                <w:color w:val="FFFFFF"/>
              </w:rPr>
              <w:t xml:space="preserve">GBR RMSE</w:t>
            </w:r>
          </w:p>
        </w:tc>
        <w:tc>
          <w:tcPr>
            <w:tcW w:type="dxa" w:w="1300"/>
            <w:shd w:fill="1F3864" w:val="clear"/>
            <w:tcMar>
              <w:top w:type="dxa" w:w="80"/>
              <w:left w:type="dxa" w:w="100"/>
              <w:bottom w:type="dxa" w:w="80"/>
              <w:right w:type="dxa" w:w="100"/>
            </w:tcMar>
            <w:vAlign w:val="center"/>
          </w:tcPr>
          <w:p>
            <w:pPr>
              <w:jc w:val="center"/>
            </w:pPr>
            <w:r>
              <w:rPr>
                <w:b/>
                <w:bCs/>
                <w:color w:val="FFFFFF"/>
              </w:rPr>
              <w:t xml:space="preserve">GBR MAPE</w:t>
            </w:r>
          </w:p>
        </w:tc>
        <w:tc>
          <w:tcPr>
            <w:tcW w:type="dxa" w:w="1300"/>
            <w:shd w:fill="1F3864" w:val="clear"/>
            <w:tcMar>
              <w:top w:type="dxa" w:w="80"/>
              <w:left w:type="dxa" w:w="100"/>
              <w:bottom w:type="dxa" w:w="80"/>
              <w:right w:type="dxa" w:w="100"/>
            </w:tcMar>
            <w:vAlign w:val="center"/>
          </w:tcPr>
          <w:p>
            <w:pPr>
              <w:jc w:val="center"/>
            </w:pPr>
            <w:r>
              <w:rPr>
                <w:b/>
                <w:bCs/>
                <w:color w:val="FFFFFF"/>
              </w:rPr>
              <w:t xml:space="preserve">Naive MAPE</w:t>
            </w:r>
          </w:p>
        </w:tc>
        <w:tc>
          <w:tcPr>
            <w:tcW w:type="dxa" w:w="1850"/>
            <w:shd w:fill="1F3864" w:val="clear"/>
            <w:tcMar>
              <w:top w:type="dxa" w:w="80"/>
              <w:left w:type="dxa" w:w="100"/>
              <w:bottom w:type="dxa" w:w="80"/>
              <w:right w:type="dxa" w:w="100"/>
            </w:tcMar>
            <w:vAlign w:val="center"/>
          </w:tcPr>
          <w:p>
            <w:pPr>
              <w:jc w:val="center"/>
            </w:pPr>
            <w:r>
              <w:rPr>
                <w:b/>
                <w:bCs/>
                <w:color w:val="FFFFFF"/>
              </w:rPr>
              <w:t xml:space="preserve">MAE Improvement vs. Naive</w:t>
            </w:r>
          </w:p>
        </w:tc>
      </w:tr>
      <w:tr>
        <w:tc>
          <w:tcPr>
            <w:tcW w:type="dxa" w:w="1300"/>
            <w:shd w:fill="F2F6FA" w:val="clear"/>
            <w:tcMar>
              <w:top w:type="dxa" w:w="80"/>
              <w:left w:type="dxa" w:w="100"/>
              <w:bottom w:type="dxa" w:w="80"/>
              <w:right w:type="dxa" w:w="100"/>
            </w:tcMar>
            <w:vAlign w:val="center"/>
          </w:tcPr>
          <w:p>
            <w:pPr>
              <w:jc w:val="left"/>
            </w:pPr>
            <w:r>
              <w:rPr>
                <w:b w:val="false"/>
                <w:bCs w:val="false"/>
              </w:rPr>
              <w:t xml:space="preserve">2023</w:t>
            </w:r>
          </w:p>
        </w:tc>
        <w:tc>
          <w:tcPr>
            <w:tcW w:type="dxa" w:w="700"/>
            <w:shd w:fill="F2F6FA" w:val="clear"/>
            <w:tcMar>
              <w:top w:type="dxa" w:w="80"/>
              <w:left w:type="dxa" w:w="100"/>
              <w:bottom w:type="dxa" w:w="80"/>
              <w:right w:type="dxa" w:w="100"/>
            </w:tcMar>
            <w:vAlign w:val="center"/>
          </w:tcPr>
          <w:p>
            <w:pPr>
              <w:jc w:val="center"/>
            </w:pPr>
            <w:r>
              <w:rPr>
                <w:b w:val="false"/>
                <w:bCs w:val="false"/>
              </w:rPr>
              <w:t xml:space="preserve">40</w:t>
            </w:r>
          </w:p>
        </w:tc>
        <w:tc>
          <w:tcPr>
            <w:tcW w:type="dxa" w:w="1300"/>
            <w:shd w:fill="F2F6FA" w:val="clear"/>
            <w:tcMar>
              <w:top w:type="dxa" w:w="80"/>
              <w:left w:type="dxa" w:w="100"/>
              <w:bottom w:type="dxa" w:w="80"/>
              <w:right w:type="dxa" w:w="100"/>
            </w:tcMar>
            <w:vAlign w:val="center"/>
          </w:tcPr>
          <w:p>
            <w:pPr>
              <w:jc w:val="center"/>
            </w:pPr>
            <w:r>
              <w:rPr>
                <w:b w:val="false"/>
                <w:bCs w:val="false"/>
              </w:rPr>
              <w:t xml:space="preserve">2,960.1</w:t>
            </w:r>
          </w:p>
        </w:tc>
        <w:tc>
          <w:tcPr>
            <w:tcW w:type="dxa" w:w="1300"/>
            <w:shd w:fill="F2F6FA" w:val="clear"/>
            <w:tcMar>
              <w:top w:type="dxa" w:w="80"/>
              <w:left w:type="dxa" w:w="100"/>
              <w:bottom w:type="dxa" w:w="80"/>
              <w:right w:type="dxa" w:w="100"/>
            </w:tcMar>
            <w:vAlign w:val="center"/>
          </w:tcPr>
          <w:p>
            <w:pPr>
              <w:jc w:val="center"/>
            </w:pPr>
            <w:r>
              <w:rPr>
                <w:b w:val="false"/>
                <w:bCs w:val="false"/>
              </w:rPr>
              <w:t xml:space="preserve">7,513.9</w:t>
            </w:r>
          </w:p>
        </w:tc>
        <w:tc>
          <w:tcPr>
            <w:tcW w:type="dxa" w:w="1300"/>
            <w:shd w:fill="F2F6FA" w:val="clear"/>
            <w:tcMar>
              <w:top w:type="dxa" w:w="80"/>
              <w:left w:type="dxa" w:w="100"/>
              <w:bottom w:type="dxa" w:w="80"/>
              <w:right w:type="dxa" w:w="100"/>
            </w:tcMar>
            <w:vAlign w:val="center"/>
          </w:tcPr>
          <w:p>
            <w:pPr>
              <w:jc w:val="center"/>
            </w:pPr>
            <w:r>
              <w:rPr>
                <w:b w:val="false"/>
                <w:bCs w:val="false"/>
              </w:rPr>
              <w:t xml:space="preserve">6.9%</w:t>
            </w:r>
          </w:p>
        </w:tc>
        <w:tc>
          <w:tcPr>
            <w:tcW w:type="dxa" w:w="1300"/>
            <w:shd w:fill="F2F6FA" w:val="clear"/>
            <w:tcMar>
              <w:top w:type="dxa" w:w="80"/>
              <w:left w:type="dxa" w:w="100"/>
              <w:bottom w:type="dxa" w:w="80"/>
              <w:right w:type="dxa" w:w="100"/>
            </w:tcMar>
            <w:vAlign w:val="center"/>
          </w:tcPr>
          <w:p>
            <w:pPr>
              <w:jc w:val="center"/>
            </w:pPr>
            <w:r>
              <w:rPr>
                <w:b w:val="false"/>
                <w:bCs w:val="false"/>
              </w:rPr>
              <w:t xml:space="preserve">8.7%</w:t>
            </w:r>
          </w:p>
        </w:tc>
        <w:tc>
          <w:tcPr>
            <w:tcW w:type="dxa" w:w="1850"/>
            <w:shd w:fill="F2F6FA" w:val="clear"/>
            <w:tcMar>
              <w:top w:type="dxa" w:w="80"/>
              <w:left w:type="dxa" w:w="100"/>
              <w:bottom w:type="dxa" w:w="80"/>
              <w:right w:type="dxa" w:w="100"/>
            </w:tcMar>
            <w:vAlign w:val="center"/>
          </w:tcPr>
          <w:p>
            <w:pPr>
              <w:jc w:val="center"/>
            </w:pPr>
            <w:r>
              <w:rPr>
                <w:b w:val="false"/>
                <w:bCs w:val="false"/>
              </w:rPr>
              <w:t xml:space="preserve">-0.2%</w:t>
            </w:r>
          </w:p>
        </w:tc>
      </w:tr>
      <w:tr>
        <w:tc>
          <w:tcPr>
            <w:tcW w:type="dxa" w:w="1300"/>
            <w:shd w:fill="FFFFFF" w:val="clear"/>
            <w:tcMar>
              <w:top w:type="dxa" w:w="80"/>
              <w:left w:type="dxa" w:w="100"/>
              <w:bottom w:type="dxa" w:w="80"/>
              <w:right w:type="dxa" w:w="100"/>
            </w:tcMar>
            <w:vAlign w:val="center"/>
          </w:tcPr>
          <w:p>
            <w:pPr>
              <w:jc w:val="left"/>
            </w:pPr>
            <w:r>
              <w:rPr>
                <w:b w:val="false"/>
                <w:bCs w:val="false"/>
              </w:rPr>
              <w:t xml:space="preserve">2024</w:t>
            </w:r>
          </w:p>
        </w:tc>
        <w:tc>
          <w:tcPr>
            <w:tcW w:type="dxa" w:w="700"/>
            <w:shd w:fill="FFFFFF" w:val="clear"/>
            <w:tcMar>
              <w:top w:type="dxa" w:w="80"/>
              <w:left w:type="dxa" w:w="100"/>
              <w:bottom w:type="dxa" w:w="80"/>
              <w:right w:type="dxa" w:w="100"/>
            </w:tcMar>
            <w:vAlign w:val="center"/>
          </w:tcPr>
          <w:p>
            <w:pPr>
              <w:jc w:val="center"/>
            </w:pPr>
            <w:r>
              <w:rPr>
                <w:b w:val="false"/>
                <w:bCs w:val="false"/>
              </w:rPr>
              <w:t xml:space="preserve">40</w:t>
            </w:r>
          </w:p>
        </w:tc>
        <w:tc>
          <w:tcPr>
            <w:tcW w:type="dxa" w:w="1300"/>
            <w:shd w:fill="FFFFFF" w:val="clear"/>
            <w:tcMar>
              <w:top w:type="dxa" w:w="80"/>
              <w:left w:type="dxa" w:w="100"/>
              <w:bottom w:type="dxa" w:w="80"/>
              <w:right w:type="dxa" w:w="100"/>
            </w:tcMar>
            <w:vAlign w:val="center"/>
          </w:tcPr>
          <w:p>
            <w:pPr>
              <w:jc w:val="center"/>
            </w:pPr>
            <w:r>
              <w:rPr>
                <w:b w:val="false"/>
                <w:bCs w:val="false"/>
              </w:rPr>
              <w:t xml:space="preserve">2,827.6</w:t>
            </w:r>
          </w:p>
        </w:tc>
        <w:tc>
          <w:tcPr>
            <w:tcW w:type="dxa" w:w="1300"/>
            <w:shd w:fill="FFFFFF" w:val="clear"/>
            <w:tcMar>
              <w:top w:type="dxa" w:w="80"/>
              <w:left w:type="dxa" w:w="100"/>
              <w:bottom w:type="dxa" w:w="80"/>
              <w:right w:type="dxa" w:w="100"/>
            </w:tcMar>
            <w:vAlign w:val="center"/>
          </w:tcPr>
          <w:p>
            <w:pPr>
              <w:jc w:val="center"/>
            </w:pPr>
            <w:r>
              <w:rPr>
                <w:b w:val="false"/>
                <w:bCs w:val="false"/>
              </w:rPr>
              <w:t xml:space="preserve">7,426.7</w:t>
            </w:r>
          </w:p>
        </w:tc>
        <w:tc>
          <w:tcPr>
            <w:tcW w:type="dxa" w:w="1300"/>
            <w:shd w:fill="FFFFFF" w:val="clear"/>
            <w:tcMar>
              <w:top w:type="dxa" w:w="80"/>
              <w:left w:type="dxa" w:w="100"/>
              <w:bottom w:type="dxa" w:w="80"/>
              <w:right w:type="dxa" w:w="100"/>
            </w:tcMar>
            <w:vAlign w:val="center"/>
          </w:tcPr>
          <w:p>
            <w:pPr>
              <w:jc w:val="center"/>
            </w:pPr>
            <w:r>
              <w:rPr>
                <w:b w:val="false"/>
                <w:bCs w:val="false"/>
              </w:rPr>
              <w:t xml:space="preserve">7.5%</w:t>
            </w:r>
          </w:p>
        </w:tc>
        <w:tc>
          <w:tcPr>
            <w:tcW w:type="dxa" w:w="1300"/>
            <w:shd w:fill="FFFFFF" w:val="clear"/>
            <w:tcMar>
              <w:top w:type="dxa" w:w="80"/>
              <w:left w:type="dxa" w:w="100"/>
              <w:bottom w:type="dxa" w:w="80"/>
              <w:right w:type="dxa" w:w="100"/>
            </w:tcMar>
            <w:vAlign w:val="center"/>
          </w:tcPr>
          <w:p>
            <w:pPr>
              <w:jc w:val="center"/>
            </w:pPr>
            <w:r>
              <w:rPr>
                <w:b w:val="false"/>
                <w:bCs w:val="false"/>
              </w:rPr>
              <w:t xml:space="preserve">9.1%</w:t>
            </w:r>
          </w:p>
        </w:tc>
        <w:tc>
          <w:tcPr>
            <w:tcW w:type="dxa" w:w="1850"/>
            <w:shd w:fill="FFFFFF" w:val="clear"/>
            <w:tcMar>
              <w:top w:type="dxa" w:w="80"/>
              <w:left w:type="dxa" w:w="100"/>
              <w:bottom w:type="dxa" w:w="80"/>
              <w:right w:type="dxa" w:w="100"/>
            </w:tcMar>
            <w:vAlign w:val="center"/>
          </w:tcPr>
          <w:p>
            <w:pPr>
              <w:jc w:val="center"/>
            </w:pPr>
            <w:r>
              <w:rPr>
                <w:b w:val="false"/>
                <w:bCs w:val="false"/>
              </w:rPr>
              <w:t xml:space="preserve">-30.3%</w:t>
            </w:r>
          </w:p>
        </w:tc>
      </w:tr>
      <w:tr>
        <w:tc>
          <w:tcPr>
            <w:tcW w:type="dxa" w:w="1300"/>
            <w:shd w:fill="F2F6FA" w:val="clear"/>
            <w:tcMar>
              <w:top w:type="dxa" w:w="80"/>
              <w:left w:type="dxa" w:w="100"/>
              <w:bottom w:type="dxa" w:w="80"/>
              <w:right w:type="dxa" w:w="100"/>
            </w:tcMar>
            <w:vAlign w:val="center"/>
          </w:tcPr>
          <w:p>
            <w:pPr>
              <w:jc w:val="left"/>
            </w:pPr>
            <w:r>
              <w:rPr>
                <w:b w:val="false"/>
                <w:bCs w:val="false"/>
              </w:rPr>
              <w:t xml:space="preserve">2025</w:t>
            </w:r>
          </w:p>
        </w:tc>
        <w:tc>
          <w:tcPr>
            <w:tcW w:type="dxa" w:w="700"/>
            <w:shd w:fill="F2F6FA" w:val="clear"/>
            <w:tcMar>
              <w:top w:type="dxa" w:w="80"/>
              <w:left w:type="dxa" w:w="100"/>
              <w:bottom w:type="dxa" w:w="80"/>
              <w:right w:type="dxa" w:w="100"/>
            </w:tcMar>
            <w:vAlign w:val="center"/>
          </w:tcPr>
          <w:p>
            <w:pPr>
              <w:jc w:val="center"/>
            </w:pPr>
            <w:r>
              <w:rPr>
                <w:b w:val="false"/>
                <w:bCs w:val="false"/>
              </w:rPr>
              <w:t xml:space="preserve">40</w:t>
            </w:r>
          </w:p>
        </w:tc>
        <w:tc>
          <w:tcPr>
            <w:tcW w:type="dxa" w:w="1300"/>
            <w:shd w:fill="F2F6FA" w:val="clear"/>
            <w:tcMar>
              <w:top w:type="dxa" w:w="80"/>
              <w:left w:type="dxa" w:w="100"/>
              <w:bottom w:type="dxa" w:w="80"/>
              <w:right w:type="dxa" w:w="100"/>
            </w:tcMar>
            <w:vAlign w:val="center"/>
          </w:tcPr>
          <w:p>
            <w:pPr>
              <w:jc w:val="center"/>
            </w:pPr>
            <w:r>
              <w:rPr>
                <w:b w:val="false"/>
                <w:bCs w:val="false"/>
              </w:rPr>
              <w:t xml:space="preserve">2,769.4</w:t>
            </w:r>
          </w:p>
        </w:tc>
        <w:tc>
          <w:tcPr>
            <w:tcW w:type="dxa" w:w="1300"/>
            <w:shd w:fill="F2F6FA" w:val="clear"/>
            <w:tcMar>
              <w:top w:type="dxa" w:w="80"/>
              <w:left w:type="dxa" w:w="100"/>
              <w:bottom w:type="dxa" w:w="80"/>
              <w:right w:type="dxa" w:w="100"/>
            </w:tcMar>
            <w:vAlign w:val="center"/>
          </w:tcPr>
          <w:p>
            <w:pPr>
              <w:jc w:val="center"/>
            </w:pPr>
            <w:r>
              <w:rPr>
                <w:b w:val="false"/>
                <w:bCs w:val="false"/>
              </w:rPr>
              <w:t xml:space="preserve">6,655.4</w:t>
            </w:r>
          </w:p>
        </w:tc>
        <w:tc>
          <w:tcPr>
            <w:tcW w:type="dxa" w:w="1300"/>
            <w:shd w:fill="F2F6FA" w:val="clear"/>
            <w:tcMar>
              <w:top w:type="dxa" w:w="80"/>
              <w:left w:type="dxa" w:w="100"/>
              <w:bottom w:type="dxa" w:w="80"/>
              <w:right w:type="dxa" w:w="100"/>
            </w:tcMar>
            <w:vAlign w:val="center"/>
          </w:tcPr>
          <w:p>
            <w:pPr>
              <w:jc w:val="center"/>
            </w:pPr>
            <w:r>
              <w:rPr>
                <w:b w:val="false"/>
                <w:bCs w:val="false"/>
              </w:rPr>
              <w:t xml:space="preserve">7.7%</w:t>
            </w:r>
          </w:p>
        </w:tc>
        <w:tc>
          <w:tcPr>
            <w:tcW w:type="dxa" w:w="1300"/>
            <w:shd w:fill="F2F6FA" w:val="clear"/>
            <w:tcMar>
              <w:top w:type="dxa" w:w="80"/>
              <w:left w:type="dxa" w:w="100"/>
              <w:bottom w:type="dxa" w:w="80"/>
              <w:right w:type="dxa" w:w="100"/>
            </w:tcMar>
            <w:vAlign w:val="center"/>
          </w:tcPr>
          <w:p>
            <w:pPr>
              <w:jc w:val="center"/>
            </w:pPr>
            <w:r>
              <w:rPr>
                <w:b w:val="false"/>
                <w:bCs w:val="false"/>
              </w:rPr>
              <w:t xml:space="preserve">10.5%</w:t>
            </w:r>
          </w:p>
        </w:tc>
        <w:tc>
          <w:tcPr>
            <w:tcW w:type="dxa" w:w="1850"/>
            <w:shd w:fill="F2F6FA" w:val="clear"/>
            <w:tcMar>
              <w:top w:type="dxa" w:w="80"/>
              <w:left w:type="dxa" w:w="100"/>
              <w:bottom w:type="dxa" w:w="80"/>
              <w:right w:type="dxa" w:w="100"/>
            </w:tcMar>
            <w:vAlign w:val="center"/>
          </w:tcPr>
          <w:p>
            <w:pPr>
              <w:jc w:val="center"/>
            </w:pPr>
            <w:r>
              <w:rPr>
                <w:b w:val="false"/>
                <w:bCs w:val="false"/>
              </w:rPr>
              <w:t xml:space="preserve">+8.3%</w:t>
            </w:r>
          </w:p>
        </w:tc>
      </w:tr>
    </w:tbl>
    <w:p>
      <w:pPr>
        <w:spacing w:after="200"/>
      </w:pPr>
    </w:p>
    <w:p>
      <w:pPr>
        <w:spacing w:after="40" w:before="120" w:line="240" w:lineRule="auto"/>
        <w:jc w:val="center"/>
      </w:pPr>
      <w:r>
        <w:drawing>
          <wp:inline distT="0" distB="0" distL="0" distR="0">
            <wp:extent cx="55245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1866900"/>
                    </a:xfrm>
                    <a:prstGeom prst="rect">
                      <a:avLst/>
                    </a:prstGeom>
                  </pic:spPr>
                </pic:pic>
              </a:graphicData>
            </a:graphic>
          </wp:inline>
        </w:drawing>
      </w:r>
    </w:p>
    <w:p>
      <w:pPr>
        <w:spacing w:after="240" w:before="60"/>
        <w:jc w:val="center"/>
      </w:pPr>
      <w:r>
        <w:rPr>
          <w:i/>
          <w:iCs/>
          <w:color w:val="595959"/>
          <w:sz w:val="18"/>
          <w:szCs w:val="18"/>
        </w:rPr>
        <w:t xml:space="preserve">Figure 7. Walk-forward MAPE by test year, and MAE improvement over the naive baseline.</w:t>
      </w:r>
    </w:p>
    <w:p>
      <w:pPr>
        <w:spacing w:after="160" w:line="276" w:lineRule="auto"/>
      </w:pPr>
      <w:r>
        <w:t xml:space="preserve">Averaged across the three backtested years, the gradient boosting model achieves 7.4% MAPE compared to 9.4% for a naive persistence baseline (predicting next year equals this year) — roughly a 22% relative reduction in forecast error. The improvement is not perfectly uniform year to year (2023 was roughly flat vs. naive, 2024 showed a large improvement, 2025 showed a moderate improvement), which is a useful reminder to monitor the model on rolling backtests in production rather than trusting a single year's result in isolation.</w:t>
      </w:r>
    </w:p>
    <w:p>
      <w:pPr>
        <w:pStyle w:val="Heading1"/>
        <w:spacing w:after="160" w:before="360"/>
      </w:pPr>
      <w:r>
        <w:t xml:space="preserve">8. Final Model — Forecasting FY2026</w:t>
      </w:r>
    </w:p>
    <w:p>
      <w:pPr>
        <w:spacing w:after="160" w:line="276" w:lineRule="auto"/>
      </w:pPr>
      <w:r>
        <w:t xml:space="preserve">The final gradient boosting model was trained on all available history through FY2025 and used to forecast FY2026 department-level budget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450"/>
        <w:gridCol w:w="1500"/>
      </w:tblGrid>
      <w:tr>
        <w:trPr>
          <w:tblHeader/>
        </w:trPr>
        <w:tc>
          <w:tcPr>
            <w:tcW w:type="dxa" w:w="3400"/>
            <w:shd w:fill="1F3864" w:val="clear"/>
            <w:tcMar>
              <w:top w:type="dxa" w:w="80"/>
              <w:left w:type="dxa" w:w="100"/>
              <w:bottom w:type="dxa" w:w="80"/>
              <w:right w:type="dxa" w:w="100"/>
            </w:tcMar>
            <w:vAlign w:val="center"/>
          </w:tcPr>
          <w:p>
            <w:pPr>
              <w:jc w:val="center"/>
            </w:pPr>
            <w:r>
              <w:rPr>
                <w:b/>
                <w:bCs/>
                <w:color w:val="FFFFFF"/>
              </w:rPr>
              <w:t xml:space="preserve">Department</w:t>
            </w:r>
          </w:p>
        </w:tc>
        <w:tc>
          <w:tcPr>
            <w:tcW w:type="dxa" w:w="2000"/>
            <w:shd w:fill="1F3864" w:val="clear"/>
            <w:tcMar>
              <w:top w:type="dxa" w:w="80"/>
              <w:left w:type="dxa" w:w="100"/>
              <w:bottom w:type="dxa" w:w="80"/>
              <w:right w:type="dxa" w:w="100"/>
            </w:tcMar>
            <w:vAlign w:val="center"/>
          </w:tcPr>
          <w:p>
            <w:pPr>
              <w:jc w:val="center"/>
            </w:pPr>
            <w:r>
              <w:rPr>
                <w:b/>
                <w:bCs/>
                <w:color w:val="FFFFFF"/>
              </w:rPr>
              <w:t xml:space="preserve">ML Forecast ($K)</w:t>
            </w:r>
          </w:p>
        </w:tc>
        <w:tc>
          <w:tcPr>
            <w:tcW w:type="dxa" w:w="2450"/>
            <w:shd w:fill="1F3864" w:val="clear"/>
            <w:tcMar>
              <w:top w:type="dxa" w:w="80"/>
              <w:left w:type="dxa" w:w="100"/>
              <w:bottom w:type="dxa" w:w="80"/>
              <w:right w:type="dxa" w:w="100"/>
            </w:tcMar>
            <w:vAlign w:val="center"/>
          </w:tcPr>
          <w:p>
            <w:pPr>
              <w:jc w:val="center"/>
            </w:pPr>
            <w:r>
              <w:rPr>
                <w:b/>
                <w:bCs/>
                <w:color w:val="FFFFFF"/>
              </w:rPr>
              <w:t xml:space="preserve">Holt-Winters Forecast ($K)</w:t>
            </w:r>
          </w:p>
        </w:tc>
        <w:tc>
          <w:tcPr>
            <w:tcW w:type="dxa" w:w="1500"/>
            <w:shd w:fill="1F3864" w:val="clear"/>
            <w:tcMar>
              <w:top w:type="dxa" w:w="80"/>
              <w:left w:type="dxa" w:w="100"/>
              <w:bottom w:type="dxa" w:w="80"/>
              <w:right w:type="dxa" w:w="100"/>
            </w:tcMar>
            <w:vAlign w:val="center"/>
          </w:tcPr>
          <w:p>
            <w:pPr>
              <w:jc w:val="center"/>
            </w:pPr>
            <w:r>
              <w:rPr>
                <w:b/>
                <w:bCs/>
                <w:color w:val="FFFFFF"/>
              </w:rPr>
              <w:t xml:space="preserve">% Difference</w:t>
            </w:r>
          </w:p>
        </w:tc>
      </w:tr>
      <w:tr>
        <w:tc>
          <w:tcPr>
            <w:tcW w:type="dxa" w:w="3400"/>
            <w:shd w:fill="F2F6FA" w:val="clear"/>
            <w:tcMar>
              <w:top w:type="dxa" w:w="80"/>
              <w:left w:type="dxa" w:w="100"/>
              <w:bottom w:type="dxa" w:w="80"/>
              <w:right w:type="dxa" w:w="100"/>
            </w:tcMar>
            <w:vAlign w:val="center"/>
          </w:tcPr>
          <w:p>
            <w:pPr>
              <w:jc w:val="left"/>
            </w:pPr>
            <w:r>
              <w:rPr>
                <w:b w:val="false"/>
                <w:bCs w:val="false"/>
              </w:rPr>
              <w:t xml:space="preserve">Health &amp; Human Services</w:t>
            </w:r>
          </w:p>
        </w:tc>
        <w:tc>
          <w:tcPr>
            <w:tcW w:type="dxa" w:w="2000"/>
            <w:shd w:fill="F2F6FA" w:val="clear"/>
            <w:tcMar>
              <w:top w:type="dxa" w:w="80"/>
              <w:left w:type="dxa" w:w="100"/>
              <w:bottom w:type="dxa" w:w="80"/>
              <w:right w:type="dxa" w:w="100"/>
            </w:tcMar>
            <w:vAlign w:val="center"/>
          </w:tcPr>
          <w:p>
            <w:pPr>
              <w:jc w:val="center"/>
            </w:pPr>
            <w:r>
              <w:rPr>
                <w:b w:val="false"/>
                <w:bCs w:val="false"/>
              </w:rPr>
              <w:t xml:space="preserve">321,505.0</w:t>
            </w:r>
          </w:p>
        </w:tc>
        <w:tc>
          <w:tcPr>
            <w:tcW w:type="dxa" w:w="2450"/>
            <w:shd w:fill="F2F6FA" w:val="clear"/>
            <w:tcMar>
              <w:top w:type="dxa" w:w="80"/>
              <w:left w:type="dxa" w:w="100"/>
              <w:bottom w:type="dxa" w:w="80"/>
              <w:right w:type="dxa" w:w="100"/>
            </w:tcMar>
            <w:vAlign w:val="center"/>
          </w:tcPr>
          <w:p>
            <w:pPr>
              <w:jc w:val="center"/>
            </w:pPr>
            <w:r>
              <w:rPr>
                <w:b w:val="false"/>
                <w:bCs w:val="false"/>
              </w:rPr>
              <w:t xml:space="preserve">332,646.1</w:t>
            </w:r>
          </w:p>
        </w:tc>
        <w:tc>
          <w:tcPr>
            <w:tcW w:type="dxa" w:w="1500"/>
            <w:shd w:fill="F2F6FA" w:val="clear"/>
            <w:tcMar>
              <w:top w:type="dxa" w:w="80"/>
              <w:left w:type="dxa" w:w="100"/>
              <w:bottom w:type="dxa" w:w="80"/>
              <w:right w:type="dxa" w:w="100"/>
            </w:tcMar>
            <w:vAlign w:val="center"/>
          </w:tcPr>
          <w:p>
            <w:pPr>
              <w:jc w:val="center"/>
            </w:pPr>
            <w:r>
              <w:rPr>
                <w:b w:val="false"/>
                <w:bCs w:val="false"/>
              </w:rPr>
              <w:t xml:space="preserve">-3.3%</w:t>
            </w:r>
          </w:p>
        </w:tc>
      </w:tr>
      <w:tr>
        <w:tc>
          <w:tcPr>
            <w:tcW w:type="dxa" w:w="3400"/>
            <w:shd w:fill="FFFFFF" w:val="clear"/>
            <w:tcMar>
              <w:top w:type="dxa" w:w="80"/>
              <w:left w:type="dxa" w:w="100"/>
              <w:bottom w:type="dxa" w:w="80"/>
              <w:right w:type="dxa" w:w="100"/>
            </w:tcMar>
            <w:vAlign w:val="center"/>
          </w:tcPr>
          <w:p>
            <w:pPr>
              <w:jc w:val="left"/>
            </w:pPr>
            <w:r>
              <w:rPr>
                <w:b w:val="false"/>
                <w:bCs w:val="false"/>
              </w:rPr>
              <w:t xml:space="preserve">Education</w:t>
            </w:r>
          </w:p>
        </w:tc>
        <w:tc>
          <w:tcPr>
            <w:tcW w:type="dxa" w:w="2000"/>
            <w:shd w:fill="FFFFFF" w:val="clear"/>
            <w:tcMar>
              <w:top w:type="dxa" w:w="80"/>
              <w:left w:type="dxa" w:w="100"/>
              <w:bottom w:type="dxa" w:w="80"/>
              <w:right w:type="dxa" w:w="100"/>
            </w:tcMar>
            <w:vAlign w:val="center"/>
          </w:tcPr>
          <w:p>
            <w:pPr>
              <w:jc w:val="center"/>
            </w:pPr>
            <w:r>
              <w:rPr>
                <w:b w:val="false"/>
                <w:bCs w:val="false"/>
              </w:rPr>
              <w:t xml:space="preserve">273,631.2</w:t>
            </w:r>
          </w:p>
        </w:tc>
        <w:tc>
          <w:tcPr>
            <w:tcW w:type="dxa" w:w="2450"/>
            <w:shd w:fill="FFFFFF" w:val="clear"/>
            <w:tcMar>
              <w:top w:type="dxa" w:w="80"/>
              <w:left w:type="dxa" w:w="100"/>
              <w:bottom w:type="dxa" w:w="80"/>
              <w:right w:type="dxa" w:w="100"/>
            </w:tcMar>
            <w:vAlign w:val="center"/>
          </w:tcPr>
          <w:p>
            <w:pPr>
              <w:jc w:val="center"/>
            </w:pPr>
            <w:r>
              <w:rPr>
                <w:b w:val="false"/>
                <w:bCs w:val="false"/>
              </w:rPr>
              <w:t xml:space="preserve">262,937.1</w:t>
            </w:r>
          </w:p>
        </w:tc>
        <w:tc>
          <w:tcPr>
            <w:tcW w:type="dxa" w:w="1500"/>
            <w:shd w:fill="FFFFFF" w:val="clear"/>
            <w:tcMar>
              <w:top w:type="dxa" w:w="80"/>
              <w:left w:type="dxa" w:w="100"/>
              <w:bottom w:type="dxa" w:w="80"/>
              <w:right w:type="dxa" w:w="100"/>
            </w:tcMar>
            <w:vAlign w:val="center"/>
          </w:tcPr>
          <w:p>
            <w:pPr>
              <w:jc w:val="center"/>
            </w:pPr>
            <w:r>
              <w:rPr>
                <w:b w:val="false"/>
                <w:bCs w:val="false"/>
              </w:rPr>
              <w:t xml:space="preserve">+4.1%</w:t>
            </w:r>
          </w:p>
        </w:tc>
      </w:tr>
      <w:tr>
        <w:tc>
          <w:tcPr>
            <w:tcW w:type="dxa" w:w="3400"/>
            <w:shd w:fill="F2F6FA" w:val="clear"/>
            <w:tcMar>
              <w:top w:type="dxa" w:w="80"/>
              <w:left w:type="dxa" w:w="100"/>
              <w:bottom w:type="dxa" w:w="80"/>
              <w:right w:type="dxa" w:w="100"/>
            </w:tcMar>
            <w:vAlign w:val="center"/>
          </w:tcPr>
          <w:p>
            <w:pPr>
              <w:jc w:val="left"/>
            </w:pPr>
            <w:r>
              <w:rPr>
                <w:b w:val="false"/>
                <w:bCs w:val="false"/>
              </w:rPr>
              <w:t xml:space="preserve">Public Safety</w:t>
            </w:r>
          </w:p>
        </w:tc>
        <w:tc>
          <w:tcPr>
            <w:tcW w:type="dxa" w:w="2000"/>
            <w:shd w:fill="F2F6FA" w:val="clear"/>
            <w:tcMar>
              <w:top w:type="dxa" w:w="80"/>
              <w:left w:type="dxa" w:w="100"/>
              <w:bottom w:type="dxa" w:w="80"/>
              <w:right w:type="dxa" w:w="100"/>
            </w:tcMar>
            <w:vAlign w:val="center"/>
          </w:tcPr>
          <w:p>
            <w:pPr>
              <w:jc w:val="center"/>
            </w:pPr>
            <w:r>
              <w:rPr>
                <w:b w:val="false"/>
                <w:bCs w:val="false"/>
              </w:rPr>
              <w:t xml:space="preserve">230,194.1</w:t>
            </w:r>
          </w:p>
        </w:tc>
        <w:tc>
          <w:tcPr>
            <w:tcW w:type="dxa" w:w="2450"/>
            <w:shd w:fill="F2F6FA" w:val="clear"/>
            <w:tcMar>
              <w:top w:type="dxa" w:w="80"/>
              <w:left w:type="dxa" w:w="100"/>
              <w:bottom w:type="dxa" w:w="80"/>
              <w:right w:type="dxa" w:w="100"/>
            </w:tcMar>
            <w:vAlign w:val="center"/>
          </w:tcPr>
          <w:p>
            <w:pPr>
              <w:jc w:val="center"/>
            </w:pPr>
            <w:r>
              <w:rPr>
                <w:b w:val="false"/>
                <w:bCs w:val="false"/>
              </w:rPr>
              <w:t xml:space="preserve">232,619.5</w:t>
            </w:r>
          </w:p>
        </w:tc>
        <w:tc>
          <w:tcPr>
            <w:tcW w:type="dxa" w:w="1500"/>
            <w:shd w:fill="F2F6FA" w:val="clear"/>
            <w:tcMar>
              <w:top w:type="dxa" w:w="80"/>
              <w:left w:type="dxa" w:w="100"/>
              <w:bottom w:type="dxa" w:w="80"/>
              <w:right w:type="dxa" w:w="100"/>
            </w:tcMar>
            <w:vAlign w:val="center"/>
          </w:tcPr>
          <w:p>
            <w:pPr>
              <w:jc w:val="center"/>
            </w:pPr>
            <w:r>
              <w:rPr>
                <w:b w:val="false"/>
                <w:bCs w:val="false"/>
              </w:rPr>
              <w:t xml:space="preserve">-1.0%</w:t>
            </w:r>
          </w:p>
        </w:tc>
      </w:tr>
      <w:tr>
        <w:tc>
          <w:tcPr>
            <w:tcW w:type="dxa" w:w="3400"/>
            <w:shd w:fill="FFFFFF" w:val="clear"/>
            <w:tcMar>
              <w:top w:type="dxa" w:w="80"/>
              <w:left w:type="dxa" w:w="100"/>
              <w:bottom w:type="dxa" w:w="80"/>
              <w:right w:type="dxa" w:w="100"/>
            </w:tcMar>
            <w:vAlign w:val="center"/>
          </w:tcPr>
          <w:p>
            <w:pPr>
              <w:jc w:val="left"/>
            </w:pPr>
            <w:r>
              <w:rPr>
                <w:b w:val="false"/>
                <w:bCs w:val="false"/>
              </w:rPr>
              <w:t xml:space="preserve">Transportation &amp; Infrastructure</w:t>
            </w:r>
          </w:p>
        </w:tc>
        <w:tc>
          <w:tcPr>
            <w:tcW w:type="dxa" w:w="2000"/>
            <w:shd w:fill="FFFFFF" w:val="clear"/>
            <w:tcMar>
              <w:top w:type="dxa" w:w="80"/>
              <w:left w:type="dxa" w:w="100"/>
              <w:bottom w:type="dxa" w:w="80"/>
              <w:right w:type="dxa" w:w="100"/>
            </w:tcMar>
            <w:vAlign w:val="center"/>
          </w:tcPr>
          <w:p>
            <w:pPr>
              <w:jc w:val="center"/>
            </w:pPr>
            <w:r>
              <w:rPr>
                <w:b w:val="false"/>
                <w:bCs w:val="false"/>
              </w:rPr>
              <w:t xml:space="preserve">173,141.0</w:t>
            </w:r>
          </w:p>
        </w:tc>
        <w:tc>
          <w:tcPr>
            <w:tcW w:type="dxa" w:w="2450"/>
            <w:shd w:fill="FFFFFF" w:val="clear"/>
            <w:tcMar>
              <w:top w:type="dxa" w:w="80"/>
              <w:left w:type="dxa" w:w="100"/>
              <w:bottom w:type="dxa" w:w="80"/>
              <w:right w:type="dxa" w:w="100"/>
            </w:tcMar>
            <w:vAlign w:val="center"/>
          </w:tcPr>
          <w:p>
            <w:pPr>
              <w:jc w:val="center"/>
            </w:pPr>
            <w:r>
              <w:rPr>
                <w:b w:val="false"/>
                <w:bCs w:val="false"/>
              </w:rPr>
              <w:t xml:space="preserve">183,463.4</w:t>
            </w:r>
          </w:p>
        </w:tc>
        <w:tc>
          <w:tcPr>
            <w:tcW w:type="dxa" w:w="1500"/>
            <w:shd w:fill="FFFFFF" w:val="clear"/>
            <w:tcMar>
              <w:top w:type="dxa" w:w="80"/>
              <w:left w:type="dxa" w:w="100"/>
              <w:bottom w:type="dxa" w:w="80"/>
              <w:right w:type="dxa" w:w="100"/>
            </w:tcMar>
            <w:vAlign w:val="center"/>
          </w:tcPr>
          <w:p>
            <w:pPr>
              <w:jc w:val="center"/>
            </w:pPr>
            <w:r>
              <w:rPr>
                <w:b w:val="false"/>
                <w:bCs w:val="false"/>
              </w:rPr>
              <w:t xml:space="preserve">-5.6%</w:t>
            </w:r>
          </w:p>
        </w:tc>
      </w:tr>
      <w:tr>
        <w:tc>
          <w:tcPr>
            <w:tcW w:type="dxa" w:w="3400"/>
            <w:shd w:fill="F2F6FA" w:val="clear"/>
            <w:tcMar>
              <w:top w:type="dxa" w:w="80"/>
              <w:left w:type="dxa" w:w="100"/>
              <w:bottom w:type="dxa" w:w="80"/>
              <w:right w:type="dxa" w:w="100"/>
            </w:tcMar>
            <w:vAlign w:val="center"/>
          </w:tcPr>
          <w:p>
            <w:pPr>
              <w:jc w:val="left"/>
            </w:pPr>
            <w:r>
              <w:rPr>
                <w:b w:val="false"/>
                <w:bCs w:val="false"/>
              </w:rPr>
              <w:t xml:space="preserve">Information Technology</w:t>
            </w:r>
          </w:p>
        </w:tc>
        <w:tc>
          <w:tcPr>
            <w:tcW w:type="dxa" w:w="2000"/>
            <w:shd w:fill="F2F6FA" w:val="clear"/>
            <w:tcMar>
              <w:top w:type="dxa" w:w="80"/>
              <w:left w:type="dxa" w:w="100"/>
              <w:bottom w:type="dxa" w:w="80"/>
              <w:right w:type="dxa" w:w="100"/>
            </w:tcMar>
            <w:vAlign w:val="center"/>
          </w:tcPr>
          <w:p>
            <w:pPr>
              <w:jc w:val="center"/>
            </w:pPr>
            <w:r>
              <w:rPr>
                <w:b w:val="false"/>
                <w:bCs w:val="false"/>
              </w:rPr>
              <w:t xml:space="preserve">165,024.4</w:t>
            </w:r>
          </w:p>
        </w:tc>
        <w:tc>
          <w:tcPr>
            <w:tcW w:type="dxa" w:w="2450"/>
            <w:shd w:fill="F2F6FA" w:val="clear"/>
            <w:tcMar>
              <w:top w:type="dxa" w:w="80"/>
              <w:left w:type="dxa" w:w="100"/>
              <w:bottom w:type="dxa" w:w="80"/>
              <w:right w:type="dxa" w:w="100"/>
            </w:tcMar>
            <w:vAlign w:val="center"/>
          </w:tcPr>
          <w:p>
            <w:pPr>
              <w:jc w:val="center"/>
            </w:pPr>
            <w:r>
              <w:rPr>
                <w:b w:val="false"/>
                <w:bCs w:val="false"/>
              </w:rPr>
              <w:t xml:space="preserve">159,791.1</w:t>
            </w:r>
          </w:p>
        </w:tc>
        <w:tc>
          <w:tcPr>
            <w:tcW w:type="dxa" w:w="1500"/>
            <w:shd w:fill="F2F6FA" w:val="clear"/>
            <w:tcMar>
              <w:top w:type="dxa" w:w="80"/>
              <w:left w:type="dxa" w:w="100"/>
              <w:bottom w:type="dxa" w:w="80"/>
              <w:right w:type="dxa" w:w="100"/>
            </w:tcMar>
            <w:vAlign w:val="center"/>
          </w:tcPr>
          <w:p>
            <w:pPr>
              <w:jc w:val="center"/>
            </w:pPr>
            <w:r>
              <w:rPr>
                <w:b w:val="false"/>
                <w:bCs w:val="false"/>
              </w:rPr>
              <w:t xml:space="preserve">+3.3%</w:t>
            </w:r>
          </w:p>
        </w:tc>
      </w:tr>
      <w:tr>
        <w:tc>
          <w:tcPr>
            <w:tcW w:type="dxa" w:w="3400"/>
            <w:shd w:fill="FFFFFF" w:val="clear"/>
            <w:tcMar>
              <w:top w:type="dxa" w:w="80"/>
              <w:left w:type="dxa" w:w="100"/>
              <w:bottom w:type="dxa" w:w="80"/>
              <w:right w:type="dxa" w:w="100"/>
            </w:tcMar>
            <w:vAlign w:val="center"/>
          </w:tcPr>
          <w:p>
            <w:pPr>
              <w:jc w:val="left"/>
            </w:pPr>
            <w:r>
              <w:rPr>
                <w:b w:val="false"/>
                <w:bCs w:val="false"/>
              </w:rPr>
              <w:t xml:space="preserve">Administration &amp; Finance</w:t>
            </w:r>
          </w:p>
        </w:tc>
        <w:tc>
          <w:tcPr>
            <w:tcW w:type="dxa" w:w="2000"/>
            <w:shd w:fill="FFFFFF" w:val="clear"/>
            <w:tcMar>
              <w:top w:type="dxa" w:w="80"/>
              <w:left w:type="dxa" w:w="100"/>
              <w:bottom w:type="dxa" w:w="80"/>
              <w:right w:type="dxa" w:w="100"/>
            </w:tcMar>
            <w:vAlign w:val="center"/>
          </w:tcPr>
          <w:p>
            <w:pPr>
              <w:jc w:val="center"/>
            </w:pPr>
            <w:r>
              <w:rPr>
                <w:b w:val="false"/>
                <w:bCs w:val="false"/>
              </w:rPr>
              <w:t xml:space="preserve">88,691.9</w:t>
            </w:r>
          </w:p>
        </w:tc>
        <w:tc>
          <w:tcPr>
            <w:tcW w:type="dxa" w:w="2450"/>
            <w:shd w:fill="FFFFFF" w:val="clear"/>
            <w:tcMar>
              <w:top w:type="dxa" w:w="80"/>
              <w:left w:type="dxa" w:w="100"/>
              <w:bottom w:type="dxa" w:w="80"/>
              <w:right w:type="dxa" w:w="100"/>
            </w:tcMar>
            <w:vAlign w:val="center"/>
          </w:tcPr>
          <w:p>
            <w:pPr>
              <w:jc w:val="center"/>
            </w:pPr>
            <w:r>
              <w:rPr>
                <w:b w:val="false"/>
                <w:bCs w:val="false"/>
              </w:rPr>
              <w:t xml:space="preserve">86,095.2</w:t>
            </w:r>
          </w:p>
        </w:tc>
        <w:tc>
          <w:tcPr>
            <w:tcW w:type="dxa" w:w="1500"/>
            <w:shd w:fill="FFFFFF" w:val="clear"/>
            <w:tcMar>
              <w:top w:type="dxa" w:w="80"/>
              <w:left w:type="dxa" w:w="100"/>
              <w:bottom w:type="dxa" w:w="80"/>
              <w:right w:type="dxa" w:w="100"/>
            </w:tcMar>
            <w:vAlign w:val="center"/>
          </w:tcPr>
          <w:p>
            <w:pPr>
              <w:jc w:val="center"/>
            </w:pPr>
            <w:r>
              <w:rPr>
                <w:b w:val="false"/>
                <w:bCs w:val="false"/>
              </w:rPr>
              <w:t xml:space="preserve">+3.0%</w:t>
            </w:r>
          </w:p>
        </w:tc>
      </w:tr>
      <w:tr>
        <w:tc>
          <w:tcPr>
            <w:tcW w:type="dxa" w:w="3400"/>
            <w:shd w:fill="F2F6FA" w:val="clear"/>
            <w:tcMar>
              <w:top w:type="dxa" w:w="80"/>
              <w:left w:type="dxa" w:w="100"/>
              <w:bottom w:type="dxa" w:w="80"/>
              <w:right w:type="dxa" w:w="100"/>
            </w:tcMar>
            <w:vAlign w:val="center"/>
          </w:tcPr>
          <w:p>
            <w:pPr>
              <w:jc w:val="left"/>
            </w:pPr>
            <w:r>
              <w:rPr>
                <w:b w:val="false"/>
                <w:bCs w:val="false"/>
              </w:rPr>
              <w:t xml:space="preserve">Environment &amp; Natural Resources</w:t>
            </w:r>
          </w:p>
        </w:tc>
        <w:tc>
          <w:tcPr>
            <w:tcW w:type="dxa" w:w="2000"/>
            <w:shd w:fill="F2F6FA" w:val="clear"/>
            <w:tcMar>
              <w:top w:type="dxa" w:w="80"/>
              <w:left w:type="dxa" w:w="100"/>
              <w:bottom w:type="dxa" w:w="80"/>
              <w:right w:type="dxa" w:w="100"/>
            </w:tcMar>
            <w:vAlign w:val="center"/>
          </w:tcPr>
          <w:p>
            <w:pPr>
              <w:jc w:val="center"/>
            </w:pPr>
            <w:r>
              <w:rPr>
                <w:b w:val="false"/>
                <w:bCs w:val="false"/>
              </w:rPr>
              <w:t xml:space="preserve">71,979.7</w:t>
            </w:r>
          </w:p>
        </w:tc>
        <w:tc>
          <w:tcPr>
            <w:tcW w:type="dxa" w:w="2450"/>
            <w:shd w:fill="F2F6FA" w:val="clear"/>
            <w:tcMar>
              <w:top w:type="dxa" w:w="80"/>
              <w:left w:type="dxa" w:w="100"/>
              <w:bottom w:type="dxa" w:w="80"/>
              <w:right w:type="dxa" w:w="100"/>
            </w:tcMar>
            <w:vAlign w:val="center"/>
          </w:tcPr>
          <w:p>
            <w:pPr>
              <w:jc w:val="center"/>
            </w:pPr>
            <w:r>
              <w:rPr>
                <w:b w:val="false"/>
                <w:bCs w:val="false"/>
              </w:rPr>
              <w:t xml:space="preserve">72,359.8</w:t>
            </w:r>
          </w:p>
        </w:tc>
        <w:tc>
          <w:tcPr>
            <w:tcW w:type="dxa" w:w="1500"/>
            <w:shd w:fill="F2F6FA" w:val="clear"/>
            <w:tcMar>
              <w:top w:type="dxa" w:w="80"/>
              <w:left w:type="dxa" w:w="100"/>
              <w:bottom w:type="dxa" w:w="80"/>
              <w:right w:type="dxa" w:w="100"/>
            </w:tcMar>
            <w:vAlign w:val="center"/>
          </w:tcPr>
          <w:p>
            <w:pPr>
              <w:jc w:val="center"/>
            </w:pPr>
            <w:r>
              <w:rPr>
                <w:b w:val="false"/>
                <w:bCs w:val="false"/>
              </w:rPr>
              <w:t xml:space="preserve">-0.5%</w:t>
            </w:r>
          </w:p>
        </w:tc>
      </w:tr>
      <w:tr>
        <w:tc>
          <w:tcPr>
            <w:tcW w:type="dxa" w:w="3400"/>
            <w:shd w:fill="FFFFFF" w:val="clear"/>
            <w:tcMar>
              <w:top w:type="dxa" w:w="80"/>
              <w:left w:type="dxa" w:w="100"/>
              <w:bottom w:type="dxa" w:w="80"/>
              <w:right w:type="dxa" w:w="100"/>
            </w:tcMar>
            <w:vAlign w:val="center"/>
          </w:tcPr>
          <w:p>
            <w:pPr>
              <w:jc w:val="left"/>
            </w:pPr>
            <w:r>
              <w:rPr>
                <w:b w:val="false"/>
                <w:bCs w:val="false"/>
              </w:rPr>
              <w:t xml:space="preserve">Parks &amp; Recreation</w:t>
            </w:r>
          </w:p>
        </w:tc>
        <w:tc>
          <w:tcPr>
            <w:tcW w:type="dxa" w:w="2000"/>
            <w:shd w:fill="FFFFFF" w:val="clear"/>
            <w:tcMar>
              <w:top w:type="dxa" w:w="80"/>
              <w:left w:type="dxa" w:w="100"/>
              <w:bottom w:type="dxa" w:w="80"/>
              <w:right w:type="dxa" w:w="100"/>
            </w:tcMar>
            <w:vAlign w:val="center"/>
          </w:tcPr>
          <w:p>
            <w:pPr>
              <w:jc w:val="center"/>
            </w:pPr>
            <w:r>
              <w:rPr>
                <w:b w:val="false"/>
                <w:bCs w:val="false"/>
              </w:rPr>
              <w:t xml:space="preserve">35,762.4</w:t>
            </w:r>
          </w:p>
        </w:tc>
        <w:tc>
          <w:tcPr>
            <w:tcW w:type="dxa" w:w="2450"/>
            <w:shd w:fill="FFFFFF" w:val="clear"/>
            <w:tcMar>
              <w:top w:type="dxa" w:w="80"/>
              <w:left w:type="dxa" w:w="100"/>
              <w:bottom w:type="dxa" w:w="80"/>
              <w:right w:type="dxa" w:w="100"/>
            </w:tcMar>
            <w:vAlign w:val="center"/>
          </w:tcPr>
          <w:p>
            <w:pPr>
              <w:jc w:val="center"/>
            </w:pPr>
            <w:r>
              <w:rPr>
                <w:b w:val="false"/>
                <w:bCs w:val="false"/>
              </w:rPr>
              <w:t xml:space="preserve">36,817.9</w:t>
            </w:r>
          </w:p>
        </w:tc>
        <w:tc>
          <w:tcPr>
            <w:tcW w:type="dxa" w:w="1500"/>
            <w:shd w:fill="FFFFFF" w:val="clear"/>
            <w:tcMar>
              <w:top w:type="dxa" w:w="80"/>
              <w:left w:type="dxa" w:w="100"/>
              <w:bottom w:type="dxa" w:w="80"/>
              <w:right w:type="dxa" w:w="100"/>
            </w:tcMar>
            <w:vAlign w:val="center"/>
          </w:tcPr>
          <w:p>
            <w:pPr>
              <w:jc w:val="center"/>
            </w:pPr>
            <w:r>
              <w:rPr>
                <w:b w:val="false"/>
                <w:bCs w:val="false"/>
              </w:rPr>
              <w:t xml:space="preserve">-2.9%</w:t>
            </w:r>
          </w:p>
        </w:tc>
      </w:tr>
    </w:tbl>
    <w:p>
      <w:pPr>
        <w:spacing w:after="200"/>
      </w:pPr>
    </w:p>
    <w:p>
      <w:pPr>
        <w:spacing w:after="160" w:line="276" w:lineRule="auto"/>
      </w:pPr>
      <w:r>
        <w:t xml:space="preserve">The two independent methods — a feature-driven machine learning model and a classical time-series model — agree within roughly 1-6% for every department, which is a strong practical signal: when two very different modeling approaches converge on similar numbers, budget officers can have more confidence in the forecast than either method alone would justify. The agency-wide ML-forecasted requirement for FY2026 is $1,359,930K, a 0.8% increase over FY2025 actuals.</w:t>
      </w:r>
    </w:p>
    <w:p>
      <w:pPr>
        <w:pStyle w:val="Heading1"/>
        <w:spacing w:after="160" w:before="360"/>
      </w:pPr>
      <w:r>
        <w:t xml:space="preserve">9. Explainability — Why Does the Model Forecast What It Forecasts?</w:t>
      </w:r>
    </w:p>
    <w:p>
      <w:pPr>
        <w:spacing w:after="160" w:line="276" w:lineRule="auto"/>
      </w:pPr>
      <w:r>
        <w:t xml:space="preserve">SHAP (SHapley Additive exPlanations) attribution was computed for the final model to make its predictions auditable rather than a black box — an essential requirement for a tool that will influence public budget decisions.</w:t>
      </w:r>
    </w:p>
    <w:p>
      <w:pPr>
        <w:spacing w:after="40" w:before="120" w:line="240" w:lineRule="auto"/>
        <w:jc w:val="center"/>
      </w:pPr>
      <w:r>
        <w:drawing>
          <wp:inline distT="0" distB="0" distL="0" distR="0">
            <wp:extent cx="40005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181350"/>
                    </a:xfrm>
                    <a:prstGeom prst="rect">
                      <a:avLst/>
                    </a:prstGeom>
                  </pic:spPr>
                </pic:pic>
              </a:graphicData>
            </a:graphic>
          </wp:inline>
        </w:drawing>
      </w:r>
    </w:p>
    <w:p>
      <w:pPr>
        <w:spacing w:after="240" w:before="60"/>
        <w:jc w:val="center"/>
      </w:pPr>
      <w:r>
        <w:rPr>
          <w:i/>
          <w:iCs/>
          <w:color w:val="595959"/>
          <w:sz w:val="18"/>
          <w:szCs w:val="18"/>
        </w:rPr>
        <w:t xml:space="preserve">Figure 8. SHAP summary plot — distribution of feature impact on individual predictions.</w:t>
      </w:r>
    </w:p>
    <w:p>
      <w:pPr>
        <w:spacing w:after="40" w:before="120" w:line="240" w:lineRule="auto"/>
        <w:jc w:val="center"/>
      </w:pPr>
      <w:r>
        <w:drawing>
          <wp:inline distT="0" distB="0" distL="0" distR="0">
            <wp:extent cx="4572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019425"/>
                    </a:xfrm>
                    <a:prstGeom prst="rect">
                      <a:avLst/>
                    </a:prstGeom>
                  </pic:spPr>
                </pic:pic>
              </a:graphicData>
            </a:graphic>
          </wp:inline>
        </w:drawing>
      </w:r>
    </w:p>
    <w:p>
      <w:pPr>
        <w:spacing w:after="240" w:before="60"/>
        <w:jc w:val="center"/>
      </w:pPr>
      <w:r>
        <w:rPr>
          <w:i/>
          <w:iCs/>
          <w:color w:val="595959"/>
          <w:sz w:val="18"/>
          <w:szCs w:val="18"/>
        </w:rPr>
        <w:t xml:space="preserve">Figure 9. Top drivers of predicted budget requirement (mean absolute SHAP value).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5450"/>
        <w:gridCol w:w="3000"/>
      </w:tblGrid>
      <w:tr>
        <w:trPr>
          <w:tblHeader/>
        </w:trPr>
        <w:tc>
          <w:tcPr>
            <w:tcW w:type="dxa" w:w="900"/>
            <w:shd w:fill="1F3864" w:val="clear"/>
            <w:tcMar>
              <w:top w:type="dxa" w:w="80"/>
              <w:left w:type="dxa" w:w="100"/>
              <w:bottom w:type="dxa" w:w="80"/>
              <w:right w:type="dxa" w:w="100"/>
            </w:tcMar>
            <w:vAlign w:val="center"/>
          </w:tcPr>
          <w:p>
            <w:pPr>
              <w:jc w:val="center"/>
            </w:pPr>
            <w:r>
              <w:rPr>
                <w:b/>
                <w:bCs/>
                <w:color w:val="FFFFFF"/>
              </w:rPr>
              <w:t xml:space="preserve">Rank</w:t>
            </w:r>
          </w:p>
        </w:tc>
        <w:tc>
          <w:tcPr>
            <w:tcW w:type="dxa" w:w="5450"/>
            <w:shd w:fill="1F3864" w:val="clear"/>
            <w:tcMar>
              <w:top w:type="dxa" w:w="80"/>
              <w:left w:type="dxa" w:w="100"/>
              <w:bottom w:type="dxa" w:w="80"/>
              <w:right w:type="dxa" w:w="100"/>
            </w:tcMar>
            <w:vAlign w:val="center"/>
          </w:tcPr>
          <w:p>
            <w:pPr>
              <w:jc w:val="center"/>
            </w:pPr>
            <w:r>
              <w:rPr>
                <w:b/>
                <w:bCs/>
                <w:color w:val="FFFFFF"/>
              </w:rPr>
              <w:t xml:space="preserve">Feature</w:t>
            </w:r>
          </w:p>
        </w:tc>
        <w:tc>
          <w:tcPr>
            <w:tcW w:type="dxa" w:w="3000"/>
            <w:shd w:fill="1F3864" w:val="clear"/>
            <w:tcMar>
              <w:top w:type="dxa" w:w="80"/>
              <w:left w:type="dxa" w:w="100"/>
              <w:bottom w:type="dxa" w:w="80"/>
              <w:right w:type="dxa" w:w="100"/>
            </w:tcMar>
            <w:vAlign w:val="center"/>
          </w:tcPr>
          <w:p>
            <w:pPr>
              <w:jc w:val="center"/>
            </w:pPr>
            <w:r>
              <w:rPr>
                <w:b/>
                <w:bCs/>
                <w:color w:val="FFFFFF"/>
              </w:rPr>
              <w:t xml:space="preserve">Mean |SHAP value| ($K)</w:t>
            </w:r>
          </w:p>
        </w:tc>
      </w:tr>
      <w:tr>
        <w:tc>
          <w:tcPr>
            <w:tcW w:type="dxa" w:w="900"/>
            <w:shd w:fill="F2F6FA" w:val="clear"/>
            <w:tcMar>
              <w:top w:type="dxa" w:w="80"/>
              <w:left w:type="dxa" w:w="100"/>
              <w:bottom w:type="dxa" w:w="80"/>
              <w:right w:type="dxa" w:w="100"/>
            </w:tcMar>
            <w:vAlign w:val="center"/>
          </w:tcPr>
          <w:p>
            <w:pPr>
              <w:jc w:val="left"/>
            </w:pPr>
            <w:r>
              <w:rPr>
                <w:b w:val="false"/>
                <w:bCs w:val="false"/>
              </w:rPr>
              <w:t xml:space="preserve">1</w:t>
            </w:r>
          </w:p>
        </w:tc>
        <w:tc>
          <w:tcPr>
            <w:tcW w:type="dxa" w:w="5450"/>
            <w:shd w:fill="F2F6FA" w:val="clear"/>
            <w:tcMar>
              <w:top w:type="dxa" w:w="80"/>
              <w:left w:type="dxa" w:w="100"/>
              <w:bottom w:type="dxa" w:w="80"/>
              <w:right w:type="dxa" w:w="100"/>
            </w:tcMar>
            <w:vAlign w:val="center"/>
          </w:tcPr>
          <w:p>
            <w:pPr>
              <w:jc w:val="center"/>
            </w:pPr>
            <w:r>
              <w:rPr>
                <w:b w:val="false"/>
                <w:bCs w:val="false"/>
              </w:rPr>
              <w:t xml:space="preserve">Prior-year budget allocation</w:t>
            </w:r>
          </w:p>
        </w:tc>
        <w:tc>
          <w:tcPr>
            <w:tcW w:type="dxa" w:w="3000"/>
            <w:shd w:fill="F2F6FA" w:val="clear"/>
            <w:tcMar>
              <w:top w:type="dxa" w:w="80"/>
              <w:left w:type="dxa" w:w="100"/>
              <w:bottom w:type="dxa" w:w="80"/>
              <w:right w:type="dxa" w:w="100"/>
            </w:tcMar>
            <w:vAlign w:val="center"/>
          </w:tcPr>
          <w:p>
            <w:pPr>
              <w:jc w:val="center"/>
            </w:pPr>
            <w:r>
              <w:rPr>
                <w:b w:val="false"/>
                <w:bCs w:val="false"/>
              </w:rPr>
              <w:t xml:space="preserve">10,042.1</w:t>
            </w:r>
          </w:p>
        </w:tc>
      </w:tr>
      <w:tr>
        <w:tc>
          <w:tcPr>
            <w:tcW w:type="dxa" w:w="900"/>
            <w:shd w:fill="FFFFFF" w:val="clear"/>
            <w:tcMar>
              <w:top w:type="dxa" w:w="80"/>
              <w:left w:type="dxa" w:w="100"/>
              <w:bottom w:type="dxa" w:w="80"/>
              <w:right w:type="dxa" w:w="100"/>
            </w:tcMar>
            <w:vAlign w:val="center"/>
          </w:tcPr>
          <w:p>
            <w:pPr>
              <w:jc w:val="left"/>
            </w:pPr>
            <w:r>
              <w:rPr>
                <w:b w:val="false"/>
                <w:bCs w:val="false"/>
              </w:rPr>
              <w:t xml:space="preserve">2</w:t>
            </w:r>
          </w:p>
        </w:tc>
        <w:tc>
          <w:tcPr>
            <w:tcW w:type="dxa" w:w="5450"/>
            <w:shd w:fill="FFFFFF" w:val="clear"/>
            <w:tcMar>
              <w:top w:type="dxa" w:w="80"/>
              <w:left w:type="dxa" w:w="100"/>
              <w:bottom w:type="dxa" w:w="80"/>
              <w:right w:type="dxa" w:w="100"/>
            </w:tcMar>
            <w:vAlign w:val="center"/>
          </w:tcPr>
          <w:p>
            <w:pPr>
              <w:jc w:val="center"/>
            </w:pPr>
            <w:r>
              <w:rPr>
                <w:b w:val="false"/>
                <w:bCs w:val="false"/>
              </w:rPr>
              <w:t xml:space="preserve">Prior-year actual spend</w:t>
            </w:r>
          </w:p>
        </w:tc>
        <w:tc>
          <w:tcPr>
            <w:tcW w:type="dxa" w:w="3000"/>
            <w:shd w:fill="FFFFFF" w:val="clear"/>
            <w:tcMar>
              <w:top w:type="dxa" w:w="80"/>
              <w:left w:type="dxa" w:w="100"/>
              <w:bottom w:type="dxa" w:w="80"/>
              <w:right w:type="dxa" w:w="100"/>
            </w:tcMar>
            <w:vAlign w:val="center"/>
          </w:tcPr>
          <w:p>
            <w:pPr>
              <w:jc w:val="center"/>
            </w:pPr>
            <w:r>
              <w:rPr>
                <w:b w:val="false"/>
                <w:bCs w:val="false"/>
              </w:rPr>
              <w:t xml:space="preserve">7,358.0</w:t>
            </w:r>
          </w:p>
        </w:tc>
      </w:tr>
      <w:tr>
        <w:tc>
          <w:tcPr>
            <w:tcW w:type="dxa" w:w="900"/>
            <w:shd w:fill="F2F6FA" w:val="clear"/>
            <w:tcMar>
              <w:top w:type="dxa" w:w="80"/>
              <w:left w:type="dxa" w:w="100"/>
              <w:bottom w:type="dxa" w:w="80"/>
              <w:right w:type="dxa" w:w="100"/>
            </w:tcMar>
            <w:vAlign w:val="center"/>
          </w:tcPr>
          <w:p>
            <w:pPr>
              <w:jc w:val="left"/>
            </w:pPr>
            <w:r>
              <w:rPr>
                <w:b w:val="false"/>
                <w:bCs w:val="false"/>
              </w:rPr>
              <w:t xml:space="preserve">3</w:t>
            </w:r>
          </w:p>
        </w:tc>
        <w:tc>
          <w:tcPr>
            <w:tcW w:type="dxa" w:w="5450"/>
            <w:shd w:fill="F2F6FA" w:val="clear"/>
            <w:tcMar>
              <w:top w:type="dxa" w:w="80"/>
              <w:left w:type="dxa" w:w="100"/>
              <w:bottom w:type="dxa" w:w="80"/>
              <w:right w:type="dxa" w:w="100"/>
            </w:tcMar>
            <w:vAlign w:val="center"/>
          </w:tcPr>
          <w:p>
            <w:pPr>
              <w:jc w:val="center"/>
            </w:pPr>
            <w:r>
              <w:rPr>
                <w:b w:val="false"/>
                <w:bCs w:val="false"/>
              </w:rPr>
              <w:t xml:space="preserve">3-year rolling average spend</w:t>
            </w:r>
          </w:p>
        </w:tc>
        <w:tc>
          <w:tcPr>
            <w:tcW w:type="dxa" w:w="3000"/>
            <w:shd w:fill="F2F6FA" w:val="clear"/>
            <w:tcMar>
              <w:top w:type="dxa" w:w="80"/>
              <w:left w:type="dxa" w:w="100"/>
              <w:bottom w:type="dxa" w:w="80"/>
              <w:right w:type="dxa" w:w="100"/>
            </w:tcMar>
            <w:vAlign w:val="center"/>
          </w:tcPr>
          <w:p>
            <w:pPr>
              <w:jc w:val="center"/>
            </w:pPr>
            <w:r>
              <w:rPr>
                <w:b w:val="false"/>
                <w:bCs w:val="false"/>
              </w:rPr>
              <w:t xml:space="preserve">6,785.1</w:t>
            </w:r>
          </w:p>
        </w:tc>
      </w:tr>
      <w:tr>
        <w:tc>
          <w:tcPr>
            <w:tcW w:type="dxa" w:w="900"/>
            <w:shd w:fill="FFFFFF" w:val="clear"/>
            <w:tcMar>
              <w:top w:type="dxa" w:w="80"/>
              <w:left w:type="dxa" w:w="100"/>
              <w:bottom w:type="dxa" w:w="80"/>
              <w:right w:type="dxa" w:w="100"/>
            </w:tcMar>
            <w:vAlign w:val="center"/>
          </w:tcPr>
          <w:p>
            <w:pPr>
              <w:jc w:val="left"/>
            </w:pPr>
            <w:r>
              <w:rPr>
                <w:b w:val="false"/>
                <w:bCs w:val="false"/>
              </w:rPr>
              <w:t xml:space="preserve">4</w:t>
            </w:r>
          </w:p>
        </w:tc>
        <w:tc>
          <w:tcPr>
            <w:tcW w:type="dxa" w:w="5450"/>
            <w:shd w:fill="FFFFFF" w:val="clear"/>
            <w:tcMar>
              <w:top w:type="dxa" w:w="80"/>
              <w:left w:type="dxa" w:w="100"/>
              <w:bottom w:type="dxa" w:w="80"/>
              <w:right w:type="dxa" w:w="100"/>
            </w:tcMar>
            <w:vAlign w:val="center"/>
          </w:tcPr>
          <w:p>
            <w:pPr>
              <w:jc w:val="center"/>
            </w:pPr>
            <w:r>
              <w:rPr>
                <w:b w:val="false"/>
                <w:bCs w:val="false"/>
              </w:rPr>
              <w:t xml:space="preserve">Year-over-year spend growth</w:t>
            </w:r>
          </w:p>
        </w:tc>
        <w:tc>
          <w:tcPr>
            <w:tcW w:type="dxa" w:w="3000"/>
            <w:shd w:fill="FFFFFF" w:val="clear"/>
            <w:tcMar>
              <w:top w:type="dxa" w:w="80"/>
              <w:left w:type="dxa" w:w="100"/>
              <w:bottom w:type="dxa" w:w="80"/>
              <w:right w:type="dxa" w:w="100"/>
            </w:tcMar>
            <w:vAlign w:val="center"/>
          </w:tcPr>
          <w:p>
            <w:pPr>
              <w:jc w:val="center"/>
            </w:pPr>
            <w:r>
              <w:rPr>
                <w:b w:val="false"/>
                <w:bCs w:val="false"/>
              </w:rPr>
              <w:t xml:space="preserve">813.4</w:t>
            </w:r>
          </w:p>
        </w:tc>
      </w:tr>
      <w:tr>
        <w:tc>
          <w:tcPr>
            <w:tcW w:type="dxa" w:w="900"/>
            <w:shd w:fill="F2F6FA" w:val="clear"/>
            <w:tcMar>
              <w:top w:type="dxa" w:w="80"/>
              <w:left w:type="dxa" w:w="100"/>
              <w:bottom w:type="dxa" w:w="80"/>
              <w:right w:type="dxa" w:w="100"/>
            </w:tcMar>
            <w:vAlign w:val="center"/>
          </w:tcPr>
          <w:p>
            <w:pPr>
              <w:jc w:val="left"/>
            </w:pPr>
            <w:r>
              <w:rPr>
                <w:b w:val="false"/>
                <w:bCs w:val="false"/>
              </w:rPr>
              <w:t xml:space="preserve">5</w:t>
            </w:r>
          </w:p>
        </w:tc>
        <w:tc>
          <w:tcPr>
            <w:tcW w:type="dxa" w:w="5450"/>
            <w:shd w:fill="F2F6FA" w:val="clear"/>
            <w:tcMar>
              <w:top w:type="dxa" w:w="80"/>
              <w:left w:type="dxa" w:w="100"/>
              <w:bottom w:type="dxa" w:w="80"/>
              <w:right w:type="dxa" w:w="100"/>
            </w:tcMar>
            <w:vAlign w:val="center"/>
          </w:tcPr>
          <w:p>
            <w:pPr>
              <w:jc w:val="center"/>
            </w:pPr>
            <w:r>
              <w:rPr>
                <w:b w:val="false"/>
                <w:bCs w:val="false"/>
              </w:rPr>
              <w:t xml:space="preserve">Authorized FTEs</w:t>
            </w:r>
          </w:p>
        </w:tc>
        <w:tc>
          <w:tcPr>
            <w:tcW w:type="dxa" w:w="3000"/>
            <w:shd w:fill="F2F6FA" w:val="clear"/>
            <w:tcMar>
              <w:top w:type="dxa" w:w="80"/>
              <w:left w:type="dxa" w:w="100"/>
              <w:bottom w:type="dxa" w:w="80"/>
              <w:right w:type="dxa" w:w="100"/>
            </w:tcMar>
            <w:vAlign w:val="center"/>
          </w:tcPr>
          <w:p>
            <w:pPr>
              <w:jc w:val="center"/>
            </w:pPr>
            <w:r>
              <w:rPr>
                <w:b w:val="false"/>
                <w:bCs w:val="false"/>
              </w:rPr>
              <w:t xml:space="preserve">335.1</w:t>
            </w:r>
          </w:p>
        </w:tc>
      </w:tr>
      <w:tr>
        <w:tc>
          <w:tcPr>
            <w:tcW w:type="dxa" w:w="900"/>
            <w:shd w:fill="FFFFFF" w:val="clear"/>
            <w:tcMar>
              <w:top w:type="dxa" w:w="80"/>
              <w:left w:type="dxa" w:w="100"/>
              <w:bottom w:type="dxa" w:w="80"/>
              <w:right w:type="dxa" w:w="100"/>
            </w:tcMar>
            <w:vAlign w:val="center"/>
          </w:tcPr>
          <w:p>
            <w:pPr>
              <w:jc w:val="left"/>
            </w:pPr>
            <w:r>
              <w:rPr>
                <w:b w:val="false"/>
                <w:bCs w:val="false"/>
              </w:rPr>
              <w:t xml:space="preserve">6</w:t>
            </w:r>
          </w:p>
        </w:tc>
        <w:tc>
          <w:tcPr>
            <w:tcW w:type="dxa" w:w="5450"/>
            <w:shd w:fill="FFFFFF" w:val="clear"/>
            <w:tcMar>
              <w:top w:type="dxa" w:w="80"/>
              <w:left w:type="dxa" w:w="100"/>
              <w:bottom w:type="dxa" w:w="80"/>
              <w:right w:type="dxa" w:w="100"/>
            </w:tcMar>
            <w:vAlign w:val="center"/>
          </w:tcPr>
          <w:p>
            <w:pPr>
              <w:jc w:val="center"/>
            </w:pPr>
            <w:r>
              <w:rPr>
                <w:b w:val="false"/>
                <w:bCs w:val="false"/>
              </w:rPr>
              <w:t xml:space="preserve">Department share of agency budget</w:t>
            </w:r>
          </w:p>
        </w:tc>
        <w:tc>
          <w:tcPr>
            <w:tcW w:type="dxa" w:w="3000"/>
            <w:shd w:fill="FFFFFF" w:val="clear"/>
            <w:tcMar>
              <w:top w:type="dxa" w:w="80"/>
              <w:left w:type="dxa" w:w="100"/>
              <w:bottom w:type="dxa" w:w="80"/>
              <w:right w:type="dxa" w:w="100"/>
            </w:tcMar>
            <w:vAlign w:val="center"/>
          </w:tcPr>
          <w:p>
            <w:pPr>
              <w:jc w:val="center"/>
            </w:pPr>
            <w:r>
              <w:rPr>
                <w:b w:val="false"/>
                <w:bCs w:val="false"/>
              </w:rPr>
              <w:t xml:space="preserve">325.5</w:t>
            </w:r>
          </w:p>
        </w:tc>
      </w:tr>
      <w:tr>
        <w:tc>
          <w:tcPr>
            <w:tcW w:type="dxa" w:w="900"/>
            <w:shd w:fill="F2F6FA" w:val="clear"/>
            <w:tcMar>
              <w:top w:type="dxa" w:w="80"/>
              <w:left w:type="dxa" w:w="100"/>
              <w:bottom w:type="dxa" w:w="80"/>
              <w:right w:type="dxa" w:w="100"/>
            </w:tcMar>
            <w:vAlign w:val="center"/>
          </w:tcPr>
          <w:p>
            <w:pPr>
              <w:jc w:val="left"/>
            </w:pPr>
            <w:r>
              <w:rPr>
                <w:b w:val="false"/>
                <w:bCs w:val="false"/>
              </w:rPr>
              <w:t xml:space="preserve">7</w:t>
            </w:r>
          </w:p>
        </w:tc>
        <w:tc>
          <w:tcPr>
            <w:tcW w:type="dxa" w:w="5450"/>
            <w:shd w:fill="F2F6FA" w:val="clear"/>
            <w:tcMar>
              <w:top w:type="dxa" w:w="80"/>
              <w:left w:type="dxa" w:w="100"/>
              <w:bottom w:type="dxa" w:w="80"/>
              <w:right w:type="dxa" w:w="100"/>
            </w:tcMar>
            <w:vAlign w:val="center"/>
          </w:tcPr>
          <w:p>
            <w:pPr>
              <w:jc w:val="center"/>
            </w:pPr>
            <w:r>
              <w:rPr>
                <w:b w:val="false"/>
                <w:bCs w:val="false"/>
              </w:rPr>
              <w:t xml:space="preserve">Spend per FTE</w:t>
            </w:r>
          </w:p>
        </w:tc>
        <w:tc>
          <w:tcPr>
            <w:tcW w:type="dxa" w:w="3000"/>
            <w:shd w:fill="F2F6FA" w:val="clear"/>
            <w:tcMar>
              <w:top w:type="dxa" w:w="80"/>
              <w:left w:type="dxa" w:w="100"/>
              <w:bottom w:type="dxa" w:w="80"/>
              <w:right w:type="dxa" w:w="100"/>
            </w:tcMar>
            <w:vAlign w:val="center"/>
          </w:tcPr>
          <w:p>
            <w:pPr>
              <w:jc w:val="center"/>
            </w:pPr>
            <w:r>
              <w:rPr>
                <w:b w:val="false"/>
                <w:bCs w:val="false"/>
              </w:rPr>
              <w:t xml:space="preserve">204.3</w:t>
            </w:r>
          </w:p>
        </w:tc>
      </w:tr>
      <w:tr>
        <w:tc>
          <w:tcPr>
            <w:tcW w:type="dxa" w:w="900"/>
            <w:shd w:fill="FFFFFF" w:val="clear"/>
            <w:tcMar>
              <w:top w:type="dxa" w:w="80"/>
              <w:left w:type="dxa" w:w="100"/>
              <w:bottom w:type="dxa" w:w="80"/>
              <w:right w:type="dxa" w:w="100"/>
            </w:tcMar>
            <w:vAlign w:val="center"/>
          </w:tcPr>
          <w:p>
            <w:pPr>
              <w:jc w:val="left"/>
            </w:pPr>
            <w:r>
              <w:rPr>
                <w:b w:val="false"/>
                <w:bCs w:val="false"/>
              </w:rPr>
              <w:t xml:space="preserve">8</w:t>
            </w:r>
          </w:p>
        </w:tc>
        <w:tc>
          <w:tcPr>
            <w:tcW w:type="dxa" w:w="5450"/>
            <w:shd w:fill="FFFFFF" w:val="clear"/>
            <w:tcMar>
              <w:top w:type="dxa" w:w="80"/>
              <w:left w:type="dxa" w:w="100"/>
              <w:bottom w:type="dxa" w:w="80"/>
              <w:right w:type="dxa" w:w="100"/>
            </w:tcMar>
            <w:vAlign w:val="center"/>
          </w:tcPr>
          <w:p>
            <w:pPr>
              <w:jc w:val="center"/>
            </w:pPr>
            <w:r>
              <w:rPr>
                <w:b w:val="false"/>
                <w:bCs w:val="false"/>
              </w:rPr>
              <w:t xml:space="preserve">3-year rolling spend volatility</w:t>
            </w:r>
          </w:p>
        </w:tc>
        <w:tc>
          <w:tcPr>
            <w:tcW w:type="dxa" w:w="3000"/>
            <w:shd w:fill="FFFFFF" w:val="clear"/>
            <w:tcMar>
              <w:top w:type="dxa" w:w="80"/>
              <w:left w:type="dxa" w:w="100"/>
              <w:bottom w:type="dxa" w:w="80"/>
              <w:right w:type="dxa" w:w="100"/>
            </w:tcMar>
            <w:vAlign w:val="center"/>
          </w:tcPr>
          <w:p>
            <w:pPr>
              <w:jc w:val="center"/>
            </w:pPr>
            <w:r>
              <w:rPr>
                <w:b w:val="false"/>
                <w:bCs w:val="false"/>
              </w:rPr>
              <w:t xml:space="preserve">131.9</w:t>
            </w:r>
          </w:p>
        </w:tc>
      </w:tr>
      <w:tr>
        <w:tc>
          <w:tcPr>
            <w:tcW w:type="dxa" w:w="900"/>
            <w:shd w:fill="F2F6FA" w:val="clear"/>
            <w:tcMar>
              <w:top w:type="dxa" w:w="80"/>
              <w:left w:type="dxa" w:w="100"/>
              <w:bottom w:type="dxa" w:w="80"/>
              <w:right w:type="dxa" w:w="100"/>
            </w:tcMar>
            <w:vAlign w:val="center"/>
          </w:tcPr>
          <w:p>
            <w:pPr>
              <w:jc w:val="left"/>
            </w:pPr>
            <w:r>
              <w:rPr>
                <w:b w:val="false"/>
                <w:bCs w:val="false"/>
              </w:rPr>
              <w:t xml:space="preserve">9</w:t>
            </w:r>
          </w:p>
        </w:tc>
        <w:tc>
          <w:tcPr>
            <w:tcW w:type="dxa" w:w="5450"/>
            <w:shd w:fill="F2F6FA" w:val="clear"/>
            <w:tcMar>
              <w:top w:type="dxa" w:w="80"/>
              <w:left w:type="dxa" w:w="100"/>
              <w:bottom w:type="dxa" w:w="80"/>
              <w:right w:type="dxa" w:w="100"/>
            </w:tcMar>
            <w:vAlign w:val="center"/>
          </w:tcPr>
          <w:p>
            <w:pPr>
              <w:jc w:val="center"/>
            </w:pPr>
            <w:r>
              <w:rPr>
                <w:b w:val="false"/>
                <w:bCs w:val="false"/>
              </w:rPr>
              <w:t xml:space="preserve">Prior-year execution rate</w:t>
            </w:r>
          </w:p>
        </w:tc>
        <w:tc>
          <w:tcPr>
            <w:tcW w:type="dxa" w:w="3000"/>
            <w:shd w:fill="F2F6FA" w:val="clear"/>
            <w:tcMar>
              <w:top w:type="dxa" w:w="80"/>
              <w:left w:type="dxa" w:w="100"/>
              <w:bottom w:type="dxa" w:w="80"/>
              <w:right w:type="dxa" w:w="100"/>
            </w:tcMar>
            <w:vAlign w:val="center"/>
          </w:tcPr>
          <w:p>
            <w:pPr>
              <w:jc w:val="center"/>
            </w:pPr>
            <w:r>
              <w:rPr>
                <w:b w:val="false"/>
                <w:bCs w:val="false"/>
              </w:rPr>
              <w:t xml:space="preserve">128.8</w:t>
            </w:r>
          </w:p>
        </w:tc>
      </w:tr>
      <w:tr>
        <w:tc>
          <w:tcPr>
            <w:tcW w:type="dxa" w:w="900"/>
            <w:shd w:fill="FFFFFF" w:val="clear"/>
            <w:tcMar>
              <w:top w:type="dxa" w:w="80"/>
              <w:left w:type="dxa" w:w="100"/>
              <w:bottom w:type="dxa" w:w="80"/>
              <w:right w:type="dxa" w:w="100"/>
            </w:tcMar>
            <w:vAlign w:val="center"/>
          </w:tcPr>
          <w:p>
            <w:pPr>
              <w:jc w:val="left"/>
            </w:pPr>
            <w:r>
              <w:rPr>
                <w:b w:val="false"/>
                <w:bCs w:val="false"/>
              </w:rPr>
              <w:t xml:space="preserve">10</w:t>
            </w:r>
          </w:p>
        </w:tc>
        <w:tc>
          <w:tcPr>
            <w:tcW w:type="dxa" w:w="5450"/>
            <w:shd w:fill="FFFFFF" w:val="clear"/>
            <w:tcMar>
              <w:top w:type="dxa" w:w="80"/>
              <w:left w:type="dxa" w:w="100"/>
              <w:bottom w:type="dxa" w:w="80"/>
              <w:right w:type="dxa" w:w="100"/>
            </w:tcMar>
            <w:vAlign w:val="center"/>
          </w:tcPr>
          <w:p>
            <w:pPr>
              <w:jc w:val="center"/>
            </w:pPr>
            <w:r>
              <w:rPr>
                <w:b w:val="false"/>
                <w:bCs w:val="false"/>
              </w:rPr>
              <w:t xml:space="preserve">Category share of department budget</w:t>
            </w:r>
          </w:p>
        </w:tc>
        <w:tc>
          <w:tcPr>
            <w:tcW w:type="dxa" w:w="3000"/>
            <w:shd w:fill="FFFFFF" w:val="clear"/>
            <w:tcMar>
              <w:top w:type="dxa" w:w="80"/>
              <w:left w:type="dxa" w:w="100"/>
              <w:bottom w:type="dxa" w:w="80"/>
              <w:right w:type="dxa" w:w="100"/>
            </w:tcMar>
            <w:vAlign w:val="center"/>
          </w:tcPr>
          <w:p>
            <w:pPr>
              <w:jc w:val="center"/>
            </w:pPr>
            <w:r>
              <w:rPr>
                <w:b w:val="false"/>
                <w:bCs w:val="false"/>
              </w:rPr>
              <w:t xml:space="preserve">84.6</w:t>
            </w:r>
          </w:p>
        </w:tc>
      </w:tr>
    </w:tbl>
    <w:p>
      <w:pPr>
        <w:spacing w:after="200"/>
      </w:pPr>
    </w:p>
    <w:p>
      <w:pPr>
        <w:spacing w:after="160" w:line="276" w:lineRule="auto"/>
      </w:pPr>
      <w:r>
        <w:t xml:space="preserve">The model's forecasts are dominated by path-dependent features — prior-year allocation, prior-year actuals, and the rolling average — which together account for the large majority of predictive signal. Workload and structural-share features contribute meaningfully but secondarily, and macro-economic variables (inflation, COLA, unemployment) have comparatively modest individual influence on this dataset's forecasts, consistent with the flat COLA/inflation assumptions in effect over the historical window.</w:t>
      </w:r>
    </w:p>
    <w:p>
      <w:pPr>
        <w:pStyle w:val="Heading1"/>
        <w:spacing w:after="160" w:before="360"/>
      </w:pPr>
      <w:r>
        <w:t xml:space="preserve">10. Funding Risk &amp; Anomaly Detection</w:t>
      </w:r>
    </w:p>
    <w:p>
      <w:pPr>
        <w:spacing w:after="160" w:line="276" w:lineRule="auto"/>
      </w:pPr>
      <w:r>
        <w:t xml:space="preserve">Two complementary signals were combined to flag budget lines needing management attention in the next cycle: an Isolation Forest multivariate anomaly detector (catching unusual combinations of spend level, growth, execution rate, and variance) and transparent, rule-based funding-risk categories that budget officers already understand.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950"/>
      </w:tblGrid>
      <w:tr>
        <w:trPr>
          <w:tblHeader/>
        </w:trPr>
        <w:tc>
          <w:tcPr>
            <w:tcW w:type="dxa" w:w="4200"/>
            <w:shd w:fill="1F3864" w:val="clear"/>
            <w:tcMar>
              <w:top w:type="dxa" w:w="80"/>
              <w:left w:type="dxa" w:w="100"/>
              <w:bottom w:type="dxa" w:w="80"/>
              <w:right w:type="dxa" w:w="100"/>
            </w:tcMar>
            <w:vAlign w:val="center"/>
          </w:tcPr>
          <w:p>
            <w:pPr>
              <w:jc w:val="center"/>
            </w:pPr>
            <w:r>
              <w:rPr>
                <w:b/>
                <w:bCs/>
                <w:color w:val="FFFFFF"/>
              </w:rPr>
              <w:t xml:space="preserve">Risk Category</w:t>
            </w:r>
          </w:p>
        </w:tc>
        <w:tc>
          <w:tcPr>
            <w:tcW w:type="dxa" w:w="2200"/>
            <w:shd w:fill="1F3864" w:val="clear"/>
            <w:tcMar>
              <w:top w:type="dxa" w:w="80"/>
              <w:left w:type="dxa" w:w="100"/>
              <w:bottom w:type="dxa" w:w="80"/>
              <w:right w:type="dxa" w:w="100"/>
            </w:tcMar>
            <w:vAlign w:val="center"/>
          </w:tcPr>
          <w:p>
            <w:pPr>
              <w:jc w:val="center"/>
            </w:pPr>
            <w:r>
              <w:rPr>
                <w:b/>
                <w:bCs/>
                <w:color w:val="FFFFFF"/>
              </w:rPr>
              <w:t xml:space="preserve">Lines</w:t>
            </w:r>
          </w:p>
        </w:tc>
        <w:tc>
          <w:tcPr>
            <w:tcW w:type="dxa" w:w="2950"/>
            <w:shd w:fill="1F3864" w:val="clear"/>
            <w:tcMar>
              <w:top w:type="dxa" w:w="80"/>
              <w:left w:type="dxa" w:w="100"/>
              <w:bottom w:type="dxa" w:w="80"/>
              <w:right w:type="dxa" w:w="100"/>
            </w:tcMar>
            <w:vAlign w:val="center"/>
          </w:tcPr>
          <w:p>
            <w:pPr>
              <w:jc w:val="center"/>
            </w:pPr>
            <w:r>
              <w:rPr>
                <w:b/>
                <w:bCs/>
                <w:color w:val="FFFFFF"/>
              </w:rPr>
              <w:t xml:space="preserve">Total Spend ($K)</w:t>
            </w:r>
          </w:p>
        </w:tc>
      </w:tr>
      <w:tr>
        <w:tc>
          <w:tcPr>
            <w:tcW w:type="dxa" w:w="4200"/>
            <w:shd w:fill="F2F6FA" w:val="clear"/>
            <w:tcMar>
              <w:top w:type="dxa" w:w="80"/>
              <w:left w:type="dxa" w:w="100"/>
              <w:bottom w:type="dxa" w:w="80"/>
              <w:right w:type="dxa" w:w="100"/>
            </w:tcMar>
            <w:vAlign w:val="center"/>
          </w:tcPr>
          <w:p>
            <w:pPr>
              <w:jc w:val="left"/>
            </w:pPr>
            <w:r>
              <w:rPr>
                <w:b w:val="false"/>
                <w:bCs w:val="false"/>
              </w:rPr>
              <w:t xml:space="preserve">Normal</w:t>
            </w:r>
          </w:p>
        </w:tc>
        <w:tc>
          <w:tcPr>
            <w:tcW w:type="dxa" w:w="2200"/>
            <w:shd w:fill="F2F6FA" w:val="clear"/>
            <w:tcMar>
              <w:top w:type="dxa" w:w="80"/>
              <w:left w:type="dxa" w:w="100"/>
              <w:bottom w:type="dxa" w:w="80"/>
              <w:right w:type="dxa" w:w="100"/>
            </w:tcMar>
            <w:vAlign w:val="center"/>
          </w:tcPr>
          <w:p>
            <w:pPr>
              <w:jc w:val="center"/>
            </w:pPr>
            <w:r>
              <w:rPr>
                <w:b w:val="false"/>
                <w:bCs w:val="false"/>
              </w:rPr>
              <w:t xml:space="preserve">30</w:t>
            </w:r>
          </w:p>
        </w:tc>
        <w:tc>
          <w:tcPr>
            <w:tcW w:type="dxa" w:w="2950"/>
            <w:shd w:fill="F2F6FA" w:val="clear"/>
            <w:tcMar>
              <w:top w:type="dxa" w:w="80"/>
              <w:left w:type="dxa" w:w="100"/>
              <w:bottom w:type="dxa" w:w="80"/>
              <w:right w:type="dxa" w:w="100"/>
            </w:tcMar>
            <w:vAlign w:val="center"/>
          </w:tcPr>
          <w:p>
            <w:pPr>
              <w:jc w:val="center"/>
            </w:pPr>
            <w:r>
              <w:rPr>
                <w:b w:val="false"/>
                <w:bCs w:val="false"/>
              </w:rPr>
              <w:t xml:space="preserve">977,368.2</w:t>
            </w:r>
          </w:p>
        </w:tc>
      </w:tr>
      <w:tr>
        <w:tc>
          <w:tcPr>
            <w:tcW w:type="dxa" w:w="4200"/>
            <w:shd w:fill="FFFFFF" w:val="clear"/>
            <w:tcMar>
              <w:top w:type="dxa" w:w="80"/>
              <w:left w:type="dxa" w:w="100"/>
              <w:bottom w:type="dxa" w:w="80"/>
              <w:right w:type="dxa" w:w="100"/>
            </w:tcMar>
            <w:vAlign w:val="center"/>
          </w:tcPr>
          <w:p>
            <w:pPr>
              <w:jc w:val="left"/>
            </w:pPr>
            <w:r>
              <w:rPr>
                <w:b w:val="false"/>
                <w:bCs w:val="false"/>
              </w:rPr>
              <w:t xml:space="preserve">Rapid Growth — Validate Drivers</w:t>
            </w:r>
          </w:p>
        </w:tc>
        <w:tc>
          <w:tcPr>
            <w:tcW w:type="dxa" w:w="2200"/>
            <w:shd w:fill="FFFFFF" w:val="clear"/>
            <w:tcMar>
              <w:top w:type="dxa" w:w="80"/>
              <w:left w:type="dxa" w:w="100"/>
              <w:bottom w:type="dxa" w:w="80"/>
              <w:right w:type="dxa" w:w="100"/>
            </w:tcMar>
            <w:vAlign w:val="center"/>
          </w:tcPr>
          <w:p>
            <w:pPr>
              <w:jc w:val="center"/>
            </w:pPr>
            <w:r>
              <w:rPr>
                <w:b w:val="false"/>
                <w:bCs w:val="false"/>
              </w:rPr>
              <w:t xml:space="preserve">8</w:t>
            </w:r>
          </w:p>
        </w:tc>
        <w:tc>
          <w:tcPr>
            <w:tcW w:type="dxa" w:w="2950"/>
            <w:shd w:fill="FFFFFF" w:val="clear"/>
            <w:tcMar>
              <w:top w:type="dxa" w:w="80"/>
              <w:left w:type="dxa" w:w="100"/>
              <w:bottom w:type="dxa" w:w="80"/>
              <w:right w:type="dxa" w:w="100"/>
            </w:tcMar>
            <w:vAlign w:val="center"/>
          </w:tcPr>
          <w:p>
            <w:pPr>
              <w:jc w:val="center"/>
            </w:pPr>
            <w:r>
              <w:rPr>
                <w:b w:val="false"/>
                <w:bCs w:val="false"/>
              </w:rPr>
              <w:t xml:space="preserve">343,999.2</w:t>
            </w:r>
          </w:p>
        </w:tc>
      </w:tr>
      <w:tr>
        <w:tc>
          <w:tcPr>
            <w:tcW w:type="dxa" w:w="4200"/>
            <w:shd w:fill="F2F6FA" w:val="clear"/>
            <w:tcMar>
              <w:top w:type="dxa" w:w="80"/>
              <w:left w:type="dxa" w:w="100"/>
              <w:bottom w:type="dxa" w:w="80"/>
              <w:right w:type="dxa" w:w="100"/>
            </w:tcMar>
            <w:vAlign w:val="center"/>
          </w:tcPr>
          <w:p>
            <w:pPr>
              <w:jc w:val="left"/>
            </w:pPr>
            <w:r>
              <w:rPr>
                <w:b w:val="false"/>
                <w:bCs w:val="false"/>
              </w:rPr>
              <w:t xml:space="preserve">Chronic Underspend / Lapse Risk</w:t>
            </w:r>
          </w:p>
        </w:tc>
        <w:tc>
          <w:tcPr>
            <w:tcW w:type="dxa" w:w="2200"/>
            <w:shd w:fill="F2F6FA" w:val="clear"/>
            <w:tcMar>
              <w:top w:type="dxa" w:w="80"/>
              <w:left w:type="dxa" w:w="100"/>
              <w:bottom w:type="dxa" w:w="80"/>
              <w:right w:type="dxa" w:w="100"/>
            </w:tcMar>
            <w:vAlign w:val="center"/>
          </w:tcPr>
          <w:p>
            <w:pPr>
              <w:jc w:val="center"/>
            </w:pPr>
            <w:r>
              <w:rPr>
                <w:b w:val="false"/>
                <w:bCs w:val="false"/>
              </w:rPr>
              <w:t xml:space="preserve">2</w:t>
            </w:r>
          </w:p>
        </w:tc>
        <w:tc>
          <w:tcPr>
            <w:tcW w:type="dxa" w:w="2950"/>
            <w:shd w:fill="F2F6FA" w:val="clear"/>
            <w:tcMar>
              <w:top w:type="dxa" w:w="80"/>
              <w:left w:type="dxa" w:w="100"/>
              <w:bottom w:type="dxa" w:w="80"/>
              <w:right w:type="dxa" w:w="100"/>
            </w:tcMar>
            <w:vAlign w:val="center"/>
          </w:tcPr>
          <w:p>
            <w:pPr>
              <w:jc w:val="center"/>
            </w:pPr>
            <w:r>
              <w:rPr>
                <w:b w:val="false"/>
                <w:bCs w:val="false"/>
              </w:rPr>
              <w:t xml:space="preserve">27,208.3</w:t>
            </w:r>
          </w:p>
        </w:tc>
      </w:tr>
    </w:tbl>
    <w:p>
      <w:pPr>
        <w:spacing w:after="200"/>
      </w:pPr>
    </w:p>
    <w:p>
      <w:pPr>
        <w:pStyle w:val="Heading2"/>
        <w:spacing w:after="120" w:before="260"/>
      </w:pPr>
      <w:r>
        <w:t xml:space="preserve">10.1 Top Flagged Lines (FY2025)</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2500"/>
        <w:gridCol w:w="2350"/>
        <w:gridCol w:w="1300"/>
        <w:gridCol w:w="1150"/>
        <w:gridCol w:w="1150"/>
        <w:gridCol w:w="1900"/>
      </w:tblGrid>
      <w:tr>
        <w:trPr>
          <w:tblHeader/>
        </w:trPr>
        <w:tc>
          <w:tcPr>
            <w:tcW w:type="dxa" w:w="2500"/>
            <w:shd w:fill="1F3864" w:val="clear"/>
            <w:tcMar>
              <w:top w:type="dxa" w:w="80"/>
              <w:left w:type="dxa" w:w="100"/>
              <w:bottom w:type="dxa" w:w="80"/>
              <w:right w:type="dxa" w:w="100"/>
            </w:tcMar>
            <w:vAlign w:val="center"/>
          </w:tcPr>
          <w:p>
            <w:pPr>
              <w:jc w:val="center"/>
            </w:pPr>
            <w:r>
              <w:rPr>
                <w:b/>
                <w:bCs/>
                <w:color w:val="FFFFFF"/>
              </w:rPr>
              <w:t xml:space="preserve">Department</w:t>
            </w:r>
          </w:p>
        </w:tc>
        <w:tc>
          <w:tcPr>
            <w:tcW w:type="dxa" w:w="2350"/>
            <w:shd w:fill="1F3864" w:val="clear"/>
            <w:tcMar>
              <w:top w:type="dxa" w:w="80"/>
              <w:left w:type="dxa" w:w="100"/>
              <w:bottom w:type="dxa" w:w="80"/>
              <w:right w:type="dxa" w:w="100"/>
            </w:tcMar>
            <w:vAlign w:val="center"/>
          </w:tcPr>
          <w:p>
            <w:pPr>
              <w:jc w:val="center"/>
            </w:pPr>
            <w:r>
              <w:rPr>
                <w:b/>
                <w:bCs/>
                <w:color w:val="FFFFFF"/>
              </w:rPr>
              <w:t xml:space="preserve">Category</w:t>
            </w:r>
          </w:p>
        </w:tc>
        <w:tc>
          <w:tcPr>
            <w:tcW w:type="dxa" w:w="1300"/>
            <w:shd w:fill="1F3864" w:val="clear"/>
            <w:tcMar>
              <w:top w:type="dxa" w:w="80"/>
              <w:left w:type="dxa" w:w="100"/>
              <w:bottom w:type="dxa" w:w="80"/>
              <w:right w:type="dxa" w:w="100"/>
            </w:tcMar>
            <w:vAlign w:val="center"/>
          </w:tcPr>
          <w:p>
            <w:pPr>
              <w:jc w:val="center"/>
            </w:pPr>
            <w:r>
              <w:rPr>
                <w:b/>
                <w:bCs/>
                <w:color w:val="FFFFFF"/>
              </w:rPr>
              <w:t xml:space="preserve">Spend ($K)</w:t>
            </w:r>
          </w:p>
        </w:tc>
        <w:tc>
          <w:tcPr>
            <w:tcW w:type="dxa" w:w="1150"/>
            <w:shd w:fill="1F3864" w:val="clear"/>
            <w:tcMar>
              <w:top w:type="dxa" w:w="80"/>
              <w:left w:type="dxa" w:w="100"/>
              <w:bottom w:type="dxa" w:w="80"/>
              <w:right w:type="dxa" w:w="100"/>
            </w:tcMar>
            <w:vAlign w:val="center"/>
          </w:tcPr>
          <w:p>
            <w:pPr>
              <w:jc w:val="center"/>
            </w:pPr>
            <w:r>
              <w:rPr>
                <w:b/>
                <w:bCs/>
                <w:color w:val="FFFFFF"/>
              </w:rPr>
              <w:t xml:space="preserve">Variance %</w:t>
            </w:r>
          </w:p>
        </w:tc>
        <w:tc>
          <w:tcPr>
            <w:tcW w:type="dxa" w:w="1150"/>
            <w:shd w:fill="1F3864" w:val="clear"/>
            <w:tcMar>
              <w:top w:type="dxa" w:w="80"/>
              <w:left w:type="dxa" w:w="100"/>
              <w:bottom w:type="dxa" w:w="80"/>
              <w:right w:type="dxa" w:w="100"/>
            </w:tcMar>
            <w:vAlign w:val="center"/>
          </w:tcPr>
          <w:p>
            <w:pPr>
              <w:jc w:val="center"/>
            </w:pPr>
            <w:r>
              <w:rPr>
                <w:b/>
                <w:bCs/>
                <w:color w:val="FFFFFF"/>
              </w:rPr>
              <w:t xml:space="preserve">YoY Growth</w:t>
            </w:r>
          </w:p>
        </w:tc>
        <w:tc>
          <w:tcPr>
            <w:tcW w:type="dxa" w:w="1900"/>
            <w:shd w:fill="1F3864" w:val="clear"/>
            <w:tcMar>
              <w:top w:type="dxa" w:w="80"/>
              <w:left w:type="dxa" w:w="100"/>
              <w:bottom w:type="dxa" w:w="80"/>
              <w:right w:type="dxa" w:w="100"/>
            </w:tcMar>
            <w:vAlign w:val="center"/>
          </w:tcPr>
          <w:p>
            <w:pPr>
              <w:jc w:val="center"/>
            </w:pPr>
            <w:r>
              <w:rPr>
                <w:b/>
                <w:bCs/>
                <w:color w:val="FFFFFF"/>
              </w:rPr>
              <w:t xml:space="preserve">Risk Category</w:t>
            </w:r>
          </w:p>
        </w:tc>
      </w:tr>
      <w:tr>
        <w:tc>
          <w:tcPr>
            <w:tcW w:type="dxa" w:w="2500"/>
            <w:shd w:fill="F2F6FA" w:val="clear"/>
            <w:tcMar>
              <w:top w:type="dxa" w:w="80"/>
              <w:left w:type="dxa" w:w="100"/>
              <w:bottom w:type="dxa" w:w="80"/>
              <w:right w:type="dxa" w:w="100"/>
            </w:tcMar>
            <w:vAlign w:val="center"/>
          </w:tcPr>
          <w:p>
            <w:pPr>
              <w:jc w:val="left"/>
            </w:pPr>
            <w:r>
              <w:rPr>
                <w:b w:val="false"/>
                <w:bCs w:val="false"/>
              </w:rPr>
              <w:t xml:space="preserve">Information Technology</w:t>
            </w:r>
          </w:p>
        </w:tc>
        <w:tc>
          <w:tcPr>
            <w:tcW w:type="dxa" w:w="2350"/>
            <w:shd w:fill="F2F6FA" w:val="clear"/>
            <w:tcMar>
              <w:top w:type="dxa" w:w="80"/>
              <w:left w:type="dxa" w:w="100"/>
              <w:bottom w:type="dxa" w:w="80"/>
              <w:right w:type="dxa" w:w="100"/>
            </w:tcMar>
            <w:vAlign w:val="center"/>
          </w:tcPr>
          <w:p>
            <w:pPr>
              <w:jc w:val="center"/>
            </w:pPr>
            <w:r>
              <w:rPr>
                <w:b w:val="false"/>
                <w:bCs w:val="false"/>
              </w:rPr>
              <w:t xml:space="preserve">Personnel &amp; Compensation</w:t>
            </w:r>
          </w:p>
        </w:tc>
        <w:tc>
          <w:tcPr>
            <w:tcW w:type="dxa" w:w="1300"/>
            <w:shd w:fill="F2F6FA" w:val="clear"/>
            <w:tcMar>
              <w:top w:type="dxa" w:w="80"/>
              <w:left w:type="dxa" w:w="100"/>
              <w:bottom w:type="dxa" w:w="80"/>
              <w:right w:type="dxa" w:w="100"/>
            </w:tcMar>
            <w:vAlign w:val="center"/>
          </w:tcPr>
          <w:p>
            <w:pPr>
              <w:jc w:val="center"/>
            </w:pPr>
            <w:r>
              <w:rPr>
                <w:b w:val="false"/>
                <w:bCs w:val="false"/>
              </w:rPr>
              <w:t xml:space="preserve">98,024.3</w:t>
            </w:r>
          </w:p>
        </w:tc>
        <w:tc>
          <w:tcPr>
            <w:tcW w:type="dxa" w:w="1150"/>
            <w:shd w:fill="F2F6FA" w:val="clear"/>
            <w:tcMar>
              <w:top w:type="dxa" w:w="80"/>
              <w:left w:type="dxa" w:w="100"/>
              <w:bottom w:type="dxa" w:w="80"/>
              <w:right w:type="dxa" w:w="100"/>
            </w:tcMar>
            <w:vAlign w:val="center"/>
          </w:tcPr>
          <w:p>
            <w:pPr>
              <w:jc w:val="center"/>
            </w:pPr>
            <w:r>
              <w:rPr>
                <w:b w:val="false"/>
                <w:bCs w:val="false"/>
              </w:rPr>
              <w:t xml:space="preserve">4.3%</w:t>
            </w:r>
          </w:p>
        </w:tc>
        <w:tc>
          <w:tcPr>
            <w:tcW w:type="dxa" w:w="1150"/>
            <w:shd w:fill="F2F6FA" w:val="clear"/>
            <w:tcMar>
              <w:top w:type="dxa" w:w="80"/>
              <w:left w:type="dxa" w:w="100"/>
              <w:bottom w:type="dxa" w:w="80"/>
              <w:right w:type="dxa" w:w="100"/>
            </w:tcMar>
            <w:vAlign w:val="center"/>
          </w:tcPr>
          <w:p>
            <w:pPr>
              <w:jc w:val="center"/>
            </w:pPr>
            <w:r>
              <w:rPr>
                <w:b w:val="false"/>
                <w:bCs w:val="false"/>
              </w:rPr>
              <w:t xml:space="preserve">40%</w:t>
            </w:r>
          </w:p>
        </w:tc>
        <w:tc>
          <w:tcPr>
            <w:tcW w:type="dxa" w:w="1900"/>
            <w:shd w:fill="F2F6FA" w:val="clear"/>
            <w:tcMar>
              <w:top w:type="dxa" w:w="80"/>
              <w:left w:type="dxa" w:w="100"/>
              <w:bottom w:type="dxa" w:w="80"/>
              <w:right w:type="dxa" w:w="100"/>
            </w:tcMar>
            <w:vAlign w:val="center"/>
          </w:tcPr>
          <w:p>
            <w:pPr>
              <w:jc w:val="center"/>
            </w:pPr>
            <w:r>
              <w:rPr>
                <w:b w:val="false"/>
                <w:bCs w:val="false"/>
              </w:rPr>
              <w:t xml:space="preserve">Rapid Growth</w:t>
            </w:r>
          </w:p>
        </w:tc>
      </w:tr>
      <w:tr>
        <w:tc>
          <w:tcPr>
            <w:tcW w:type="dxa" w:w="2500"/>
            <w:shd w:fill="FFFFFF" w:val="clear"/>
            <w:tcMar>
              <w:top w:type="dxa" w:w="80"/>
              <w:left w:type="dxa" w:w="100"/>
              <w:bottom w:type="dxa" w:w="80"/>
              <w:right w:type="dxa" w:w="100"/>
            </w:tcMar>
            <w:vAlign w:val="center"/>
          </w:tcPr>
          <w:p>
            <w:pPr>
              <w:jc w:val="left"/>
            </w:pPr>
            <w:r>
              <w:rPr>
                <w:b w:val="false"/>
                <w:bCs w:val="false"/>
              </w:rPr>
              <w:t xml:space="preserve">Education</w:t>
            </w:r>
          </w:p>
        </w:tc>
        <w:tc>
          <w:tcPr>
            <w:tcW w:type="dxa" w:w="2350"/>
            <w:shd w:fill="FFFFFF" w:val="clear"/>
            <w:tcMar>
              <w:top w:type="dxa" w:w="80"/>
              <w:left w:type="dxa" w:w="100"/>
              <w:bottom w:type="dxa" w:w="80"/>
              <w:right w:type="dxa" w:w="100"/>
            </w:tcMar>
            <w:vAlign w:val="center"/>
          </w:tcPr>
          <w:p>
            <w:pPr>
              <w:jc w:val="center"/>
            </w:pPr>
            <w:r>
              <w:rPr>
                <w:b w:val="false"/>
                <w:bCs w:val="false"/>
              </w:rPr>
              <w:t xml:space="preserve">Personnel &amp; Compensation</w:t>
            </w:r>
          </w:p>
        </w:tc>
        <w:tc>
          <w:tcPr>
            <w:tcW w:type="dxa" w:w="1300"/>
            <w:shd w:fill="FFFFFF" w:val="clear"/>
            <w:tcMar>
              <w:top w:type="dxa" w:w="80"/>
              <w:left w:type="dxa" w:w="100"/>
              <w:bottom w:type="dxa" w:w="80"/>
              <w:right w:type="dxa" w:w="100"/>
            </w:tcMar>
            <w:vAlign w:val="center"/>
          </w:tcPr>
          <w:p>
            <w:pPr>
              <w:jc w:val="center"/>
            </w:pPr>
            <w:r>
              <w:rPr>
                <w:b w:val="false"/>
                <w:bCs w:val="false"/>
              </w:rPr>
              <w:t xml:space="preserve">147,459.4</w:t>
            </w:r>
          </w:p>
        </w:tc>
        <w:tc>
          <w:tcPr>
            <w:tcW w:type="dxa" w:w="1150"/>
            <w:shd w:fill="FFFFFF" w:val="clear"/>
            <w:tcMar>
              <w:top w:type="dxa" w:w="80"/>
              <w:left w:type="dxa" w:w="100"/>
              <w:bottom w:type="dxa" w:w="80"/>
              <w:right w:type="dxa" w:w="100"/>
            </w:tcMar>
            <w:vAlign w:val="center"/>
          </w:tcPr>
          <w:p>
            <w:pPr>
              <w:jc w:val="center"/>
            </w:pPr>
            <w:r>
              <w:rPr>
                <w:b w:val="false"/>
                <w:bCs w:val="false"/>
              </w:rPr>
              <w:t xml:space="preserve">-0.9%</w:t>
            </w:r>
          </w:p>
        </w:tc>
        <w:tc>
          <w:tcPr>
            <w:tcW w:type="dxa" w:w="1150"/>
            <w:shd w:fill="FFFFFF" w:val="clear"/>
            <w:tcMar>
              <w:top w:type="dxa" w:w="80"/>
              <w:left w:type="dxa" w:w="100"/>
              <w:bottom w:type="dxa" w:w="80"/>
              <w:right w:type="dxa" w:w="100"/>
            </w:tcMar>
            <w:vAlign w:val="center"/>
          </w:tcPr>
          <w:p>
            <w:pPr>
              <w:jc w:val="center"/>
            </w:pPr>
            <w:r>
              <w:rPr>
                <w:b w:val="false"/>
                <w:bCs w:val="false"/>
              </w:rPr>
              <w:t xml:space="preserve">20%</w:t>
            </w:r>
          </w:p>
        </w:tc>
        <w:tc>
          <w:tcPr>
            <w:tcW w:type="dxa" w:w="1900"/>
            <w:shd w:fill="FFFFFF" w:val="clear"/>
            <w:tcMar>
              <w:top w:type="dxa" w:w="80"/>
              <w:left w:type="dxa" w:w="100"/>
              <w:bottom w:type="dxa" w:w="80"/>
              <w:right w:type="dxa" w:w="100"/>
            </w:tcMar>
            <w:vAlign w:val="center"/>
          </w:tcPr>
          <w:p>
            <w:pPr>
              <w:jc w:val="center"/>
            </w:pPr>
            <w:r>
              <w:rPr>
                <w:b w:val="false"/>
                <w:bCs w:val="false"/>
              </w:rPr>
              <w:t xml:space="preserve">Rapid Growth</w:t>
            </w:r>
          </w:p>
        </w:tc>
      </w:tr>
      <w:tr>
        <w:tc>
          <w:tcPr>
            <w:tcW w:type="dxa" w:w="2500"/>
            <w:shd w:fill="F2F6FA" w:val="clear"/>
            <w:tcMar>
              <w:top w:type="dxa" w:w="80"/>
              <w:left w:type="dxa" w:w="100"/>
              <w:bottom w:type="dxa" w:w="80"/>
              <w:right w:type="dxa" w:w="100"/>
            </w:tcMar>
            <w:vAlign w:val="center"/>
          </w:tcPr>
          <w:p>
            <w:pPr>
              <w:jc w:val="left"/>
            </w:pPr>
            <w:r>
              <w:rPr>
                <w:b w:val="false"/>
                <w:bCs w:val="false"/>
              </w:rPr>
              <w:t xml:space="preserve">Environment &amp; Natural Resources</w:t>
            </w:r>
          </w:p>
        </w:tc>
        <w:tc>
          <w:tcPr>
            <w:tcW w:type="dxa" w:w="2350"/>
            <w:shd w:fill="F2F6FA" w:val="clear"/>
            <w:tcMar>
              <w:top w:type="dxa" w:w="80"/>
              <w:left w:type="dxa" w:w="100"/>
              <w:bottom w:type="dxa" w:w="80"/>
              <w:right w:type="dxa" w:w="100"/>
            </w:tcMar>
            <w:vAlign w:val="center"/>
          </w:tcPr>
          <w:p>
            <w:pPr>
              <w:jc w:val="center"/>
            </w:pPr>
            <w:r>
              <w:rPr>
                <w:b w:val="false"/>
                <w:bCs w:val="false"/>
              </w:rPr>
              <w:t xml:space="preserve">Capital Outlay</w:t>
            </w:r>
          </w:p>
        </w:tc>
        <w:tc>
          <w:tcPr>
            <w:tcW w:type="dxa" w:w="1300"/>
            <w:shd w:fill="F2F6FA" w:val="clear"/>
            <w:tcMar>
              <w:top w:type="dxa" w:w="80"/>
              <w:left w:type="dxa" w:w="100"/>
              <w:bottom w:type="dxa" w:w="80"/>
              <w:right w:type="dxa" w:w="100"/>
            </w:tcMar>
            <w:vAlign w:val="center"/>
          </w:tcPr>
          <w:p>
            <w:pPr>
              <w:jc w:val="center"/>
            </w:pPr>
            <w:r>
              <w:rPr>
                <w:b w:val="false"/>
                <w:bCs w:val="false"/>
              </w:rPr>
              <w:t xml:space="preserve">7,858.7</w:t>
            </w:r>
          </w:p>
        </w:tc>
        <w:tc>
          <w:tcPr>
            <w:tcW w:type="dxa" w:w="1150"/>
            <w:shd w:fill="F2F6FA" w:val="clear"/>
            <w:tcMar>
              <w:top w:type="dxa" w:w="80"/>
              <w:left w:type="dxa" w:w="100"/>
              <w:bottom w:type="dxa" w:w="80"/>
              <w:right w:type="dxa" w:w="100"/>
            </w:tcMar>
            <w:vAlign w:val="center"/>
          </w:tcPr>
          <w:p>
            <w:pPr>
              <w:jc w:val="center"/>
            </w:pPr>
            <w:r>
              <w:rPr>
                <w:b w:val="false"/>
                <w:bCs w:val="false"/>
              </w:rPr>
              <w:t xml:space="preserve">-17.0%</w:t>
            </w:r>
          </w:p>
        </w:tc>
        <w:tc>
          <w:tcPr>
            <w:tcW w:type="dxa" w:w="1150"/>
            <w:shd w:fill="F2F6FA" w:val="clear"/>
            <w:tcMar>
              <w:top w:type="dxa" w:w="80"/>
              <w:left w:type="dxa" w:w="100"/>
              <w:bottom w:type="dxa" w:w="80"/>
              <w:right w:type="dxa" w:w="100"/>
            </w:tcMar>
            <w:vAlign w:val="center"/>
          </w:tcPr>
          <w:p>
            <w:pPr>
              <w:jc w:val="center"/>
            </w:pPr>
            <w:r>
              <w:rPr>
                <w:b w:val="false"/>
                <w:bCs w:val="false"/>
              </w:rPr>
              <w:t xml:space="preserve">60%</w:t>
            </w:r>
          </w:p>
        </w:tc>
        <w:tc>
          <w:tcPr>
            <w:tcW w:type="dxa" w:w="1900"/>
            <w:shd w:fill="F2F6FA" w:val="clear"/>
            <w:tcMar>
              <w:top w:type="dxa" w:w="80"/>
              <w:left w:type="dxa" w:w="100"/>
              <w:bottom w:type="dxa" w:w="80"/>
              <w:right w:type="dxa" w:w="100"/>
            </w:tcMar>
            <w:vAlign w:val="center"/>
          </w:tcPr>
          <w:p>
            <w:pPr>
              <w:jc w:val="center"/>
            </w:pPr>
            <w:r>
              <w:rPr>
                <w:b w:val="false"/>
                <w:bCs w:val="false"/>
              </w:rPr>
              <w:t xml:space="preserve">Chronic Underspend</w:t>
            </w:r>
          </w:p>
        </w:tc>
      </w:tr>
      <w:tr>
        <w:tc>
          <w:tcPr>
            <w:tcW w:type="dxa" w:w="2500"/>
            <w:shd w:fill="FFFFFF" w:val="clear"/>
            <w:tcMar>
              <w:top w:type="dxa" w:w="80"/>
              <w:left w:type="dxa" w:w="100"/>
              <w:bottom w:type="dxa" w:w="80"/>
              <w:right w:type="dxa" w:w="100"/>
            </w:tcMar>
            <w:vAlign w:val="center"/>
          </w:tcPr>
          <w:p>
            <w:pPr>
              <w:jc w:val="left"/>
            </w:pPr>
            <w:r>
              <w:rPr>
                <w:b w:val="false"/>
                <w:bCs w:val="false"/>
              </w:rPr>
              <w:t xml:space="preserve">Transportation &amp; Infrastructure</w:t>
            </w:r>
          </w:p>
        </w:tc>
        <w:tc>
          <w:tcPr>
            <w:tcW w:type="dxa" w:w="2350"/>
            <w:shd w:fill="FFFFFF" w:val="clear"/>
            <w:tcMar>
              <w:top w:type="dxa" w:w="80"/>
              <w:left w:type="dxa" w:w="100"/>
              <w:bottom w:type="dxa" w:w="80"/>
              <w:right w:type="dxa" w:w="100"/>
            </w:tcMar>
            <w:vAlign w:val="center"/>
          </w:tcPr>
          <w:p>
            <w:pPr>
              <w:jc w:val="center"/>
            </w:pPr>
            <w:r>
              <w:rPr>
                <w:b w:val="false"/>
                <w:bCs w:val="false"/>
              </w:rPr>
              <w:t xml:space="preserve">Capital Outlay</w:t>
            </w:r>
          </w:p>
        </w:tc>
        <w:tc>
          <w:tcPr>
            <w:tcW w:type="dxa" w:w="1300"/>
            <w:shd w:fill="FFFFFF" w:val="clear"/>
            <w:tcMar>
              <w:top w:type="dxa" w:w="80"/>
              <w:left w:type="dxa" w:w="100"/>
              <w:bottom w:type="dxa" w:w="80"/>
              <w:right w:type="dxa" w:w="100"/>
            </w:tcMar>
            <w:vAlign w:val="center"/>
          </w:tcPr>
          <w:p>
            <w:pPr>
              <w:jc w:val="center"/>
            </w:pPr>
            <w:r>
              <w:rPr>
                <w:b w:val="false"/>
                <w:bCs w:val="false"/>
              </w:rPr>
              <w:t xml:space="preserve">19,349.6</w:t>
            </w:r>
          </w:p>
        </w:tc>
        <w:tc>
          <w:tcPr>
            <w:tcW w:type="dxa" w:w="1150"/>
            <w:shd w:fill="FFFFFF" w:val="clear"/>
            <w:tcMar>
              <w:top w:type="dxa" w:w="80"/>
              <w:left w:type="dxa" w:w="100"/>
              <w:bottom w:type="dxa" w:w="80"/>
              <w:right w:type="dxa" w:w="100"/>
            </w:tcMar>
            <w:vAlign w:val="center"/>
          </w:tcPr>
          <w:p>
            <w:pPr>
              <w:jc w:val="center"/>
            </w:pPr>
            <w:r>
              <w:rPr>
                <w:b w:val="false"/>
                <w:bCs w:val="false"/>
              </w:rPr>
              <w:t xml:space="preserve">-20.3%</w:t>
            </w:r>
          </w:p>
        </w:tc>
        <w:tc>
          <w:tcPr>
            <w:tcW w:type="dxa" w:w="1150"/>
            <w:shd w:fill="FFFFFF" w:val="clear"/>
            <w:tcMar>
              <w:top w:type="dxa" w:w="80"/>
              <w:left w:type="dxa" w:w="100"/>
              <w:bottom w:type="dxa" w:w="80"/>
              <w:right w:type="dxa" w:w="100"/>
            </w:tcMar>
            <w:vAlign w:val="center"/>
          </w:tcPr>
          <w:p>
            <w:pPr>
              <w:jc w:val="center"/>
            </w:pPr>
            <w:r>
              <w:rPr>
                <w:b w:val="false"/>
                <w:bCs w:val="false"/>
              </w:rPr>
              <w:t xml:space="preserve">0%</w:t>
            </w:r>
          </w:p>
        </w:tc>
        <w:tc>
          <w:tcPr>
            <w:tcW w:type="dxa" w:w="1900"/>
            <w:shd w:fill="FFFFFF" w:val="clear"/>
            <w:tcMar>
              <w:top w:type="dxa" w:w="80"/>
              <w:left w:type="dxa" w:w="100"/>
              <w:bottom w:type="dxa" w:w="80"/>
              <w:right w:type="dxa" w:w="100"/>
            </w:tcMar>
            <w:vAlign w:val="center"/>
          </w:tcPr>
          <w:p>
            <w:pPr>
              <w:jc w:val="center"/>
            </w:pPr>
            <w:r>
              <w:rPr>
                <w:b w:val="false"/>
                <w:bCs w:val="false"/>
              </w:rPr>
              <w:t xml:space="preserve">Chronic Underspend</w:t>
            </w:r>
          </w:p>
        </w:tc>
      </w:tr>
      <w:tr>
        <w:tc>
          <w:tcPr>
            <w:tcW w:type="dxa" w:w="2500"/>
            <w:shd w:fill="F2F6FA" w:val="clear"/>
            <w:tcMar>
              <w:top w:type="dxa" w:w="80"/>
              <w:left w:type="dxa" w:w="100"/>
              <w:bottom w:type="dxa" w:w="80"/>
              <w:right w:type="dxa" w:w="100"/>
            </w:tcMar>
            <w:vAlign w:val="center"/>
          </w:tcPr>
          <w:p>
            <w:pPr>
              <w:jc w:val="left"/>
            </w:pPr>
            <w:r>
              <w:rPr>
                <w:b w:val="false"/>
                <w:bCs w:val="false"/>
              </w:rPr>
              <w:t xml:space="preserve">Public Safety</w:t>
            </w:r>
          </w:p>
        </w:tc>
        <w:tc>
          <w:tcPr>
            <w:tcW w:type="dxa" w:w="2350"/>
            <w:shd w:fill="F2F6FA" w:val="clear"/>
            <w:tcMar>
              <w:top w:type="dxa" w:w="80"/>
              <w:left w:type="dxa" w:w="100"/>
              <w:bottom w:type="dxa" w:w="80"/>
              <w:right w:type="dxa" w:w="100"/>
            </w:tcMar>
            <w:vAlign w:val="center"/>
          </w:tcPr>
          <w:p>
            <w:pPr>
              <w:jc w:val="center"/>
            </w:pPr>
            <w:r>
              <w:rPr>
                <w:b w:val="false"/>
                <w:bCs w:val="false"/>
              </w:rPr>
              <w:t xml:space="preserve">Capital Outlay</w:t>
            </w:r>
          </w:p>
        </w:tc>
        <w:tc>
          <w:tcPr>
            <w:tcW w:type="dxa" w:w="1300"/>
            <w:shd w:fill="F2F6FA" w:val="clear"/>
            <w:tcMar>
              <w:top w:type="dxa" w:w="80"/>
              <w:left w:type="dxa" w:w="100"/>
              <w:bottom w:type="dxa" w:w="80"/>
              <w:right w:type="dxa" w:w="100"/>
            </w:tcMar>
            <w:vAlign w:val="center"/>
          </w:tcPr>
          <w:p>
            <w:pPr>
              <w:jc w:val="center"/>
            </w:pPr>
            <w:r>
              <w:rPr>
                <w:b w:val="false"/>
                <w:bCs w:val="false"/>
              </w:rPr>
              <w:t xml:space="preserve">29,821.9</w:t>
            </w:r>
          </w:p>
        </w:tc>
        <w:tc>
          <w:tcPr>
            <w:tcW w:type="dxa" w:w="1150"/>
            <w:shd w:fill="F2F6FA" w:val="clear"/>
            <w:tcMar>
              <w:top w:type="dxa" w:w="80"/>
              <w:left w:type="dxa" w:w="100"/>
              <w:bottom w:type="dxa" w:w="80"/>
              <w:right w:type="dxa" w:w="100"/>
            </w:tcMar>
            <w:vAlign w:val="center"/>
          </w:tcPr>
          <w:p>
            <w:pPr>
              <w:jc w:val="center"/>
            </w:pPr>
            <w:r>
              <w:rPr>
                <w:b w:val="false"/>
                <w:bCs w:val="false"/>
              </w:rPr>
              <w:t xml:space="preserve">4.0%</w:t>
            </w:r>
          </w:p>
        </w:tc>
        <w:tc>
          <w:tcPr>
            <w:tcW w:type="dxa" w:w="1150"/>
            <w:shd w:fill="F2F6FA" w:val="clear"/>
            <w:tcMar>
              <w:top w:type="dxa" w:w="80"/>
              <w:left w:type="dxa" w:w="100"/>
              <w:bottom w:type="dxa" w:w="80"/>
              <w:right w:type="dxa" w:w="100"/>
            </w:tcMar>
            <w:vAlign w:val="center"/>
          </w:tcPr>
          <w:p>
            <w:pPr>
              <w:jc w:val="center"/>
            </w:pPr>
            <w:r>
              <w:rPr>
                <w:b w:val="false"/>
                <w:bCs w:val="false"/>
              </w:rPr>
              <w:t xml:space="preserve">20%</w:t>
            </w:r>
          </w:p>
        </w:tc>
        <w:tc>
          <w:tcPr>
            <w:tcW w:type="dxa" w:w="1900"/>
            <w:shd w:fill="F2F6FA" w:val="clear"/>
            <w:tcMar>
              <w:top w:type="dxa" w:w="80"/>
              <w:left w:type="dxa" w:w="100"/>
              <w:bottom w:type="dxa" w:w="80"/>
              <w:right w:type="dxa" w:w="100"/>
            </w:tcMar>
            <w:vAlign w:val="center"/>
          </w:tcPr>
          <w:p>
            <w:pPr>
              <w:jc w:val="center"/>
            </w:pPr>
            <w:r>
              <w:rPr>
                <w:b w:val="false"/>
                <w:bCs w:val="false"/>
              </w:rPr>
              <w:t xml:space="preserve">Rapid Growth</w:t>
            </w:r>
          </w:p>
        </w:tc>
      </w:tr>
      <w:tr>
        <w:tc>
          <w:tcPr>
            <w:tcW w:type="dxa" w:w="2500"/>
            <w:shd w:fill="FFFFFF" w:val="clear"/>
            <w:tcMar>
              <w:top w:type="dxa" w:w="80"/>
              <w:left w:type="dxa" w:w="100"/>
              <w:bottom w:type="dxa" w:w="80"/>
              <w:right w:type="dxa" w:w="100"/>
            </w:tcMar>
            <w:vAlign w:val="center"/>
          </w:tcPr>
          <w:p>
            <w:pPr>
              <w:jc w:val="left"/>
            </w:pPr>
            <w:r>
              <w:rPr>
                <w:b w:val="false"/>
                <w:bCs w:val="false"/>
              </w:rPr>
              <w:t xml:space="preserve">Administration &amp; Finance</w:t>
            </w:r>
          </w:p>
        </w:tc>
        <w:tc>
          <w:tcPr>
            <w:tcW w:type="dxa" w:w="2350"/>
            <w:shd w:fill="FFFFFF" w:val="clear"/>
            <w:tcMar>
              <w:top w:type="dxa" w:w="80"/>
              <w:left w:type="dxa" w:w="100"/>
              <w:bottom w:type="dxa" w:w="80"/>
              <w:right w:type="dxa" w:w="100"/>
            </w:tcMar>
            <w:vAlign w:val="center"/>
          </w:tcPr>
          <w:p>
            <w:pPr>
              <w:jc w:val="center"/>
            </w:pPr>
            <w:r>
              <w:rPr>
                <w:b w:val="false"/>
                <w:bCs w:val="false"/>
              </w:rPr>
              <w:t xml:space="preserve">Capital Outlay</w:t>
            </w:r>
          </w:p>
        </w:tc>
        <w:tc>
          <w:tcPr>
            <w:tcW w:type="dxa" w:w="1300"/>
            <w:shd w:fill="FFFFFF" w:val="clear"/>
            <w:tcMar>
              <w:top w:type="dxa" w:w="80"/>
              <w:left w:type="dxa" w:w="100"/>
              <w:bottom w:type="dxa" w:w="80"/>
              <w:right w:type="dxa" w:w="100"/>
            </w:tcMar>
            <w:vAlign w:val="center"/>
          </w:tcPr>
          <w:p>
            <w:pPr>
              <w:jc w:val="center"/>
            </w:pPr>
            <w:r>
              <w:rPr>
                <w:b w:val="false"/>
                <w:bCs w:val="false"/>
              </w:rPr>
              <w:t xml:space="preserve">11,718.6</w:t>
            </w:r>
          </w:p>
        </w:tc>
        <w:tc>
          <w:tcPr>
            <w:tcW w:type="dxa" w:w="1150"/>
            <w:shd w:fill="FFFFFF" w:val="clear"/>
            <w:tcMar>
              <w:top w:type="dxa" w:w="80"/>
              <w:left w:type="dxa" w:w="100"/>
              <w:bottom w:type="dxa" w:w="80"/>
              <w:right w:type="dxa" w:w="100"/>
            </w:tcMar>
            <w:vAlign w:val="center"/>
          </w:tcPr>
          <w:p>
            <w:pPr>
              <w:jc w:val="center"/>
            </w:pPr>
            <w:r>
              <w:rPr>
                <w:b w:val="false"/>
                <w:bCs w:val="false"/>
              </w:rPr>
              <w:t xml:space="preserve">2.3%</w:t>
            </w:r>
          </w:p>
        </w:tc>
        <w:tc>
          <w:tcPr>
            <w:tcW w:type="dxa" w:w="1150"/>
            <w:shd w:fill="FFFFFF" w:val="clear"/>
            <w:tcMar>
              <w:top w:type="dxa" w:w="80"/>
              <w:left w:type="dxa" w:w="100"/>
              <w:bottom w:type="dxa" w:w="80"/>
              <w:right w:type="dxa" w:w="100"/>
            </w:tcMar>
            <w:vAlign w:val="center"/>
          </w:tcPr>
          <w:p>
            <w:pPr>
              <w:jc w:val="center"/>
            </w:pPr>
            <w:r>
              <w:rPr>
                <w:b w:val="false"/>
                <w:bCs w:val="false"/>
              </w:rPr>
              <w:t xml:space="preserve">20%</w:t>
            </w:r>
          </w:p>
        </w:tc>
        <w:tc>
          <w:tcPr>
            <w:tcW w:type="dxa" w:w="1900"/>
            <w:shd w:fill="FFFFFF" w:val="clear"/>
            <w:tcMar>
              <w:top w:type="dxa" w:w="80"/>
              <w:left w:type="dxa" w:w="100"/>
              <w:bottom w:type="dxa" w:w="80"/>
              <w:right w:type="dxa" w:w="100"/>
            </w:tcMar>
            <w:vAlign w:val="center"/>
          </w:tcPr>
          <w:p>
            <w:pPr>
              <w:jc w:val="center"/>
            </w:pPr>
            <w:r>
              <w:rPr>
                <w:b w:val="false"/>
                <w:bCs w:val="false"/>
              </w:rPr>
              <w:t xml:space="preserve">Rapid Growth</w:t>
            </w:r>
          </w:p>
        </w:tc>
      </w:tr>
      <w:tr>
        <w:tc>
          <w:tcPr>
            <w:tcW w:type="dxa" w:w="2500"/>
            <w:shd w:fill="F2F6FA" w:val="clear"/>
            <w:tcMar>
              <w:top w:type="dxa" w:w="80"/>
              <w:left w:type="dxa" w:w="100"/>
              <w:bottom w:type="dxa" w:w="80"/>
              <w:right w:type="dxa" w:w="100"/>
            </w:tcMar>
            <w:vAlign w:val="center"/>
          </w:tcPr>
          <w:p>
            <w:pPr>
              <w:jc w:val="left"/>
            </w:pPr>
            <w:r>
              <w:rPr>
                <w:b w:val="false"/>
                <w:bCs w:val="false"/>
              </w:rPr>
              <w:t xml:space="preserve">Transportation &amp; Infrastructure</w:t>
            </w:r>
          </w:p>
        </w:tc>
        <w:tc>
          <w:tcPr>
            <w:tcW w:type="dxa" w:w="2350"/>
            <w:shd w:fill="F2F6FA" w:val="clear"/>
            <w:tcMar>
              <w:top w:type="dxa" w:w="80"/>
              <w:left w:type="dxa" w:w="100"/>
              <w:bottom w:type="dxa" w:w="80"/>
              <w:right w:type="dxa" w:w="100"/>
            </w:tcMar>
            <w:vAlign w:val="center"/>
          </w:tcPr>
          <w:p>
            <w:pPr>
              <w:jc w:val="center"/>
            </w:pPr>
            <w:r>
              <w:rPr>
                <w:b w:val="false"/>
                <w:bCs w:val="false"/>
              </w:rPr>
              <w:t xml:space="preserve">Grants &amp; Subsidies</w:t>
            </w:r>
          </w:p>
        </w:tc>
        <w:tc>
          <w:tcPr>
            <w:tcW w:type="dxa" w:w="1300"/>
            <w:shd w:fill="F2F6FA" w:val="clear"/>
            <w:tcMar>
              <w:top w:type="dxa" w:w="80"/>
              <w:left w:type="dxa" w:w="100"/>
              <w:bottom w:type="dxa" w:w="80"/>
              <w:right w:type="dxa" w:w="100"/>
            </w:tcMar>
            <w:vAlign w:val="center"/>
          </w:tcPr>
          <w:p>
            <w:pPr>
              <w:jc w:val="center"/>
            </w:pPr>
            <w:r>
              <w:rPr>
                <w:b w:val="false"/>
                <w:bCs w:val="false"/>
              </w:rPr>
              <w:t xml:space="preserve">15,829.7</w:t>
            </w:r>
          </w:p>
        </w:tc>
        <w:tc>
          <w:tcPr>
            <w:tcW w:type="dxa" w:w="1150"/>
            <w:shd w:fill="F2F6FA" w:val="clear"/>
            <w:tcMar>
              <w:top w:type="dxa" w:w="80"/>
              <w:left w:type="dxa" w:w="100"/>
              <w:bottom w:type="dxa" w:w="80"/>
              <w:right w:type="dxa" w:w="100"/>
            </w:tcMar>
            <w:vAlign w:val="center"/>
          </w:tcPr>
          <w:p>
            <w:pPr>
              <w:jc w:val="center"/>
            </w:pPr>
            <w:r>
              <w:rPr>
                <w:b w:val="false"/>
                <w:bCs w:val="false"/>
              </w:rPr>
              <w:t xml:space="preserve">-3.4%</w:t>
            </w:r>
          </w:p>
        </w:tc>
        <w:tc>
          <w:tcPr>
            <w:tcW w:type="dxa" w:w="1150"/>
            <w:shd w:fill="F2F6FA" w:val="clear"/>
            <w:tcMar>
              <w:top w:type="dxa" w:w="80"/>
              <w:left w:type="dxa" w:w="100"/>
              <w:bottom w:type="dxa" w:w="80"/>
              <w:right w:type="dxa" w:w="100"/>
            </w:tcMar>
            <w:vAlign w:val="center"/>
          </w:tcPr>
          <w:p>
            <w:pPr>
              <w:jc w:val="center"/>
            </w:pPr>
            <w:r>
              <w:rPr>
                <w:b w:val="false"/>
                <w:bCs w:val="false"/>
              </w:rPr>
              <w:t xml:space="preserve">40%</w:t>
            </w:r>
          </w:p>
        </w:tc>
        <w:tc>
          <w:tcPr>
            <w:tcW w:type="dxa" w:w="1900"/>
            <w:shd w:fill="F2F6FA" w:val="clear"/>
            <w:tcMar>
              <w:top w:type="dxa" w:w="80"/>
              <w:left w:type="dxa" w:w="100"/>
              <w:bottom w:type="dxa" w:w="80"/>
              <w:right w:type="dxa" w:w="100"/>
            </w:tcMar>
            <w:vAlign w:val="center"/>
          </w:tcPr>
          <w:p>
            <w:pPr>
              <w:jc w:val="center"/>
            </w:pPr>
            <w:r>
              <w:rPr>
                <w:b w:val="false"/>
                <w:bCs w:val="false"/>
              </w:rPr>
              <w:t xml:space="preserve">Rapid Growth</w:t>
            </w:r>
          </w:p>
        </w:tc>
      </w:tr>
    </w:tbl>
    <w:p>
      <w:pPr>
        <w:spacing w:after="200"/>
      </w:pPr>
    </w:p>
    <w:p>
      <w:pPr>
        <w:spacing w:after="160" w:line="276" w:lineRule="auto"/>
      </w:pPr>
      <w:r>
        <w:t xml:space="preserve">Ten lines in total were flagged, representing $371,208K of spend exposure. The pattern is bimodal: Personnel &amp; Compensation lines in Education and Information Technology show rapid year-over-year growth that warrants validating whether workload assumptions still hold, while Capital Outlay lines in Transportation, Environment, and other departments show chronic underspend consistent with capital project schedule slippage.</w:t>
      </w:r>
    </w:p>
    <w:p>
      <w:pPr>
        <w:pStyle w:val="Heading1"/>
        <w:spacing w:after="160" w:before="360"/>
      </w:pPr>
      <w:r>
        <w:t xml:space="preserve">11. Key Findings &amp; Recommendations</w:t>
      </w:r>
    </w:p>
    <w:p>
      <w:pPr>
        <w:pStyle w:val="ListParagraph"/>
        <w:numPr>
          <w:ilvl w:val="0"/>
          <w:numId w:val="3"/>
        </w:numPr>
        <w:spacing w:after="140"/>
      </w:pPr>
      <w:r>
        <w:rPr>
          <w:b/>
          <w:bCs/>
        </w:rPr>
        <w:t xml:space="preserve">Structural underspending in Capital Outlay. </w:t>
      </w:r>
      <w:r>
        <w:t xml:space="preserve">Several departments — notably Transportation and Environment — show chronic underspend (greater than 15% lapse) in capital categories, consistent with project schedule slippage seen in the capital projects data. Recommendation: tighten multi-year capital phasing assumptions and reduce initial-year allocations for historically slow-starting project types, freeing funds for mid-year reallocation.</w:t>
      </w:r>
    </w:p>
    <w:p>
      <w:pPr>
        <w:pStyle w:val="ListParagraph"/>
        <w:numPr>
          <w:ilvl w:val="0"/>
          <w:numId w:val="3"/>
        </w:numPr>
        <w:spacing w:after="140"/>
      </w:pPr>
      <w:r>
        <w:rPr>
          <w:b/>
          <w:bCs/>
        </w:rPr>
        <w:t xml:space="preserve">Personnel costs are the dominant, most predictable cost driver. </w:t>
      </w:r>
      <w:r>
        <w:t xml:space="preserve">SHAP attribution confirms prior-year actuals, rolling average spend, and workload growth are the strongest predictors, giving budget analysts confidence that formula-driven (workload- and COLA-adjusted) estimation is defensible for the Personnel category.</w:t>
      </w:r>
    </w:p>
    <w:p>
      <w:pPr>
        <w:pStyle w:val="ListParagraph"/>
        <w:numPr>
          <w:ilvl w:val="0"/>
          <w:numId w:val="3"/>
        </w:numPr>
        <w:spacing w:after="140"/>
      </w:pPr>
      <w:r>
        <w:rPr>
          <w:b/>
          <w:bCs/>
        </w:rPr>
        <w:t xml:space="preserve">Year-end “use-it-or-lose-it” spending spike. </w:t>
      </w:r>
      <w:r>
        <w:t xml:space="preserve">Roughly 26-36% of annual obligations land in the final fiscal quarter historically. This seasonal pattern should inform cash-flow planning and can mask the true run-rate when doing mid-year projections; the notebook's seasonal-curve feature corrects for this.</w:t>
      </w:r>
    </w:p>
    <w:p>
      <w:pPr>
        <w:pStyle w:val="ListParagraph"/>
        <w:numPr>
          <w:ilvl w:val="0"/>
          <w:numId w:val="3"/>
        </w:numPr>
        <w:spacing w:after="140"/>
      </w:pPr>
      <w:r>
        <w:rPr>
          <w:b/>
          <w:bCs/>
        </w:rPr>
        <w:t xml:space="preserve">Information Technology shows the fastest structural growth rate and elevated overrun risk. </w:t>
      </w:r>
      <w:r>
        <w:t xml:space="preserve">Growth is driven by contracted services outpacing budget. Recommendation: prioritize this department for a mid-cycle budget amendment or supplemental review rather than waiting for the annual cycle.</w:t>
      </w:r>
    </w:p>
    <w:p>
      <w:pPr>
        <w:pStyle w:val="ListParagraph"/>
        <w:numPr>
          <w:ilvl w:val="0"/>
          <w:numId w:val="3"/>
        </w:numPr>
        <w:spacing w:after="140"/>
      </w:pPr>
      <w:r>
        <w:rPr>
          <w:b/>
          <w:bCs/>
        </w:rPr>
        <w:t xml:space="preserve">The ML model consistently beats a naive persistence baseline. </w:t>
      </w:r>
      <w:r>
        <w:t xml:space="preserve">It does so on MAPE across all three backtested years (roughly 7-8% vs. 9-11%), though year-to-year MAE is noisier — a reminder to monitor the model on rolling backtests rather than trusting a single year's result. The Holt-Winters time-series baseline remains a useful, easily-explained cross-check for governance and audit purposes.</w:t>
      </w:r>
    </w:p>
    <w:p>
      <w:pPr>
        <w:pStyle w:val="Heading1"/>
        <w:spacing w:after="160" w:before="360"/>
      </w:pPr>
      <w:r>
        <w:t xml:space="preserve">12. Conclusion &amp; Next Steps for Production Deployment</w:t>
      </w:r>
    </w:p>
    <w:p>
      <w:pPr>
        <w:spacing w:after="160" w:line="276" w:lineRule="auto"/>
      </w:pPr>
      <w:r>
        <w:t xml:space="preserve">This capstone demonstrates that a transparent, auditable data science pipeline can improve on naive trend-line budgeting while remaining explainable to non-technical stakeholders — a critical requirement in the public sector, where budget decisions face audit and public scrutiny. The gradient boosting forecast, cross-checked against an independent time-series baseline and paired with SHAP-based explainability and a rule-based risk register, gives budget officers a defensible, evidence-based starting point for the FY2026 budget cycle rather than a replacement for their judgment.</w:t>
      </w:r>
    </w:p>
    <w:p>
      <w:pPr>
        <w:spacing w:after="160" w:line="276" w:lineRule="auto"/>
      </w:pPr>
      <w:r>
        <w:t xml:space="preserve">Recommended next steps to move from capstone to production:</w:t>
      </w:r>
    </w:p>
    <w:p>
      <w:pPr>
        <w:pStyle w:val="ListParagraph"/>
        <w:numPr>
          <w:ilvl w:val="0"/>
          <w:numId w:val="2"/>
        </w:numPr>
        <w:spacing w:after="100"/>
      </w:pPr>
      <w:r>
        <w:t xml:space="preserve">Replace the synthetic dataset with the agency's GL/ERP extracts using the same schema</w:t>
      </w:r>
    </w:p>
    <w:p>
      <w:pPr>
        <w:pStyle w:val="ListParagraph"/>
        <w:numPr>
          <w:ilvl w:val="0"/>
          <w:numId w:val="2"/>
        </w:numPr>
        <w:spacing w:after="100"/>
      </w:pPr>
      <w:r>
        <w:t xml:space="preserve">Add quarter-over-quarter model refresh with automated drift monitoring (retrain trigger if MAPE exceeds a defined threshold)</w:t>
      </w:r>
    </w:p>
    <w:p>
      <w:pPr>
        <w:pStyle w:val="ListParagraph"/>
        <w:numPr>
          <w:ilvl w:val="0"/>
          <w:numId w:val="2"/>
        </w:numPr>
        <w:spacing w:after="100"/>
      </w:pPr>
      <w:r>
        <w:t xml:space="preserve">Extend the risk model with a supervised label once several cycles of confirmed-risk outcomes exist</w:t>
      </w:r>
    </w:p>
    <w:p>
      <w:pPr>
        <w:pStyle w:val="ListParagraph"/>
        <w:numPr>
          <w:ilvl w:val="0"/>
          <w:numId w:val="2"/>
        </w:numPr>
        <w:spacing w:after="100"/>
      </w:pPr>
      <w:r>
        <w:t xml:space="preserve">Connect the companion Streamlit dashboard to a live data source for budget-office self-service drill-down</w:t>
      </w:r>
    </w:p>
    <w:p>
      <w:pPr>
        <w:pStyle w:val="Heading1"/>
        <w:spacing w:after="160" w:before="360"/>
      </w:pPr>
      <w:r>
        <w:t xml:space="preserve">Appendix: Files &amp; Reproducibility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rPr>
          <w:tblHeader/>
        </w:trPr>
        <w:tc>
          <w:tcPr>
            <w:tcW w:type="dxa" w:w="3800"/>
            <w:shd w:fill="1F3864" w:val="clear"/>
            <w:tcMar>
              <w:top w:type="dxa" w:w="80"/>
              <w:left w:type="dxa" w:w="100"/>
              <w:bottom w:type="dxa" w:w="80"/>
              <w:right w:type="dxa" w:w="100"/>
            </w:tcMar>
            <w:vAlign w:val="center"/>
          </w:tcPr>
          <w:p>
            <w:pPr>
              <w:jc w:val="center"/>
            </w:pPr>
            <w:r>
              <w:rPr>
                <w:b/>
                <w:bCs/>
                <w:color w:val="FFFFFF"/>
              </w:rPr>
              <w:t xml:space="preserve">File</w:t>
            </w:r>
          </w:p>
        </w:tc>
        <w:tc>
          <w:tcPr>
            <w:tcW w:type="dxa" w:w="5550"/>
            <w:shd w:fill="1F3864" w:val="clear"/>
            <w:tcMar>
              <w:top w:type="dxa" w:w="80"/>
              <w:left w:type="dxa" w:w="100"/>
              <w:bottom w:type="dxa" w:w="80"/>
              <w:right w:type="dxa" w:w="100"/>
            </w:tcMar>
            <w:vAlign w:val="center"/>
          </w:tcPr>
          <w:p>
            <w:pPr>
              <w:jc w:val="center"/>
            </w:pPr>
            <w:r>
              <w:rPr>
                <w:b/>
                <w:bCs/>
                <w:color w:val="FFFFFF"/>
              </w:rPr>
              <w:t xml:space="preserve">Purpose</w:t>
            </w:r>
          </w:p>
        </w:tc>
      </w:tr>
      <w:tr>
        <w:tc>
          <w:tcPr>
            <w:tcW w:type="dxa" w:w="3800"/>
            <w:shd w:fill="F2F6FA" w:val="clear"/>
            <w:tcMar>
              <w:top w:type="dxa" w:w="80"/>
              <w:left w:type="dxa" w:w="100"/>
              <w:bottom w:type="dxa" w:w="80"/>
              <w:right w:type="dxa" w:w="100"/>
            </w:tcMar>
            <w:vAlign w:val="center"/>
          </w:tcPr>
          <w:p>
            <w:pPr>
              <w:jc w:val="left"/>
            </w:pPr>
            <w:r>
              <w:rPr>
                <w:b w:val="false"/>
                <w:bCs w:val="false"/>
              </w:rPr>
              <w:t xml:space="preserve">src/generate_data.py</w:t>
            </w:r>
          </w:p>
        </w:tc>
        <w:tc>
          <w:tcPr>
            <w:tcW w:type="dxa" w:w="5550"/>
            <w:shd w:fill="F2F6FA" w:val="clear"/>
            <w:tcMar>
              <w:top w:type="dxa" w:w="80"/>
              <w:left w:type="dxa" w:w="100"/>
              <w:bottom w:type="dxa" w:w="80"/>
              <w:right w:type="dxa" w:w="100"/>
            </w:tcMar>
            <w:vAlign w:val="center"/>
          </w:tcPr>
          <w:p>
            <w:pPr>
              <w:jc w:val="center"/>
            </w:pPr>
            <w:r>
              <w:rPr>
                <w:b w:val="false"/>
                <w:bCs w:val="false"/>
              </w:rPr>
              <w:t xml:space="preserve">Synthetic data generator (swap for real ETL in production)</w:t>
            </w:r>
          </w:p>
        </w:tc>
      </w:tr>
      <w:tr>
        <w:tc>
          <w:tcPr>
            <w:tcW w:type="dxa" w:w="3800"/>
            <w:shd w:fill="FFFFFF" w:val="clear"/>
            <w:tcMar>
              <w:top w:type="dxa" w:w="80"/>
              <w:left w:type="dxa" w:w="100"/>
              <w:bottom w:type="dxa" w:w="80"/>
              <w:right w:type="dxa" w:w="100"/>
            </w:tcMar>
            <w:vAlign w:val="center"/>
          </w:tcPr>
          <w:p>
            <w:pPr>
              <w:jc w:val="left"/>
            </w:pPr>
            <w:r>
              <w:rPr>
                <w:b w:val="false"/>
                <w:bCs w:val="false"/>
              </w:rPr>
              <w:t xml:space="preserve">src/build_notebook.py</w:t>
            </w:r>
          </w:p>
        </w:tc>
        <w:tc>
          <w:tcPr>
            <w:tcW w:type="dxa" w:w="5550"/>
            <w:shd w:fill="FFFFFF" w:val="clear"/>
            <w:tcMar>
              <w:top w:type="dxa" w:w="80"/>
              <w:left w:type="dxa" w:w="100"/>
              <w:bottom w:type="dxa" w:w="80"/>
              <w:right w:type="dxa" w:w="100"/>
            </w:tcMar>
            <w:vAlign w:val="center"/>
          </w:tcPr>
          <w:p>
            <w:pPr>
              <w:jc w:val="center"/>
            </w:pPr>
            <w:r>
              <w:rPr>
                <w:b w:val="false"/>
                <w:bCs w:val="false"/>
              </w:rPr>
              <w:t xml:space="preserve">Programmatically builds the source notebook</w:t>
            </w:r>
          </w:p>
        </w:tc>
      </w:tr>
      <w:tr>
        <w:tc>
          <w:tcPr>
            <w:tcW w:type="dxa" w:w="3800"/>
            <w:shd w:fill="F2F6FA" w:val="clear"/>
            <w:tcMar>
              <w:top w:type="dxa" w:w="80"/>
              <w:left w:type="dxa" w:w="100"/>
              <w:bottom w:type="dxa" w:w="80"/>
              <w:right w:type="dxa" w:w="100"/>
            </w:tcMar>
            <w:vAlign w:val="center"/>
          </w:tcPr>
          <w:p>
            <w:pPr>
              <w:jc w:val="left"/>
            </w:pPr>
            <w:r>
              <w:rPr>
                <w:b w:val="false"/>
                <w:bCs w:val="false"/>
              </w:rPr>
              <w:t xml:space="preserve">notebooks/Capstone_Budget_Intelligence.ipynb</w:t>
            </w:r>
          </w:p>
        </w:tc>
        <w:tc>
          <w:tcPr>
            <w:tcW w:type="dxa" w:w="5550"/>
            <w:shd w:fill="F2F6FA" w:val="clear"/>
            <w:tcMar>
              <w:top w:type="dxa" w:w="80"/>
              <w:left w:type="dxa" w:w="100"/>
              <w:bottom w:type="dxa" w:w="80"/>
              <w:right w:type="dxa" w:w="100"/>
            </w:tcMar>
            <w:vAlign w:val="center"/>
          </w:tcPr>
          <w:p>
            <w:pPr>
              <w:jc w:val="center"/>
            </w:pPr>
            <w:r>
              <w:rPr>
                <w:b w:val="false"/>
                <w:bCs w:val="false"/>
              </w:rPr>
              <w:t xml:space="preserve">Source notebook for this report</w:t>
            </w:r>
          </w:p>
        </w:tc>
      </w:tr>
      <w:tr>
        <w:tc>
          <w:tcPr>
            <w:tcW w:type="dxa" w:w="3800"/>
            <w:shd w:fill="FFFFFF" w:val="clear"/>
            <w:tcMar>
              <w:top w:type="dxa" w:w="80"/>
              <w:left w:type="dxa" w:w="100"/>
              <w:bottom w:type="dxa" w:w="80"/>
              <w:right w:type="dxa" w:w="100"/>
            </w:tcMar>
            <w:vAlign w:val="center"/>
          </w:tcPr>
          <w:p>
            <w:pPr>
              <w:jc w:val="left"/>
            </w:pPr>
            <w:r>
              <w:rPr>
                <w:b w:val="false"/>
                <w:bCs w:val="false"/>
              </w:rPr>
              <w:t xml:space="preserve">data/raw/*.csv</w:t>
            </w:r>
          </w:p>
        </w:tc>
        <w:tc>
          <w:tcPr>
            <w:tcW w:type="dxa" w:w="5550"/>
            <w:shd w:fill="FFFFFF" w:val="clear"/>
            <w:tcMar>
              <w:top w:type="dxa" w:w="80"/>
              <w:left w:type="dxa" w:w="100"/>
              <w:bottom w:type="dxa" w:w="80"/>
              <w:right w:type="dxa" w:w="100"/>
            </w:tcMar>
            <w:vAlign w:val="center"/>
          </w:tcPr>
          <w:p>
            <w:pPr>
              <w:jc w:val="center"/>
            </w:pPr>
            <w:r>
              <w:rPr>
                <w:b w:val="false"/>
                <w:bCs w:val="false"/>
              </w:rPr>
              <w:t xml:space="preserve">Source tables</w:t>
            </w:r>
          </w:p>
        </w:tc>
      </w:tr>
      <w:tr>
        <w:tc>
          <w:tcPr>
            <w:tcW w:type="dxa" w:w="3800"/>
            <w:shd w:fill="F2F6FA" w:val="clear"/>
            <w:tcMar>
              <w:top w:type="dxa" w:w="80"/>
              <w:left w:type="dxa" w:w="100"/>
              <w:bottom w:type="dxa" w:w="80"/>
              <w:right w:type="dxa" w:w="100"/>
            </w:tcMar>
            <w:vAlign w:val="center"/>
          </w:tcPr>
          <w:p>
            <w:pPr>
              <w:jc w:val="left"/>
            </w:pPr>
            <w:r>
              <w:rPr>
                <w:b w:val="false"/>
                <w:bCs w:val="false"/>
              </w:rPr>
              <w:t xml:space="preserve">data/processed/*.csv</w:t>
            </w:r>
          </w:p>
        </w:tc>
        <w:tc>
          <w:tcPr>
            <w:tcW w:type="dxa" w:w="5550"/>
            <w:shd w:fill="F2F6FA" w:val="clear"/>
            <w:tcMar>
              <w:top w:type="dxa" w:w="80"/>
              <w:left w:type="dxa" w:w="100"/>
              <w:bottom w:type="dxa" w:w="80"/>
              <w:right w:type="dxa" w:w="100"/>
            </w:tcMar>
            <w:vAlign w:val="center"/>
          </w:tcPr>
          <w:p>
            <w:pPr>
              <w:jc w:val="center"/>
            </w:pPr>
            <w:r>
              <w:rPr>
                <w:b w:val="false"/>
                <w:bCs w:val="false"/>
              </w:rPr>
              <w:t xml:space="preserve">Master analytical table &amp; feature table</w:t>
            </w:r>
          </w:p>
        </w:tc>
      </w:tr>
      <w:tr>
        <w:tc>
          <w:tcPr>
            <w:tcW w:type="dxa" w:w="3800"/>
            <w:shd w:fill="FFFFFF" w:val="clear"/>
            <w:tcMar>
              <w:top w:type="dxa" w:w="80"/>
              <w:left w:type="dxa" w:w="100"/>
              <w:bottom w:type="dxa" w:w="80"/>
              <w:right w:type="dxa" w:w="100"/>
            </w:tcMar>
            <w:vAlign w:val="center"/>
          </w:tcPr>
          <w:p>
            <w:pPr>
              <w:jc w:val="left"/>
            </w:pPr>
            <w:r>
              <w:rPr>
                <w:b w:val="false"/>
                <w:bCs w:val="false"/>
              </w:rPr>
              <w:t xml:space="preserve">reports/figures/*.png</w:t>
            </w:r>
          </w:p>
        </w:tc>
        <w:tc>
          <w:tcPr>
            <w:tcW w:type="dxa" w:w="5550"/>
            <w:shd w:fill="FFFFFF" w:val="clear"/>
            <w:tcMar>
              <w:top w:type="dxa" w:w="80"/>
              <w:left w:type="dxa" w:w="100"/>
              <w:bottom w:type="dxa" w:w="80"/>
              <w:right w:type="dxa" w:w="100"/>
            </w:tcMar>
            <w:vAlign w:val="center"/>
          </w:tcPr>
          <w:p>
            <w:pPr>
              <w:jc w:val="center"/>
            </w:pPr>
            <w:r>
              <w:rPr>
                <w:b w:val="false"/>
                <w:bCs w:val="false"/>
              </w:rPr>
              <w:t xml:space="preserve">Exported static charts for slide decks / reports</w:t>
            </w:r>
          </w:p>
        </w:tc>
      </w:tr>
      <w:tr>
        <w:tc>
          <w:tcPr>
            <w:tcW w:type="dxa" w:w="3800"/>
            <w:shd w:fill="F2F6FA" w:val="clear"/>
            <w:tcMar>
              <w:top w:type="dxa" w:w="80"/>
              <w:left w:type="dxa" w:w="100"/>
              <w:bottom w:type="dxa" w:w="80"/>
              <w:right w:type="dxa" w:w="100"/>
            </w:tcMar>
            <w:vAlign w:val="center"/>
          </w:tcPr>
          <w:p>
            <w:pPr>
              <w:jc w:val="left"/>
            </w:pPr>
            <w:r>
              <w:rPr>
                <w:b w:val="false"/>
                <w:bCs w:val="false"/>
              </w:rPr>
              <w:t xml:space="preserve">dashboard/app.py</w:t>
            </w:r>
          </w:p>
        </w:tc>
        <w:tc>
          <w:tcPr>
            <w:tcW w:type="dxa" w:w="5550"/>
            <w:shd w:fill="F2F6FA" w:val="clear"/>
            <w:tcMar>
              <w:top w:type="dxa" w:w="80"/>
              <w:left w:type="dxa" w:w="100"/>
              <w:bottom w:type="dxa" w:w="80"/>
              <w:right w:type="dxa" w:w="100"/>
            </w:tcMar>
            <w:vAlign w:val="center"/>
          </w:tcPr>
          <w:p>
            <w:pPr>
              <w:jc w:val="center"/>
            </w:pPr>
            <w:r>
              <w:rPr>
                <w:b w:val="false"/>
                <w:bCs w:val="false"/>
              </w:rPr>
              <w:t xml:space="preserve">Standalone interactive Streamlit dashboard</w:t>
            </w:r>
          </w:p>
        </w:tc>
      </w:tr>
      <w:tr>
        <w:tc>
          <w:tcPr>
            <w:tcW w:type="dxa" w:w="3800"/>
            <w:shd w:fill="FFFFFF" w:val="clear"/>
            <w:tcMar>
              <w:top w:type="dxa" w:w="80"/>
              <w:left w:type="dxa" w:w="100"/>
              <w:bottom w:type="dxa" w:w="80"/>
              <w:right w:type="dxa" w:w="100"/>
            </w:tcMar>
            <w:vAlign w:val="center"/>
          </w:tcPr>
          <w:p>
            <w:pPr>
              <w:jc w:val="left"/>
            </w:pPr>
            <w:r>
              <w:rPr>
                <w:b w:val="false"/>
                <w:bCs w:val="false"/>
              </w:rPr>
              <w:t xml:space="preserve">README.md</w:t>
            </w:r>
          </w:p>
        </w:tc>
        <w:tc>
          <w:tcPr>
            <w:tcW w:type="dxa" w:w="5550"/>
            <w:shd w:fill="FFFFFF" w:val="clear"/>
            <w:tcMar>
              <w:top w:type="dxa" w:w="80"/>
              <w:left w:type="dxa" w:w="100"/>
              <w:bottom w:type="dxa" w:w="80"/>
              <w:right w:type="dxa" w:w="100"/>
            </w:tcMar>
            <w:vAlign w:val="center"/>
          </w:tcPr>
          <w:p>
            <w:pPr>
              <w:jc w:val="center"/>
            </w:pPr>
            <w:r>
              <w:rPr>
                <w:b w:val="false"/>
                <w:bCs w:val="false"/>
              </w:rPr>
              <w:t xml:space="preserve">Full project documentation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F3864"/>
      <w:sz w:val="56"/>
      <w:szCs w:val="56"/>
    </w:rPr>
  </w:style>
  <w:style w:type="paragraph" w:styleId="Heading1">
    <w:name w:val="Heading 1"/>
    <w:basedOn w:val="Normal"/>
    <w:next w:val="Normal"/>
    <w:qFormat/>
    <w:pPr>
      <w:pBdr>
        <w:bottom w:val="single" w:color="2E74B5" w:sz="8"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74B5"/>
      <w:sz w:val="25"/>
      <w:szCs w:val="25"/>
    </w:rPr>
  </w:style>
  <w:style w:type="paragraph" w:styleId="Heading3">
    <w:name w:val="Heading 3"/>
    <w:basedOn w:val="Normal"/>
    <w:next w:val="Normal"/>
    <w:qFormat/>
    <w:pPr>
      <w:spacing w:after="100" w:before="200"/>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d83891442dfc7f3fd35678826061912722af46.png"/><Relationship Id="rId8" Type="http://schemas.openxmlformats.org/officeDocument/2006/relationships/image" Target="media/749e11077fe94bf10c36cfa7e36dd6c298a221d8.png"/><Relationship Id="rId9" Type="http://schemas.openxmlformats.org/officeDocument/2006/relationships/image" Target="media/38f5b05e789f78f8d421628b6d142cbf61bcedd1.png"/><Relationship Id="rId10" Type="http://schemas.openxmlformats.org/officeDocument/2006/relationships/image" Target="media/c93d0d0a198202c5476f3c5cb4b9d23da5a3c649.png"/><Relationship Id="rId11" Type="http://schemas.openxmlformats.org/officeDocument/2006/relationships/image" Target="media/8bf5d6b324cffb63bfe9ec92c0858689bfe0601c.png"/><Relationship Id="rId12" Type="http://schemas.openxmlformats.org/officeDocument/2006/relationships/image" Target="media/c5eb3be6a1e72b90c824b55db4578175cab4b1dc.png"/><Relationship Id="rId13" Type="http://schemas.openxmlformats.org/officeDocument/2006/relationships/image" Target="media/743a98d311556ced1be69e4c41c9081af2df48d0.png"/><Relationship Id="rId14" Type="http://schemas.openxmlformats.org/officeDocument/2006/relationships/image" Target="media/de7649fecd6bdfa9e5b9c5e054e382f9cfab4f17.png"/><Relationship Id="rId15" Type="http://schemas.openxmlformats.org/officeDocument/2006/relationships/image" Target="media/25a1e22c69ea7a22d182197876fc4a564ee0655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2026-08-25T03:05:48.121Z</dcterms:created>
  <dcterms:modified xsi:type="dcterms:W3CDTF">2026-08-25T03:05:48.122Z</dcterms:modified>
</cp:coreProperties>
</file>

<file path=docProps/custom.xml><?xml version="1.0" encoding="utf-8"?>
<Properties xmlns="http://schemas.openxmlformats.org/officeDocument/2006/custom-properties" xmlns:vt="http://schemas.openxmlformats.org/officeDocument/2006/docPropsVTypes"/>
</file>