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Subject – Reasoning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Class – III</w:t>
      </w:r>
      <w:r w:rsidDel="00000000" w:rsidR="00000000" w:rsidRPr="00000000">
        <w:rPr>
          <w:rtl w:val="0"/>
        </w:rPr>
      </w:r>
    </w:p>
    <w:tbl>
      <w:tblPr>
        <w:tblStyle w:val="Table1"/>
        <w:tblW w:w="6384.0001522064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4158.000099134448"/>
        <w:tblGridChange w:id="0">
          <w:tblGrid>
            <w:gridCol w:w="834.0000198841099"/>
            <w:gridCol w:w="1392.000033187867"/>
            <w:gridCol w:w="4158.000099134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 Alphabet Test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 Analogy (Verbal)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Ch.3 Classification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Ch.4 Coding - Decoding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Ch.5 Ranking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Ch.6 Analogy (Non-verbal)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Ch.7 Patterns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Ch.8 Classification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Ch.9 Embedded Figure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Ch.10 Completing Figures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Mirror Images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Ch.12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Ch.13 Simple Mathematical Operations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Ch.14 Series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Ch.15 Age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Ch.16 Counting Geometrical shapes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Paper I &amp;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