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Sainik Public School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Syllabus split up 2025-26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Subject – Mathematics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Class – IV</w:t>
      </w:r>
    </w:p>
    <w:tbl>
      <w:tblPr>
        <w:tblStyle w:val="Table1"/>
        <w:tblW w:w="8406.000200414663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4.0000198841099"/>
        <w:gridCol w:w="1470.000035047532"/>
        <w:gridCol w:w="3210.0000765323657"/>
        <w:gridCol w:w="2892.000068950655"/>
        <w:tblGridChange w:id="0">
          <w:tblGrid>
            <w:gridCol w:w="834.0000198841099"/>
            <w:gridCol w:w="1470.000035047532"/>
            <w:gridCol w:w="3210.0000765323657"/>
            <w:gridCol w:w="2892.00006895065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Chapter no. and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 Large Numbers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Ch.2 Addition and Subtraction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Abacus &amp; Roman Numerals chart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Ch.3 Multiplication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Flower Table(Multiplication)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Ch.4 Division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Ch.5 Factors and Multiples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Factor Tree &amp; using coloured strips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August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Ch.6 Fractions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Ch.7 Introduction to Decimals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Fraction circle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September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Ch.8 Geometry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Ch.9 Symmetry and Patterns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Different types of 2D &amp; 3D shapes, Nets, Tangram(paper cutting)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October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Ch.10 Measurement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Balance, weighs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November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Ch.11 Perimeter and Area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Ch.12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Perimeter &amp; Area of some objects like board, room etc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Clock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December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Ch.13 Money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Ch.14 Data Handling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Currency &amp; Coins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January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February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Annual Examination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