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Sainik Public School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Syllabus split up 2025-26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Subject – Reasoning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            Class – IV</w:t>
      </w:r>
      <w:r w:rsidDel="00000000" w:rsidR="00000000" w:rsidRPr="00000000">
        <w:rPr>
          <w:rtl w:val="0"/>
        </w:rPr>
      </w:r>
    </w:p>
    <w:tbl>
      <w:tblPr>
        <w:tblStyle w:val="Table1"/>
        <w:tblW w:w="6384.0001522064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.0000198841099"/>
        <w:gridCol w:w="1392.000033187867"/>
        <w:gridCol w:w="4158.000099134448"/>
        <w:tblGridChange w:id="0">
          <w:tblGrid>
            <w:gridCol w:w="834.0000198841099"/>
            <w:gridCol w:w="1392.000033187867"/>
            <w:gridCol w:w="4158.0000991344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no. and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 Alphabet Test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Ch.2 Analogy (Verbal)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Ch.3 Classification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Ch.4 Coding - Decoding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Ch.5 Ranking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Ch.6 Analogy (Non-verbal)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Ch.7 Patterns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Ch.8 Classification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Ch.9 Embedded Figures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Ch.10 Completing Figures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Ch.11 Mirror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September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Ch.12 Numbers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Ch.13 Simple Mathematical 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October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Ch.14 Series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Ch.15 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Ch.16 Clock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Ch.17 Direction Sense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Ch.18 Fraction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Paper I &amp;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Annual Examination 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