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34E70"/>
          <w:sz w:val="34"/>
          <w:szCs w:val="34"/>
        </w:rPr>
        <w:t xml:space="preserve">Sales Forecasting &amp; Demand Intelligence</w:t>
      </w:r>
    </w:p>
    <w:p>
      <w:pPr>
        <w:spacing w:after="40"/>
      </w:pPr>
      <w:r>
        <w:rPr>
          <w:color w:val="555555"/>
          <w:sz w:val="24"/>
          <w:szCs w:val="24"/>
        </w:rPr>
        <w:t xml:space="preserve">Executive Business Report</w:t>
      </w:r>
    </w:p>
    <w:p>
      <w:pPr>
        <w:spacing w:after="200"/>
      </w:pPr>
      <w:r>
        <w:rPr>
          <w:i/>
          <w:iCs/>
          <w:color w:val="555555"/>
          <w:sz w:val="20"/>
          <w:szCs w:val="20"/>
        </w:rPr>
        <w:t xml:space="preserve">Prepared by Ritvik Gulati for the Head of Supply Chain and CFO</w:t>
      </w:r>
    </w:p>
    <w:p>
      <w:pPr>
        <w:pStyle w:val="Heading1"/>
        <w:spacing w:after="100" w:before="240"/>
      </w:pPr>
      <w:r>
        <w:t xml:space="preserve">Executive Summary</w:t>
      </w:r>
    </w:p>
    <w:p>
      <w:pPr>
        <w:spacing w:after="120"/>
      </w:pPr>
      <w:r>
        <w:rPr>
          <w:sz w:val="21"/>
          <w:szCs w:val="21"/>
        </w:rPr>
        <w:t xml:space="preserve">Over the past four years, sales grew steadily and follow a repeatable yearly pattern, with November, September, and December consistently the strongest months. Three separate forecasting models were built and tested against real recent months, and the most reliable one now projects roughly $46,800, $40,300, and $72,200 in sales for the next three months respectively. Alongside the forecast, the analysis also flags weeks where sales moved unusually far from the expected pattern, and groups our 17 product sub-categories into four demand behaviors so stocking decisions can be tailored rather than one-size-fits-all. The headline takeaway: Technology is our top revenue driver and the only major category projected to keep growing, while several segments show forecasted softening that is worth planning inventory around now rather than after the fact.</w:t>
      </w:r>
    </w:p>
    <w:p>
      <w:pPr>
        <w:pStyle w:val="Heading1"/>
        <w:spacing w:after="100" w:before="240"/>
      </w:pPr>
      <w:r>
        <w:t xml:space="preserve">Key Findings</w:t>
      </w:r>
    </w:p>
    <w:p>
      <w:pPr>
        <w:pStyle w:val="ListParagraph"/>
        <w:numPr>
          <w:ilvl w:val="0"/>
          <w:numId w:val="1"/>
        </w:numPr>
        <w:spacing w:after="60"/>
      </w:pPr>
      <w:r>
        <w:rPr>
          <w:sz w:val="21"/>
          <w:szCs w:val="21"/>
        </w:rPr>
        <w:t xml:space="preserve">Technology is the highest-revenue category at $827,456 over four years, ahead of Furniture ($728,659) and Office Supplies ($705,422).</w:t>
      </w:r>
    </w:p>
    <w:p>
      <w:pPr>
        <w:pStyle w:val="ListParagraph"/>
        <w:numPr>
          <w:ilvl w:val="0"/>
          <w:numId w:val="1"/>
        </w:numPr>
        <w:spacing w:after="60"/>
      </w:pPr>
      <w:r>
        <w:rPr>
          <w:sz w:val="21"/>
          <w:szCs w:val="21"/>
        </w:rPr>
        <w:t xml:space="preserve">The East region shows the most consistent year-over-year growth of any region, growing every year with the least volatility.</w:t>
      </w:r>
    </w:p>
    <w:p>
      <w:pPr>
        <w:pStyle w:val="ListParagraph"/>
        <w:numPr>
          <w:ilvl w:val="0"/>
          <w:numId w:val="1"/>
        </w:numPr>
        <w:spacing w:after="60"/>
      </w:pPr>
      <w:r>
        <w:rPr>
          <w:sz w:val="21"/>
          <w:szCs w:val="21"/>
        </w:rPr>
        <w:t xml:space="preserve">Average time from order to shipment is 3.96 days company-wide, and this barely varies by region (a spread of about 0.16 days), so shipping speed is not a regional problem area.</w:t>
      </w:r>
    </w:p>
    <w:p>
      <w:pPr>
        <w:pStyle w:val="ListParagraph"/>
        <w:numPr>
          <w:ilvl w:val="0"/>
          <w:numId w:val="1"/>
        </w:numPr>
        <w:spacing w:after="60"/>
      </w:pPr>
      <w:r>
        <w:rPr>
          <w:sz w:val="21"/>
          <w:szCs w:val="21"/>
        </w:rPr>
        <w:t xml:space="preserve">Sales are seasonal: November, September, and December are reliably the strongest months every year, consistent with back-to-school and holiday shopping periods.</w:t>
      </w:r>
    </w:p>
    <w:p>
      <w:pPr>
        <w:pStyle w:val="ListParagraph"/>
        <w:numPr>
          <w:ilvl w:val="0"/>
          <w:numId w:val="1"/>
        </w:numPr>
        <w:spacing w:after="60"/>
      </w:pPr>
      <w:r>
        <w:rPr>
          <w:sz w:val="21"/>
          <w:szCs w:val="21"/>
        </w:rPr>
        <w:t xml:space="preserve">Three forecasting approaches (SARIMA, Prophet, and XGBoost) were tested head-to-head on 3 real held-out months. SARIMA produced the lowest overall error (RMSE) and is the recommended model for production forecasting, though XGBoost was a close second on average error and is worth revisiting as more data accumulates.</w:t>
      </w:r>
    </w:p>
    <w:p>
      <w:pPr>
        <w:pStyle w:val="Heading1"/>
        <w:spacing w:after="100" w:before="240"/>
      </w:pPr>
      <w:r>
        <w:t xml:space="preserve">3-Month Sales Forecast</w:t>
      </w:r>
    </w:p>
    <w:p>
      <w:pPr>
        <w:spacing w:after="120"/>
      </w:pPr>
      <w:r>
        <w:rPr>
          <w:sz w:val="21"/>
          <w:szCs w:val="21"/>
        </w:rPr>
        <w:t xml:space="preserve">In plain terms: next month's sales are expected to land somewhere between $17,000 and $76,600, most likely around $46,800. The two months after that follow the same wide-but-centered pattern, with the third month's forecast being notably higher, consistent with the historical December sales spike.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800"/>
      </w:tblGrid>
      <w:tr>
        <w:tc>
          <w:tcPr>
            <w:tcW w:type="dxa" w:w="3400"/>
            <w:shd w:fill="234E70" w:val="clear"/>
          </w:tcPr>
          <w:p>
            <w:r>
              <w:rPr>
                <w:b/>
                <w:bCs/>
                <w:color w:val="FFFFFF"/>
                <w:sz w:val="19"/>
                <w:szCs w:val="19"/>
              </w:rPr>
              <w:t xml:space="preserve">Month</w:t>
            </w:r>
          </w:p>
        </w:tc>
        <w:tc>
          <w:tcPr>
            <w:tcW w:type="dxa" w:w="2600"/>
            <w:shd w:fill="234E70" w:val="clear"/>
          </w:tcPr>
          <w:p>
            <w:r>
              <w:rPr>
                <w:b/>
                <w:bCs/>
                <w:color w:val="FFFFFF"/>
                <w:sz w:val="19"/>
                <w:szCs w:val="19"/>
              </w:rPr>
              <w:t xml:space="preserve">Expected Sales</w:t>
            </w:r>
          </w:p>
        </w:tc>
        <w:tc>
          <w:tcPr>
            <w:tcW w:type="dxa" w:w="3800"/>
            <w:shd w:fill="234E70" w:val="clear"/>
          </w:tcPr>
          <w:p>
            <w:r>
              <w:rPr>
                <w:b/>
                <w:bCs/>
                <w:color w:val="FFFFFF"/>
                <w:sz w:val="19"/>
                <w:szCs w:val="19"/>
              </w:rPr>
              <w:t xml:space="preserve">Likely Range (95% confidence)</w:t>
            </w:r>
          </w:p>
        </w:tc>
      </w:tr>
      <w:tr>
        <w:tc>
          <w:tcPr>
            <w:tcW w:type="dxa" w:w="3400"/>
            <w:shd w:fill="F7FAFC" w:val="clear"/>
          </w:tcPr>
          <w:p>
            <w:r>
              <w:rPr>
                <w:b w:val="false"/>
                <w:bCs w:val="false"/>
                <w:sz w:val="19"/>
                <w:szCs w:val="19"/>
              </w:rPr>
              <w:t xml:space="preserve">January 2019</w:t>
            </w:r>
          </w:p>
        </w:tc>
        <w:tc>
          <w:tcPr>
            <w:tcW w:type="dxa" w:w="2600"/>
            <w:shd w:fill="F7FAFC" w:val="clear"/>
          </w:tcPr>
          <w:p>
            <w:r>
              <w:rPr>
                <w:b w:val="false"/>
                <w:bCs w:val="false"/>
                <w:sz w:val="19"/>
                <w:szCs w:val="19"/>
              </w:rPr>
              <w:t xml:space="preserve">$46,782</w:t>
            </w:r>
          </w:p>
        </w:tc>
        <w:tc>
          <w:tcPr>
            <w:tcW w:type="dxa" w:w="3800"/>
            <w:shd w:fill="F7FAFC" w:val="clear"/>
          </w:tcPr>
          <w:p>
            <w:r>
              <w:rPr>
                <w:b w:val="false"/>
                <w:bCs w:val="false"/>
                <w:sz w:val="19"/>
                <w:szCs w:val="19"/>
              </w:rPr>
              <w:t xml:space="preserve">$16,993  to  $76,572</w:t>
            </w:r>
          </w:p>
        </w:tc>
      </w:tr>
      <w:tr>
        <w:tc>
          <w:tcPr>
            <w:tcW w:type="dxa" w:w="3400"/>
            <w:shd w:fill="FFFFFF" w:val="clear"/>
          </w:tcPr>
          <w:p>
            <w:r>
              <w:rPr>
                <w:b w:val="false"/>
                <w:bCs w:val="false"/>
                <w:sz w:val="19"/>
                <w:szCs w:val="19"/>
              </w:rPr>
              <w:t xml:space="preserve">February 2019</w:t>
            </w:r>
          </w:p>
        </w:tc>
        <w:tc>
          <w:tcPr>
            <w:tcW w:type="dxa" w:w="2600"/>
            <w:shd w:fill="FFFFFF" w:val="clear"/>
          </w:tcPr>
          <w:p>
            <w:r>
              <w:rPr>
                <w:b w:val="false"/>
                <w:bCs w:val="false"/>
                <w:sz w:val="19"/>
                <w:szCs w:val="19"/>
              </w:rPr>
              <w:t xml:space="preserve">$40,285</w:t>
            </w:r>
          </w:p>
        </w:tc>
        <w:tc>
          <w:tcPr>
            <w:tcW w:type="dxa" w:w="3800"/>
            <w:shd w:fill="FFFFFF" w:val="clear"/>
          </w:tcPr>
          <w:p>
            <w:r>
              <w:rPr>
                <w:b w:val="false"/>
                <w:bCs w:val="false"/>
                <w:sz w:val="19"/>
                <w:szCs w:val="19"/>
              </w:rPr>
              <w:t xml:space="preserve">$9,596  to  $70,975</w:t>
            </w:r>
          </w:p>
        </w:tc>
      </w:tr>
      <w:tr>
        <w:tc>
          <w:tcPr>
            <w:tcW w:type="dxa" w:w="3400"/>
            <w:shd w:fill="F7FAFC" w:val="clear"/>
          </w:tcPr>
          <w:p>
            <w:r>
              <w:rPr>
                <w:b w:val="false"/>
                <w:bCs w:val="false"/>
                <w:sz w:val="19"/>
                <w:szCs w:val="19"/>
              </w:rPr>
              <w:t xml:space="preserve">March 2019</w:t>
            </w:r>
          </w:p>
        </w:tc>
        <w:tc>
          <w:tcPr>
            <w:tcW w:type="dxa" w:w="2600"/>
            <w:shd w:fill="F7FAFC" w:val="clear"/>
          </w:tcPr>
          <w:p>
            <w:r>
              <w:rPr>
                <w:b w:val="false"/>
                <w:bCs w:val="false"/>
                <w:sz w:val="19"/>
                <w:szCs w:val="19"/>
              </w:rPr>
              <w:t xml:space="preserve">$72,234</w:t>
            </w:r>
          </w:p>
        </w:tc>
        <w:tc>
          <w:tcPr>
            <w:tcW w:type="dxa" w:w="3800"/>
            <w:shd w:fill="F7FAFC" w:val="clear"/>
          </w:tcPr>
          <w:p>
            <w:r>
              <w:rPr>
                <w:b w:val="false"/>
                <w:bCs w:val="false"/>
                <w:sz w:val="19"/>
                <w:szCs w:val="19"/>
              </w:rPr>
              <w:t xml:space="preserve">$41,319  to  $103,150</w:t>
            </w:r>
          </w:p>
        </w:tc>
      </w:tr>
    </w:tbl>
    <w:p>
      <w:pPr>
        <w:spacing w:after="120"/>
      </w:pPr>
      <w:r>
        <w:rPr>
          <w:sz w:val="21"/>
          <w:szCs w:val="21"/>
        </w:rPr>
        <w:t xml:space="preserve">The wide ranges reflect real month-to-month unpredictability in the underlying data. They should be read as planning bands, not precise targets.</w:t>
      </w:r>
    </w:p>
    <w:p>
      <w:pPr>
        <w:pStyle w:val="Heading1"/>
        <w:spacing w:after="100" w:before="240"/>
      </w:pPr>
      <w:r>
        <w:t xml:space="preserve">Top Anomalies Detected</w:t>
      </w:r>
    </w:p>
    <w:p>
      <w:pPr>
        <w:pStyle w:val="ListParagraph"/>
        <w:numPr>
          <w:ilvl w:val="0"/>
          <w:numId w:val="1"/>
        </w:numPr>
        <w:spacing w:after="60"/>
      </w:pPr>
      <w:r>
        <w:rPr>
          <w:sz w:val="21"/>
          <w:szCs w:val="21"/>
        </w:rPr>
        <w:t xml:space="preserve">March 22, 2015: sales spiked to $37,704 in a single week, well above the normal range for that time of year. Most likely a single large bulk order rather than a broad demand shift.</w:t>
      </w:r>
    </w:p>
    <w:p>
      <w:pPr>
        <w:pStyle w:val="ListParagraph"/>
        <w:numPr>
          <w:ilvl w:val="0"/>
          <w:numId w:val="1"/>
        </w:numPr>
        <w:spacing w:after="60"/>
      </w:pPr>
      <w:r>
        <w:rPr>
          <w:sz w:val="21"/>
          <w:szCs w:val="21"/>
        </w:rPr>
        <w:t xml:space="preserve">December 2, 2018: sales reached $35,999, consistent with post-Black-Friday and holiday promotional activity carrying into early December.</w:t>
      </w:r>
    </w:p>
    <w:p>
      <w:pPr>
        <w:pStyle w:val="ListParagraph"/>
        <w:numPr>
          <w:ilvl w:val="0"/>
          <w:numId w:val="1"/>
        </w:numPr>
        <w:spacing w:after="60"/>
      </w:pPr>
      <w:r>
        <w:rPr>
          <w:sz w:val="21"/>
          <w:szCs w:val="21"/>
        </w:rPr>
        <w:t xml:space="preserve">November 18, 2018: sales reached $30,572, consistent with Black Friday and holiday-season shopping.</w:t>
      </w:r>
    </w:p>
    <w:p>
      <w:pPr>
        <w:pStyle w:val="Heading1"/>
        <w:spacing w:after="100" w:before="240"/>
      </w:pPr>
      <w:r>
        <w:t xml:space="preserve">Product Demand Segmentation</w:t>
      </w:r>
    </w:p>
    <w:p>
      <w:pPr>
        <w:spacing w:after="120"/>
      </w:pPr>
      <w:r>
        <w:rPr>
          <w:sz w:val="21"/>
          <w:szCs w:val="21"/>
        </w:rPr>
        <w:t xml:space="preserve">All 17 product sub-categories were grouped into four demand behaviors: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234E70" w:val="clear"/>
          </w:tcPr>
          <w:p>
            <w:r>
              <w:rPr>
                <w:b/>
                <w:bCs/>
                <w:color w:val="FFFFFF"/>
                <w:sz w:val="19"/>
                <w:szCs w:val="19"/>
              </w:rPr>
              <w:t xml:space="preserve">Segment</w:t>
            </w:r>
          </w:p>
        </w:tc>
        <w:tc>
          <w:tcPr>
            <w:tcW w:type="dxa" w:w="3600"/>
            <w:shd w:fill="234E70" w:val="clear"/>
          </w:tcPr>
          <w:p>
            <w:r>
              <w:rPr>
                <w:b/>
                <w:bCs/>
                <w:color w:val="FFFFFF"/>
                <w:sz w:val="19"/>
                <w:szCs w:val="19"/>
              </w:rPr>
              <w:t xml:space="preserve">Sub-Categories</w:t>
            </w:r>
          </w:p>
        </w:tc>
        <w:tc>
          <w:tcPr>
            <w:tcW w:type="dxa" w:w="3600"/>
            <w:shd w:fill="234E70" w:val="clear"/>
          </w:tcPr>
          <w:p>
            <w:r>
              <w:rPr>
                <w:b/>
                <w:bCs/>
                <w:color w:val="FFFFFF"/>
                <w:sz w:val="19"/>
                <w:szCs w:val="19"/>
              </w:rPr>
              <w:t xml:space="preserve">Recommended Stocking Strategy</w:t>
            </w:r>
          </w:p>
        </w:tc>
      </w:tr>
      <w:tr>
        <w:tc>
          <w:tcPr>
            <w:tcW w:type="dxa" w:w="2600"/>
            <w:shd w:fill="F7FAFC" w:val="clear"/>
          </w:tcPr>
          <w:p>
            <w:r>
              <w:rPr>
                <w:b w:val="false"/>
                <w:bCs w:val="false"/>
                <w:sz w:val="19"/>
                <w:szCs w:val="19"/>
              </w:rPr>
              <w:t xml:space="preserve">High Volume, Stable Demand</w:t>
            </w:r>
          </w:p>
        </w:tc>
        <w:tc>
          <w:tcPr>
            <w:tcW w:type="dxa" w:w="3600"/>
            <w:shd w:fill="F7FAFC" w:val="clear"/>
          </w:tcPr>
          <w:p>
            <w:r>
              <w:rPr>
                <w:b w:val="false"/>
                <w:bCs w:val="false"/>
                <w:sz w:val="19"/>
                <w:szCs w:val="19"/>
              </w:rPr>
              <w:t xml:space="preserve">Chairs, Tables, Phones, Storage, Accessories, Binders</w:t>
            </w:r>
          </w:p>
        </w:tc>
        <w:tc>
          <w:tcPr>
            <w:tcW w:type="dxa" w:w="3600"/>
            <w:shd w:fill="F7FAFC" w:val="clear"/>
          </w:tcPr>
          <w:p>
            <w:r>
              <w:rPr>
                <w:b w:val="false"/>
                <w:bCs w:val="false"/>
                <w:sz w:val="19"/>
                <w:szCs w:val="19"/>
              </w:rPr>
              <w:t xml:space="preserve">Keep steady safety stock with simple reorder-point replenishment. Stockouts here are the most costly.</w:t>
            </w:r>
          </w:p>
        </w:tc>
      </w:tr>
      <w:tr>
        <w:tc>
          <w:tcPr>
            <w:tcW w:type="dxa" w:w="2600"/>
            <w:shd w:fill="FFFFFF" w:val="clear"/>
          </w:tcPr>
          <w:p>
            <w:r>
              <w:rPr>
                <w:b w:val="false"/>
                <w:bCs w:val="false"/>
                <w:sz w:val="19"/>
                <w:szCs w:val="19"/>
              </w:rPr>
              <w:t xml:space="preserve">Growing Demand</w:t>
            </w:r>
          </w:p>
        </w:tc>
        <w:tc>
          <w:tcPr>
            <w:tcW w:type="dxa" w:w="3600"/>
            <w:shd w:fill="FFFFFF" w:val="clear"/>
          </w:tcPr>
          <w:p>
            <w:r>
              <w:rPr>
                <w:b w:val="false"/>
                <w:bCs w:val="false"/>
                <w:sz w:val="19"/>
                <w:szCs w:val="19"/>
              </w:rPr>
              <w:t xml:space="preserve">Bookcases, Labels, Art, Furnishings, Envelopes, Fasteners, Paper, Appliances, Supplies</w:t>
            </w:r>
          </w:p>
        </w:tc>
        <w:tc>
          <w:tcPr>
            <w:tcW w:type="dxa" w:w="3600"/>
            <w:shd w:fill="FFFFFF" w:val="clear"/>
          </w:tcPr>
          <w:p>
            <w:r>
              <w:rPr>
                <w:b w:val="false"/>
                <w:bCs w:val="false"/>
                <w:sz w:val="19"/>
                <w:szCs w:val="19"/>
              </w:rPr>
              <w:t xml:space="preserve">Increase stock ahead of the trend rather than reacting after shortages appear.</w:t>
            </w:r>
          </w:p>
        </w:tc>
      </w:tr>
      <w:tr>
        <w:tc>
          <w:tcPr>
            <w:tcW w:type="dxa" w:w="2600"/>
            <w:shd w:fill="F7FAFC" w:val="clear"/>
          </w:tcPr>
          <w:p>
            <w:r>
              <w:rPr>
                <w:b w:val="false"/>
                <w:bCs w:val="false"/>
                <w:sz w:val="19"/>
                <w:szCs w:val="19"/>
              </w:rPr>
              <w:t xml:space="preserve">Declining Demand</w:t>
            </w:r>
          </w:p>
        </w:tc>
        <w:tc>
          <w:tcPr>
            <w:tcW w:type="dxa" w:w="3600"/>
            <w:shd w:fill="F7FAFC" w:val="clear"/>
          </w:tcPr>
          <w:p>
            <w:r>
              <w:rPr>
                <w:b w:val="false"/>
                <w:bCs w:val="false"/>
                <w:sz w:val="19"/>
                <w:szCs w:val="19"/>
              </w:rPr>
              <w:t xml:space="preserve">Machines</w:t>
            </w:r>
          </w:p>
        </w:tc>
        <w:tc>
          <w:tcPr>
            <w:tcW w:type="dxa" w:w="3600"/>
            <w:shd w:fill="F7FAFC" w:val="clear"/>
          </w:tcPr>
          <w:p>
            <w:r>
              <w:rPr>
                <w:b w:val="false"/>
                <w:bCs w:val="false"/>
                <w:sz w:val="19"/>
                <w:szCs w:val="19"/>
              </w:rPr>
              <w:t xml:space="preserve">Wind down stock deliberately and avoid large reorders.</w:t>
            </w:r>
          </w:p>
        </w:tc>
      </w:tr>
      <w:tr>
        <w:tc>
          <w:tcPr>
            <w:tcW w:type="dxa" w:w="2600"/>
            <w:shd w:fill="FFFFFF" w:val="clear"/>
          </w:tcPr>
          <w:p>
            <w:r>
              <w:rPr>
                <w:b w:val="false"/>
                <w:bCs w:val="false"/>
                <w:sz w:val="19"/>
                <w:szCs w:val="19"/>
              </w:rPr>
              <w:t xml:space="preserve">Low Volume, High Volatility</w:t>
            </w:r>
          </w:p>
        </w:tc>
        <w:tc>
          <w:tcPr>
            <w:tcW w:type="dxa" w:w="3600"/>
            <w:shd w:fill="FFFFFF" w:val="clear"/>
          </w:tcPr>
          <w:p>
            <w:r>
              <w:rPr>
                <w:b w:val="false"/>
                <w:bCs w:val="false"/>
                <w:sz w:val="19"/>
                <w:szCs w:val="19"/>
              </w:rPr>
              <w:t xml:space="preserve">Copiers</w:t>
            </w:r>
          </w:p>
        </w:tc>
        <w:tc>
          <w:tcPr>
            <w:tcW w:type="dxa" w:w="3600"/>
            <w:shd w:fill="FFFFFF" w:val="clear"/>
          </w:tcPr>
          <w:p>
            <w:r>
              <w:rPr>
                <w:b w:val="false"/>
                <w:bCs w:val="false"/>
                <w:sz w:val="19"/>
                <w:szCs w:val="19"/>
              </w:rPr>
              <w:t xml:space="preserve">Stock conservatively and reorder in smaller, more frequent batches.</w:t>
            </w:r>
          </w:p>
        </w:tc>
      </w:tr>
    </w:tbl>
    <w:p>
      <w:pPr>
        <w:pStyle w:val="Heading1"/>
        <w:spacing w:after="100" w:before="240"/>
      </w:pPr>
      <w:r>
        <w:t xml:space="preserve">Business Recommendations</w:t>
      </w:r>
    </w:p>
    <w:p>
      <w:pPr>
        <w:pStyle w:val="ListParagraph"/>
        <w:numPr>
          <w:ilvl w:val="0"/>
          <w:numId w:val="1"/>
        </w:numPr>
        <w:spacing w:after="60"/>
      </w:pPr>
      <w:r>
        <w:rPr>
          <w:sz w:val="21"/>
          <w:szCs w:val="21"/>
        </w:rPr>
        <w:t xml:space="preserve">Prioritize Technology inventory and marketing investment: it is both the current top revenue category and the only major category the model projects to keep growing (+7.3% versus its last actual month), while Furniture, Office Supplies, and the West and East regions are all projected to soften over the same period.</w:t>
      </w:r>
    </w:p>
    <w:p>
      <w:pPr>
        <w:pStyle w:val="ListParagraph"/>
        <w:numPr>
          <w:ilvl w:val="0"/>
          <w:numId w:val="1"/>
        </w:numPr>
        <w:spacing w:after="60"/>
      </w:pPr>
      <w:r>
        <w:rPr>
          <w:sz w:val="21"/>
          <w:szCs w:val="21"/>
        </w:rPr>
        <w:t xml:space="preserve">Build a formal pre-holiday stocking plan for October through December: three separate lines of evidence (seasonal decomposition, the month-ranking analysis, and the anomaly detections themselves) all point to November and December as reliably the highest-risk, highest-opportunity months for stockouts.</w:t>
      </w:r>
    </w:p>
    <w:p>
      <w:pPr>
        <w:pStyle w:val="ListParagraph"/>
        <w:numPr>
          <w:ilvl w:val="0"/>
          <w:numId w:val="1"/>
        </w:numPr>
        <w:spacing w:after="60"/>
      </w:pPr>
      <w:r>
        <w:rPr>
          <w:sz w:val="21"/>
          <w:szCs w:val="21"/>
        </w:rPr>
        <w:t xml:space="preserve">Apply the four-segment stocking strategy above at the purchasing level, especially pulling Machines and Copiers out of standard bulk-reorder cycles, carrying them the same way as fast-moving items like Chairs or Phones is very likely tying up capital in slow-moving stock.</w:t>
      </w:r>
    </w:p>
    <w:p>
      <w:pPr>
        <w:pStyle w:val="Heading1"/>
        <w:spacing w:after="100" w:before="240"/>
      </w:pPr>
      <w:r>
        <w:t xml:space="preserve">Risk &amp; Limitation</w:t>
      </w:r>
    </w:p>
    <w:p>
      <w:pPr>
        <w:spacing w:after="120"/>
      </w:pPr>
      <w:r>
        <w:rPr>
          <w:sz w:val="21"/>
          <w:szCs w:val="21"/>
        </w:rPr>
        <w:t xml:space="preserve">This system forecasts total company-wide and per-segment sales, it does not yet forecast at the individual SKU level, and the confidence ranges above are genuinely wide (a roughly 2x spread between the low and high end of each month). It should inform stocking direction and safety-stock sizing, not be used as a precise unit-level order quantity. As more months of real sales data accumulate, these ranges will narrow and the model should be retrained regularly, at least quarterly, to stay accurate.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2026-07-03T19:44:18.801Z</dcterms:created>
  <dcterms:modified xsi:type="dcterms:W3CDTF">2026-07-03T19:44:18.801Z</dcterms:modified>
</cp:coreProperties>
</file>

<file path=docProps/custom.xml><?xml version="1.0" encoding="utf-8"?>
<Properties xmlns="http://schemas.openxmlformats.org/officeDocument/2006/custom-properties" xmlns:vt="http://schemas.openxmlformats.org/officeDocument/2006/docPropsVTypes"/>
</file>