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F4D78"/>
          <w:sz w:val="48"/>
        </w:rPr>
        <w:t>CoinDCX INR-M Futures Bot</w:t>
      </w:r>
    </w:p>
    <w:p>
      <w:pPr>
        <w:spacing w:after="320"/>
      </w:pPr>
      <w:r>
        <w:rPr>
          <w:rFonts w:ascii="Calibri" w:hAnsi="Calibri"/>
          <w:color w:val="536075"/>
          <w:sz w:val="22"/>
        </w:rPr>
        <w:t>Position sizing, margin, notional, quantity, fees, and risk explained using your current dashboard setup</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shd w:fill="EAF4FF"/>
          </w:tcPr>
          <w:p>
            <w:pPr>
              <w:spacing w:after="80"/>
            </w:pPr>
            <w:r>
              <w:rPr>
                <w:rFonts w:ascii="Calibri" w:hAnsi="Calibri"/>
                <w:b/>
                <w:color w:val="1F4D78"/>
                <w:sz w:val="22"/>
              </w:rPr>
              <w:t>The one-line answer</w:t>
            </w:r>
          </w:p>
          <w:p>
            <w:pPr>
              <w:spacing w:after="0"/>
            </w:pPr>
            <w:r>
              <w:rPr>
                <w:rFonts w:ascii="Calibri" w:hAnsi="Calibri"/>
                <w:color w:val="121826"/>
                <w:sz w:val="20"/>
              </w:rPr>
              <w:t>The bot does not invest your full Rs. 10,000 in one trade. With your current setup, it first decides the maximum planned loss per trade, then calculates quantity, then checks whether the required margin is allowed.</w:t>
            </w:r>
          </w:p>
        </w:tc>
      </w:tr>
    </w:tbl>
    <w:p/>
    <w:p>
      <w:pPr>
        <w:pStyle w:val="Heading1"/>
      </w:pPr>
      <w:r>
        <w:rPr>
          <w:rFonts w:ascii="Calibri" w:hAnsi="Calibri"/>
          <w:color w:val="2E74B5"/>
        </w:rPr>
        <w:t>1. Your Current Dashboard Setup</w:t>
      </w:r>
    </w:p>
    <w:tbl>
      <w:tblPr>
        <w:tblStyle w:val="TableGrid"/>
        <w:tblW w:type="dxa" w:w="9360"/>
        <w:jc w:val="center"/>
        <w:tblLayout w:type="fixed"/>
        <w:tblLook w:firstColumn="1" w:firstRow="1" w:lastColumn="0" w:lastRow="0" w:noHBand="0" w:noVBand="1" w:val="04A0"/>
        <w:tblInd w:w="120" w:type="dxa"/>
      </w:tblPr>
      <w:tblGrid>
        <w:gridCol w:w="2100"/>
        <w:gridCol w:w="1600"/>
        <w:gridCol w:w="5660"/>
      </w:tblGrid>
      <w:tr>
        <w:tc>
          <w:tcPr>
            <w:tcW w:type="dxa" w:w="2100"/>
            <w:vAlign w:val="center"/>
            <w:shd w:fill="F2F4F7"/>
          </w:tcPr>
          <w:p>
            <w:pPr>
              <w:spacing w:after="0"/>
            </w:pPr>
            <w:r/>
            <w:r>
              <w:rPr>
                <w:rFonts w:ascii="Calibri" w:hAnsi="Calibri"/>
                <w:b/>
                <w:color w:val="121826"/>
                <w:sz w:val="20"/>
              </w:rPr>
              <w:t>Dashboard field</w:t>
            </w:r>
          </w:p>
        </w:tc>
        <w:tc>
          <w:tcPr>
            <w:tcW w:type="dxa" w:w="1600"/>
            <w:vAlign w:val="center"/>
            <w:shd w:fill="F2F4F7"/>
          </w:tcPr>
          <w:p>
            <w:pPr>
              <w:spacing w:after="0"/>
            </w:pPr>
            <w:r/>
            <w:r>
              <w:rPr>
                <w:rFonts w:ascii="Calibri" w:hAnsi="Calibri"/>
                <w:b/>
                <w:color w:val="121826"/>
                <w:sz w:val="20"/>
              </w:rPr>
              <w:t>Current value</w:t>
            </w:r>
          </w:p>
        </w:tc>
        <w:tc>
          <w:tcPr>
            <w:tcW w:type="dxa" w:w="5660"/>
            <w:vAlign w:val="center"/>
            <w:shd w:fill="F2F4F7"/>
          </w:tcPr>
          <w:p>
            <w:pPr>
              <w:spacing w:after="0"/>
            </w:pPr>
            <w:r/>
            <w:r>
              <w:rPr>
                <w:rFonts w:ascii="Calibri" w:hAnsi="Calibri"/>
                <w:b/>
                <w:color w:val="121826"/>
                <w:sz w:val="20"/>
              </w:rPr>
              <w:t>What it means</w:t>
            </w:r>
          </w:p>
        </w:tc>
      </w:tr>
      <w:tr>
        <w:tc>
          <w:tcPr>
            <w:tcW w:type="dxa" w:w="2100"/>
          </w:tcPr>
          <w:p>
            <w:pPr>
              <w:spacing w:after="0"/>
            </w:pPr>
            <w:r/>
            <w:r>
              <w:rPr>
                <w:rFonts w:ascii="Calibri" w:hAnsi="Calibri"/>
                <w:b w:val="0"/>
                <w:sz w:val="20"/>
              </w:rPr>
              <w:t>Starting Equity</w:t>
            </w:r>
          </w:p>
        </w:tc>
        <w:tc>
          <w:tcPr>
            <w:tcW w:type="dxa" w:w="1600"/>
          </w:tcPr>
          <w:p>
            <w:pPr>
              <w:spacing w:after="0"/>
            </w:pPr>
            <w:r/>
            <w:r>
              <w:rPr>
                <w:rFonts w:ascii="Calibri" w:hAnsi="Calibri"/>
                <w:b w:val="0"/>
                <w:sz w:val="20"/>
              </w:rPr>
              <w:t>Rs. 10,000</w:t>
            </w:r>
          </w:p>
        </w:tc>
        <w:tc>
          <w:tcPr>
            <w:tcW w:type="dxa" w:w="5660"/>
          </w:tcPr>
          <w:p>
            <w:pPr>
              <w:spacing w:after="0"/>
            </w:pPr>
            <w:r/>
            <w:r>
              <w:rPr>
                <w:rFonts w:ascii="Calibri" w:hAnsi="Calibri"/>
                <w:b w:val="0"/>
                <w:sz w:val="20"/>
              </w:rPr>
              <w:t>The paper account balance used as the capital base.</w:t>
            </w:r>
          </w:p>
        </w:tc>
      </w:tr>
      <w:tr>
        <w:tc>
          <w:tcPr>
            <w:tcW w:type="dxa" w:w="2100"/>
          </w:tcPr>
          <w:p>
            <w:pPr>
              <w:spacing w:after="0"/>
            </w:pPr>
            <w:r/>
            <w:r>
              <w:rPr>
                <w:rFonts w:ascii="Calibri" w:hAnsi="Calibri"/>
                <w:b w:val="0"/>
                <w:sz w:val="20"/>
              </w:rPr>
              <w:t>Risk / Trade</w:t>
            </w:r>
          </w:p>
        </w:tc>
        <w:tc>
          <w:tcPr>
            <w:tcW w:type="dxa" w:w="1600"/>
          </w:tcPr>
          <w:p>
            <w:pPr>
              <w:spacing w:after="0"/>
            </w:pPr>
            <w:r/>
            <w:r>
              <w:rPr>
                <w:rFonts w:ascii="Calibri" w:hAnsi="Calibri"/>
                <w:b w:val="0"/>
                <w:sz w:val="20"/>
              </w:rPr>
              <w:t>3%</w:t>
            </w:r>
          </w:p>
        </w:tc>
        <w:tc>
          <w:tcPr>
            <w:tcW w:type="dxa" w:w="5660"/>
          </w:tcPr>
          <w:p>
            <w:pPr>
              <w:spacing w:after="0"/>
            </w:pPr>
            <w:r/>
            <w:r>
              <w:rPr>
                <w:rFonts w:ascii="Calibri" w:hAnsi="Calibri"/>
                <w:b w:val="0"/>
                <w:sz w:val="20"/>
              </w:rPr>
              <w:t>Normal trades may risk up to Rs. 300 if the stop-loss is hit.</w:t>
            </w:r>
          </w:p>
        </w:tc>
      </w:tr>
      <w:tr>
        <w:tc>
          <w:tcPr>
            <w:tcW w:type="dxa" w:w="2100"/>
          </w:tcPr>
          <w:p>
            <w:pPr>
              <w:spacing w:after="0"/>
            </w:pPr>
            <w:r/>
            <w:r>
              <w:rPr>
                <w:rFonts w:ascii="Calibri" w:hAnsi="Calibri"/>
                <w:b w:val="0"/>
                <w:sz w:val="20"/>
              </w:rPr>
              <w:t>Leverage</w:t>
            </w:r>
          </w:p>
        </w:tc>
        <w:tc>
          <w:tcPr>
            <w:tcW w:type="dxa" w:w="1600"/>
          </w:tcPr>
          <w:p>
            <w:pPr>
              <w:spacing w:after="0"/>
            </w:pPr>
            <w:r/>
            <w:r>
              <w:rPr>
                <w:rFonts w:ascii="Calibri" w:hAnsi="Calibri"/>
                <w:b w:val="0"/>
                <w:sz w:val="20"/>
              </w:rPr>
              <w:t>5x</w:t>
            </w:r>
          </w:p>
        </w:tc>
        <w:tc>
          <w:tcPr>
            <w:tcW w:type="dxa" w:w="5660"/>
          </w:tcPr>
          <w:p>
            <w:pPr>
              <w:spacing w:after="0"/>
            </w:pPr>
            <w:r/>
            <w:r>
              <w:rPr>
                <w:rFonts w:ascii="Calibri" w:hAnsi="Calibri"/>
                <w:b w:val="0"/>
                <w:sz w:val="20"/>
              </w:rPr>
              <w:t>The position value can be up to 5 times the margin used.</w:t>
            </w:r>
          </w:p>
        </w:tc>
      </w:tr>
      <w:tr>
        <w:tc>
          <w:tcPr>
            <w:tcW w:type="dxa" w:w="2100"/>
          </w:tcPr>
          <w:p>
            <w:pPr>
              <w:spacing w:after="0"/>
            </w:pPr>
            <w:r/>
            <w:r>
              <w:rPr>
                <w:rFonts w:ascii="Calibri" w:hAnsi="Calibri"/>
                <w:b w:val="0"/>
                <w:sz w:val="20"/>
              </w:rPr>
              <w:t>Max Daily Loss</w:t>
            </w:r>
          </w:p>
        </w:tc>
        <w:tc>
          <w:tcPr>
            <w:tcW w:type="dxa" w:w="1600"/>
          </w:tcPr>
          <w:p>
            <w:pPr>
              <w:spacing w:after="0"/>
            </w:pPr>
            <w:r/>
            <w:r>
              <w:rPr>
                <w:rFonts w:ascii="Calibri" w:hAnsi="Calibri"/>
                <w:b w:val="0"/>
                <w:sz w:val="20"/>
              </w:rPr>
              <w:t>10%</w:t>
            </w:r>
          </w:p>
        </w:tc>
        <w:tc>
          <w:tcPr>
            <w:tcW w:type="dxa" w:w="5660"/>
          </w:tcPr>
          <w:p>
            <w:pPr>
              <w:spacing w:after="0"/>
            </w:pPr>
            <w:r/>
            <w:r>
              <w:rPr>
                <w:rFonts w:ascii="Calibri" w:hAnsi="Calibri"/>
                <w:b w:val="0"/>
                <w:sz w:val="20"/>
              </w:rPr>
              <w:t>Bot should stop new entries after roughly Rs. 1,000 daily loss.</w:t>
            </w:r>
          </w:p>
        </w:tc>
      </w:tr>
      <w:tr>
        <w:tc>
          <w:tcPr>
            <w:tcW w:type="dxa" w:w="2100"/>
          </w:tcPr>
          <w:p>
            <w:pPr>
              <w:spacing w:after="0"/>
            </w:pPr>
            <w:r/>
            <w:r>
              <w:rPr>
                <w:rFonts w:ascii="Calibri" w:hAnsi="Calibri"/>
                <w:b w:val="0"/>
                <w:sz w:val="20"/>
              </w:rPr>
              <w:t>Max Open Positions</w:t>
            </w:r>
          </w:p>
        </w:tc>
        <w:tc>
          <w:tcPr>
            <w:tcW w:type="dxa" w:w="1600"/>
          </w:tcPr>
          <w:p>
            <w:pPr>
              <w:spacing w:after="0"/>
            </w:pPr>
            <w:r/>
            <w:r>
              <w:rPr>
                <w:rFonts w:ascii="Calibri" w:hAnsi="Calibri"/>
                <w:b w:val="0"/>
                <w:sz w:val="20"/>
              </w:rPr>
              <w:t>3</w:t>
            </w:r>
          </w:p>
        </w:tc>
        <w:tc>
          <w:tcPr>
            <w:tcW w:type="dxa" w:w="5660"/>
          </w:tcPr>
          <w:p>
            <w:pPr>
              <w:spacing w:after="0"/>
            </w:pPr>
            <w:r/>
            <w:r>
              <w:rPr>
                <w:rFonts w:ascii="Calibri" w:hAnsi="Calibri"/>
                <w:b w:val="0"/>
                <w:sz w:val="20"/>
              </w:rPr>
              <w:t>Up to 3 open positions across the watchlist.</w:t>
            </w:r>
          </w:p>
        </w:tc>
      </w:tr>
      <w:tr>
        <w:tc>
          <w:tcPr>
            <w:tcW w:type="dxa" w:w="2100"/>
          </w:tcPr>
          <w:p>
            <w:pPr>
              <w:spacing w:after="0"/>
            </w:pPr>
            <w:r/>
            <w:r>
              <w:rPr>
                <w:rFonts w:ascii="Calibri" w:hAnsi="Calibri"/>
                <w:b w:val="0"/>
                <w:sz w:val="20"/>
              </w:rPr>
              <w:t>Max Margin</w:t>
            </w:r>
          </w:p>
        </w:tc>
        <w:tc>
          <w:tcPr>
            <w:tcW w:type="dxa" w:w="1600"/>
          </w:tcPr>
          <w:p>
            <w:pPr>
              <w:spacing w:after="0"/>
            </w:pPr>
            <w:r/>
            <w:r>
              <w:rPr>
                <w:rFonts w:ascii="Calibri" w:hAnsi="Calibri"/>
                <w:b w:val="0"/>
                <w:sz w:val="20"/>
              </w:rPr>
              <w:t>50%</w:t>
            </w:r>
          </w:p>
        </w:tc>
        <w:tc>
          <w:tcPr>
            <w:tcW w:type="dxa" w:w="5660"/>
          </w:tcPr>
          <w:p>
            <w:pPr>
              <w:spacing w:after="0"/>
            </w:pPr>
            <w:r/>
            <w:r>
              <w:rPr>
                <w:rFonts w:ascii="Calibri" w:hAnsi="Calibri"/>
                <w:b w:val="0"/>
                <w:sz w:val="20"/>
              </w:rPr>
              <w:t>Maximum total margin usage is Rs. 5,000 from Rs. 10,000 equity.</w:t>
            </w:r>
          </w:p>
        </w:tc>
      </w:tr>
      <w:tr>
        <w:tc>
          <w:tcPr>
            <w:tcW w:type="dxa" w:w="2100"/>
          </w:tcPr>
          <w:p>
            <w:pPr>
              <w:spacing w:after="0"/>
            </w:pPr>
            <w:r/>
            <w:r>
              <w:rPr>
                <w:rFonts w:ascii="Calibri" w:hAnsi="Calibri"/>
                <w:b w:val="0"/>
                <w:sz w:val="20"/>
              </w:rPr>
              <w:t>Multi-Pair</w:t>
            </w:r>
          </w:p>
        </w:tc>
        <w:tc>
          <w:tcPr>
            <w:tcW w:type="dxa" w:w="1600"/>
          </w:tcPr>
          <w:p>
            <w:pPr>
              <w:spacing w:after="0"/>
            </w:pPr>
            <w:r/>
            <w:r>
              <w:rPr>
                <w:rFonts w:ascii="Calibri" w:hAnsi="Calibri"/>
                <w:b w:val="0"/>
                <w:sz w:val="20"/>
              </w:rPr>
              <w:t>On</w:t>
            </w:r>
          </w:p>
        </w:tc>
        <w:tc>
          <w:tcPr>
            <w:tcW w:type="dxa" w:w="5660"/>
          </w:tcPr>
          <w:p>
            <w:pPr>
              <w:spacing w:after="0"/>
            </w:pPr>
            <w:r/>
            <w:r>
              <w:rPr>
                <w:rFonts w:ascii="Calibri" w:hAnsi="Calibri"/>
                <w:b w:val="0"/>
                <w:sz w:val="20"/>
              </w:rPr>
              <w:t>BSB and AXL can both be traded.</w:t>
            </w:r>
          </w:p>
        </w:tc>
      </w:tr>
      <w:tr>
        <w:tc>
          <w:tcPr>
            <w:tcW w:type="dxa" w:w="2100"/>
          </w:tcPr>
          <w:p>
            <w:pPr>
              <w:spacing w:after="0"/>
            </w:pPr>
            <w:r/>
            <w:r>
              <w:rPr>
                <w:rFonts w:ascii="Calibri" w:hAnsi="Calibri"/>
                <w:b w:val="0"/>
                <w:sz w:val="20"/>
              </w:rPr>
              <w:t>Pyramiding</w:t>
            </w:r>
          </w:p>
        </w:tc>
        <w:tc>
          <w:tcPr>
            <w:tcW w:type="dxa" w:w="1600"/>
          </w:tcPr>
          <w:p>
            <w:pPr>
              <w:spacing w:after="0"/>
            </w:pPr>
            <w:r/>
            <w:r>
              <w:rPr>
                <w:rFonts w:ascii="Calibri" w:hAnsi="Calibri"/>
                <w:b w:val="0"/>
                <w:sz w:val="20"/>
              </w:rPr>
              <w:t>Off</w:t>
            </w:r>
          </w:p>
        </w:tc>
        <w:tc>
          <w:tcPr>
            <w:tcW w:type="dxa" w:w="5660"/>
          </w:tcPr>
          <w:p>
            <w:pPr>
              <w:spacing w:after="0"/>
            </w:pPr>
            <w:r/>
            <w:r>
              <w:rPr>
                <w:rFonts w:ascii="Calibri" w:hAnsi="Calibri"/>
                <w:b w:val="0"/>
                <w:sz w:val="20"/>
              </w:rPr>
              <w:t>Bot should not keep adding to the same open pair.</w:t>
            </w:r>
          </w:p>
        </w:tc>
      </w:tr>
      <w:tr>
        <w:tc>
          <w:tcPr>
            <w:tcW w:type="dxa" w:w="2100"/>
          </w:tcPr>
          <w:p>
            <w:pPr>
              <w:spacing w:after="0"/>
            </w:pPr>
            <w:r/>
            <w:r>
              <w:rPr>
                <w:rFonts w:ascii="Calibri" w:hAnsi="Calibri"/>
                <w:b w:val="0"/>
                <w:sz w:val="20"/>
              </w:rPr>
              <w:t>Strategy Interval</w:t>
            </w:r>
          </w:p>
        </w:tc>
        <w:tc>
          <w:tcPr>
            <w:tcW w:type="dxa" w:w="1600"/>
          </w:tcPr>
          <w:p>
            <w:pPr>
              <w:spacing w:after="0"/>
            </w:pPr>
            <w:r/>
            <w:r>
              <w:rPr>
                <w:rFonts w:ascii="Calibri" w:hAnsi="Calibri"/>
                <w:b w:val="0"/>
                <w:sz w:val="20"/>
              </w:rPr>
              <w:t>5m</w:t>
            </w:r>
          </w:p>
        </w:tc>
        <w:tc>
          <w:tcPr>
            <w:tcW w:type="dxa" w:w="5660"/>
          </w:tcPr>
          <w:p>
            <w:pPr>
              <w:spacing w:after="0"/>
            </w:pPr>
            <w:r/>
            <w:r>
              <w:rPr>
                <w:rFonts w:ascii="Calibri" w:hAnsi="Calibri"/>
                <w:b w:val="0"/>
                <w:sz w:val="20"/>
              </w:rPr>
              <w:t>Strategy decision context is based on 5-minute candles.</w:t>
            </w:r>
          </w:p>
        </w:tc>
      </w:tr>
      <w:tr>
        <w:tc>
          <w:tcPr>
            <w:tcW w:type="dxa" w:w="2100"/>
          </w:tcPr>
          <w:p>
            <w:pPr>
              <w:spacing w:after="0"/>
            </w:pPr>
            <w:r/>
            <w:r>
              <w:rPr>
                <w:rFonts w:ascii="Calibri" w:hAnsi="Calibri"/>
                <w:b w:val="0"/>
                <w:sz w:val="20"/>
              </w:rPr>
              <w:t>Intrabar Execution</w:t>
            </w:r>
          </w:p>
        </w:tc>
        <w:tc>
          <w:tcPr>
            <w:tcW w:type="dxa" w:w="1600"/>
          </w:tcPr>
          <w:p>
            <w:pPr>
              <w:spacing w:after="0"/>
            </w:pPr>
            <w:r/>
            <w:r>
              <w:rPr>
                <w:rFonts w:ascii="Calibri" w:hAnsi="Calibri"/>
                <w:b w:val="0"/>
                <w:sz w:val="20"/>
              </w:rPr>
              <w:t>1m</w:t>
            </w:r>
          </w:p>
        </w:tc>
        <w:tc>
          <w:tcPr>
            <w:tcW w:type="dxa" w:w="5660"/>
          </w:tcPr>
          <w:p>
            <w:pPr>
              <w:spacing w:after="0"/>
            </w:pPr>
            <w:r/>
            <w:r>
              <w:rPr>
                <w:rFonts w:ascii="Calibri" w:hAnsi="Calibri"/>
                <w:b w:val="0"/>
                <w:sz w:val="20"/>
              </w:rPr>
              <w:t>Entries and exits can execute on 1-minute candles inside the 5-minute setup.</w:t>
            </w:r>
          </w:p>
        </w:tc>
      </w:tr>
    </w:tbl>
    <w:p/>
    <w:p>
      <w:pPr>
        <w:pStyle w:val="Heading1"/>
      </w:pPr>
      <w:r>
        <w:rPr>
          <w:rFonts w:ascii="Calibri" w:hAnsi="Calibri"/>
          <w:color w:val="2E74B5"/>
        </w:rPr>
        <w:t>2. The Four Money Numbers</w:t>
      </w:r>
    </w:p>
    <w:p>
      <w:pPr>
        <w:spacing w:after="120" w:line="264" w:lineRule="auto"/>
      </w:pPr>
      <w:r>
        <w:t>Most confusion comes from mixing these four different numbers. They are related, but they are not the same.</w:t>
      </w:r>
    </w:p>
    <w:tbl>
      <w:tblPr>
        <w:tblStyle w:val="TableGrid"/>
        <w:tblW w:type="dxa" w:w="9360"/>
        <w:jc w:val="center"/>
        <w:tblLayout w:type="fixed"/>
        <w:tblLook w:firstColumn="1" w:firstRow="1" w:lastColumn="0" w:lastRow="0" w:noHBand="0" w:noVBand="1" w:val="04A0"/>
        <w:tblInd w:w="120" w:type="dxa"/>
      </w:tblPr>
      <w:tblGrid>
        <w:gridCol w:w="1700"/>
        <w:gridCol w:w="4300"/>
        <w:gridCol w:w="3360"/>
      </w:tblGrid>
      <w:tr>
        <w:tc>
          <w:tcPr>
            <w:tcW w:type="dxa" w:w="1700"/>
            <w:vAlign w:val="center"/>
            <w:shd w:fill="F2F4F7"/>
          </w:tcPr>
          <w:p>
            <w:pPr>
              <w:spacing w:after="0"/>
            </w:pPr>
            <w:r/>
            <w:r>
              <w:rPr>
                <w:rFonts w:ascii="Calibri" w:hAnsi="Calibri"/>
                <w:b/>
                <w:color w:val="121826"/>
                <w:sz w:val="20"/>
              </w:rPr>
              <w:t>Term</w:t>
            </w:r>
          </w:p>
        </w:tc>
        <w:tc>
          <w:tcPr>
            <w:tcW w:type="dxa" w:w="4300"/>
            <w:vAlign w:val="center"/>
            <w:shd w:fill="F2F4F7"/>
          </w:tcPr>
          <w:p>
            <w:pPr>
              <w:spacing w:after="0"/>
            </w:pPr>
            <w:r/>
            <w:r>
              <w:rPr>
                <w:rFonts w:ascii="Calibri" w:hAnsi="Calibri"/>
                <w:b/>
                <w:color w:val="121826"/>
                <w:sz w:val="20"/>
              </w:rPr>
              <w:t>Simple meaning</w:t>
            </w:r>
          </w:p>
        </w:tc>
        <w:tc>
          <w:tcPr>
            <w:tcW w:type="dxa" w:w="3360"/>
            <w:vAlign w:val="center"/>
            <w:shd w:fill="F2F4F7"/>
          </w:tcPr>
          <w:p>
            <w:pPr>
              <w:spacing w:after="0"/>
            </w:pPr>
            <w:r/>
            <w:r>
              <w:rPr>
                <w:rFonts w:ascii="Calibri" w:hAnsi="Calibri"/>
                <w:b/>
                <w:color w:val="121826"/>
                <w:sz w:val="20"/>
              </w:rPr>
              <w:t>Example</w:t>
            </w:r>
          </w:p>
        </w:tc>
      </w:tr>
      <w:tr>
        <w:tc>
          <w:tcPr>
            <w:tcW w:type="dxa" w:w="1700"/>
          </w:tcPr>
          <w:p>
            <w:pPr>
              <w:spacing w:after="0"/>
            </w:pPr>
            <w:r/>
            <w:r>
              <w:rPr>
                <w:rFonts w:ascii="Calibri" w:hAnsi="Calibri"/>
                <w:b w:val="0"/>
                <w:sz w:val="20"/>
              </w:rPr>
              <w:t>Equity</w:t>
            </w:r>
          </w:p>
        </w:tc>
        <w:tc>
          <w:tcPr>
            <w:tcW w:type="dxa" w:w="4300"/>
          </w:tcPr>
          <w:p>
            <w:pPr>
              <w:spacing w:after="0"/>
            </w:pPr>
            <w:r/>
            <w:r>
              <w:rPr>
                <w:rFonts w:ascii="Calibri" w:hAnsi="Calibri"/>
                <w:b w:val="0"/>
                <w:sz w:val="20"/>
              </w:rPr>
              <w:t>Total paper account value.</w:t>
            </w:r>
          </w:p>
        </w:tc>
        <w:tc>
          <w:tcPr>
            <w:tcW w:type="dxa" w:w="3360"/>
          </w:tcPr>
          <w:p>
            <w:pPr>
              <w:spacing w:after="0"/>
            </w:pPr>
            <w:r/>
            <w:r>
              <w:rPr>
                <w:rFonts w:ascii="Calibri" w:hAnsi="Calibri"/>
                <w:b w:val="0"/>
                <w:sz w:val="20"/>
              </w:rPr>
              <w:t>Rs. 10,000</w:t>
            </w:r>
          </w:p>
        </w:tc>
      </w:tr>
      <w:tr>
        <w:tc>
          <w:tcPr>
            <w:tcW w:type="dxa" w:w="1700"/>
          </w:tcPr>
          <w:p>
            <w:pPr>
              <w:spacing w:after="0"/>
            </w:pPr>
            <w:r/>
            <w:r>
              <w:rPr>
                <w:rFonts w:ascii="Calibri" w:hAnsi="Calibri"/>
                <w:b w:val="0"/>
                <w:sz w:val="20"/>
              </w:rPr>
              <w:t>Risk</w:t>
            </w:r>
          </w:p>
        </w:tc>
        <w:tc>
          <w:tcPr>
            <w:tcW w:type="dxa" w:w="4300"/>
          </w:tcPr>
          <w:p>
            <w:pPr>
              <w:spacing w:after="0"/>
            </w:pPr>
            <w:r/>
            <w:r>
              <w:rPr>
                <w:rFonts w:ascii="Calibri" w:hAnsi="Calibri"/>
                <w:b w:val="0"/>
                <w:sz w:val="20"/>
              </w:rPr>
              <w:t>Maximum planned loss if stop-loss hits.</w:t>
            </w:r>
          </w:p>
        </w:tc>
        <w:tc>
          <w:tcPr>
            <w:tcW w:type="dxa" w:w="3360"/>
          </w:tcPr>
          <w:p>
            <w:pPr>
              <w:spacing w:after="0"/>
            </w:pPr>
            <w:r/>
            <w:r>
              <w:rPr>
                <w:rFonts w:ascii="Calibri" w:hAnsi="Calibri"/>
                <w:b w:val="0"/>
                <w:sz w:val="20"/>
              </w:rPr>
              <w:t>3% of Rs. 10,000 = Rs. 300</w:t>
            </w:r>
          </w:p>
        </w:tc>
      </w:tr>
      <w:tr>
        <w:tc>
          <w:tcPr>
            <w:tcW w:type="dxa" w:w="1700"/>
          </w:tcPr>
          <w:p>
            <w:pPr>
              <w:spacing w:after="0"/>
            </w:pPr>
            <w:r/>
            <w:r>
              <w:rPr>
                <w:rFonts w:ascii="Calibri" w:hAnsi="Calibri"/>
                <w:b w:val="0"/>
                <w:sz w:val="20"/>
              </w:rPr>
              <w:t>Position Notional</w:t>
            </w:r>
          </w:p>
        </w:tc>
        <w:tc>
          <w:tcPr>
            <w:tcW w:type="dxa" w:w="4300"/>
          </w:tcPr>
          <w:p>
            <w:pPr>
              <w:spacing w:after="0"/>
            </w:pPr>
            <w:r/>
            <w:r>
              <w:rPr>
                <w:rFonts w:ascii="Calibri" w:hAnsi="Calibri"/>
                <w:b w:val="0"/>
                <w:sz w:val="20"/>
              </w:rPr>
              <w:t>Total trade value controlled by the position.</w:t>
            </w:r>
          </w:p>
        </w:tc>
        <w:tc>
          <w:tcPr>
            <w:tcW w:type="dxa" w:w="3360"/>
          </w:tcPr>
          <w:p>
            <w:pPr>
              <w:spacing w:after="0"/>
            </w:pPr>
            <w:r/>
            <w:r>
              <w:rPr>
                <w:rFonts w:ascii="Calibri" w:hAnsi="Calibri"/>
                <w:b w:val="0"/>
                <w:sz w:val="20"/>
              </w:rPr>
              <w:t>About Rs. 3,037 in the BSB example</w:t>
            </w:r>
          </w:p>
        </w:tc>
      </w:tr>
      <w:tr>
        <w:tc>
          <w:tcPr>
            <w:tcW w:type="dxa" w:w="1700"/>
          </w:tcPr>
          <w:p>
            <w:pPr>
              <w:spacing w:after="0"/>
            </w:pPr>
            <w:r/>
            <w:r>
              <w:rPr>
                <w:rFonts w:ascii="Calibri" w:hAnsi="Calibri"/>
                <w:b w:val="0"/>
                <w:sz w:val="20"/>
              </w:rPr>
              <w:t>Margin</w:t>
            </w:r>
          </w:p>
        </w:tc>
        <w:tc>
          <w:tcPr>
            <w:tcW w:type="dxa" w:w="4300"/>
          </w:tcPr>
          <w:p>
            <w:pPr>
              <w:spacing w:after="0"/>
            </w:pPr>
            <w:r/>
            <w:r>
              <w:rPr>
                <w:rFonts w:ascii="Calibri" w:hAnsi="Calibri"/>
                <w:b w:val="0"/>
                <w:sz w:val="20"/>
              </w:rPr>
              <w:t>Amount blocked to hold the leveraged position.</w:t>
            </w:r>
          </w:p>
        </w:tc>
        <w:tc>
          <w:tcPr>
            <w:tcW w:type="dxa" w:w="3360"/>
          </w:tcPr>
          <w:p>
            <w:pPr>
              <w:spacing w:after="0"/>
            </w:pPr>
            <w:r/>
            <w:r>
              <w:rPr>
                <w:rFonts w:ascii="Calibri" w:hAnsi="Calibri"/>
                <w:b w:val="0"/>
                <w:sz w:val="20"/>
              </w:rPr>
              <w:t>Rs. 3,037 / 5 = about Rs. 607</w:t>
            </w:r>
          </w:p>
        </w:tc>
      </w:tr>
    </w:tbl>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shd w:fill="FFF4E5"/>
          </w:tcPr>
          <w:p>
            <w:pPr>
              <w:spacing w:after="80"/>
            </w:pPr>
            <w:r>
              <w:rPr>
                <w:rFonts w:ascii="Calibri" w:hAnsi="Calibri"/>
                <w:b/>
                <w:color w:val="1F4D78"/>
                <w:sz w:val="22"/>
              </w:rPr>
              <w:t>Important distinction</w:t>
            </w:r>
          </w:p>
          <w:p>
            <w:pPr>
              <w:spacing w:after="0"/>
            </w:pPr>
            <w:r>
              <w:rPr>
                <w:rFonts w:ascii="Calibri" w:hAnsi="Calibri"/>
                <w:color w:val="121826"/>
                <w:sz w:val="20"/>
              </w:rPr>
              <w:t>Position notional is the size of the trade. Margin is the amount blocked. Risk is the amount the bot expects to lose if the stop-loss is hit. Equity is your full account value.</w:t>
            </w:r>
          </w:p>
        </w:tc>
      </w:tr>
    </w:tbl>
    <w:p/>
    <w:p>
      <w:pPr>
        <w:pStyle w:val="Heading1"/>
      </w:pPr>
      <w:r>
        <w:rPr>
          <w:rFonts w:ascii="Calibri" w:hAnsi="Calibri"/>
          <w:color w:val="2E74B5"/>
        </w:rPr>
        <w:t>3. Why Quantity Comes Before Margin</w:t>
      </w:r>
    </w:p>
    <w:p>
      <w:pPr>
        <w:spacing w:after="120" w:line="264" w:lineRule="auto"/>
      </w:pPr>
      <w:r>
        <w:t>The bot is designed to size trades from risk first. This is safer than choosing quantity from available margin because it prevents one bad stop-loss from taking an oversized loss.</w:t>
      </w:r>
    </w:p>
    <w:p>
      <w:pPr>
        <w:pStyle w:val="ListNumber"/>
        <w:spacing w:after="80"/>
      </w:pPr>
      <w:r>
        <w:rPr>
          <w:rFonts w:ascii="Calibri" w:hAnsi="Calibri"/>
          <w:color w:val="121826"/>
          <w:sz w:val="22"/>
        </w:rPr>
        <w:t>Calculate maximum planned loss: Rs. 10,000 x 3% = Rs. 300.</w:t>
      </w:r>
    </w:p>
    <w:p>
      <w:pPr>
        <w:pStyle w:val="ListNumber"/>
        <w:spacing w:after="80"/>
      </w:pPr>
      <w:r>
        <w:rPr>
          <w:rFonts w:ascii="Calibri" w:hAnsi="Calibri"/>
          <w:color w:val="121826"/>
          <w:sz w:val="22"/>
        </w:rPr>
        <w:t>Look at the entry price and stop-loss price.</w:t>
      </w:r>
    </w:p>
    <w:p>
      <w:pPr>
        <w:pStyle w:val="ListNumber"/>
        <w:spacing w:after="80"/>
      </w:pPr>
      <w:r>
        <w:rPr>
          <w:rFonts w:ascii="Calibri" w:hAnsi="Calibri"/>
          <w:color w:val="121826"/>
          <w:sz w:val="22"/>
        </w:rPr>
        <w:t>Calculate the loss per coin if stop-loss is hit.</w:t>
      </w:r>
    </w:p>
    <w:p>
      <w:pPr>
        <w:pStyle w:val="ListNumber"/>
        <w:spacing w:after="80"/>
      </w:pPr>
      <w:r>
        <w:rPr>
          <w:rFonts w:ascii="Calibri" w:hAnsi="Calibri"/>
          <w:color w:val="121826"/>
          <w:sz w:val="22"/>
        </w:rPr>
        <w:t>Choose quantity so the total stop-loss loss is about Rs. 300.</w:t>
      </w:r>
    </w:p>
    <w:p>
      <w:pPr>
        <w:pStyle w:val="ListNumber"/>
        <w:spacing w:after="80"/>
      </w:pPr>
      <w:r>
        <w:rPr>
          <w:rFonts w:ascii="Calibri" w:hAnsi="Calibri"/>
          <w:color w:val="121826"/>
          <w:sz w:val="22"/>
        </w:rPr>
        <w:t>Calculate position notional from that quantity.</w:t>
      </w:r>
    </w:p>
    <w:p>
      <w:pPr>
        <w:pStyle w:val="ListNumber"/>
        <w:spacing w:after="80"/>
      </w:pPr>
      <w:r>
        <w:rPr>
          <w:rFonts w:ascii="Calibri" w:hAnsi="Calibri"/>
          <w:color w:val="121826"/>
          <w:sz w:val="22"/>
        </w:rPr>
        <w:t>Calculate required margin from notional / leverage.</w:t>
      </w:r>
    </w:p>
    <w:p>
      <w:pPr>
        <w:pStyle w:val="ListNumber"/>
        <w:spacing w:after="80"/>
      </w:pPr>
      <w:r>
        <w:rPr>
          <w:rFonts w:ascii="Calibri" w:hAnsi="Calibri"/>
          <w:color w:val="121826"/>
          <w:sz w:val="22"/>
        </w:rPr>
        <w:t>Reject the trade if margin, exposure, daily loss, or open-position rules are violated.</w:t>
      </w:r>
    </w:p>
    <w:p>
      <w:pPr>
        <w:pStyle w:val="Heading1"/>
      </w:pPr>
      <w:r>
        <w:rPr>
          <w:rFonts w:ascii="Calibri" w:hAnsi="Calibri"/>
          <w:color w:val="2E74B5"/>
        </w:rPr>
        <w:t>4. Worked BSB Example</w:t>
      </w:r>
    </w:p>
    <w:p>
      <w:pPr>
        <w:spacing w:after="120" w:line="264" w:lineRule="auto"/>
      </w:pPr>
      <w:r>
        <w:t>Assume a BSB short trade similar to the dashboard numbers. Prices are USDT-quoted because CoinDCX INR-M futures still show the chart price in USDT. The account, risk, margin, PnL, and fees are INR.</w:t>
      </w:r>
    </w:p>
    <w:tbl>
      <w:tblPr>
        <w:tblStyle w:val="TableGrid"/>
        <w:tblW w:type="dxa" w:w="9360"/>
        <w:jc w:val="center"/>
        <w:tblLayout w:type="fixed"/>
        <w:tblLook w:firstColumn="1" w:firstRow="1" w:lastColumn="0" w:lastRow="0" w:noHBand="0" w:noVBand="1" w:val="04A0"/>
        <w:tblInd w:w="120" w:type="dxa"/>
      </w:tblPr>
      <w:tblGrid>
        <w:gridCol w:w="2100"/>
        <w:gridCol w:w="3450"/>
        <w:gridCol w:w="3810"/>
      </w:tblGrid>
      <w:tr>
        <w:tc>
          <w:tcPr>
            <w:tcW w:type="dxa" w:w="2100"/>
            <w:vAlign w:val="center"/>
            <w:shd w:fill="F2F4F7"/>
          </w:tcPr>
          <w:p>
            <w:pPr>
              <w:spacing w:after="0"/>
            </w:pPr>
            <w:r/>
            <w:r>
              <w:rPr>
                <w:rFonts w:ascii="Calibri" w:hAnsi="Calibri"/>
                <w:b/>
                <w:color w:val="121826"/>
                <w:sz w:val="20"/>
              </w:rPr>
              <w:t>Calculation</w:t>
            </w:r>
          </w:p>
        </w:tc>
        <w:tc>
          <w:tcPr>
            <w:tcW w:type="dxa" w:w="3450"/>
            <w:vAlign w:val="center"/>
            <w:shd w:fill="F2F4F7"/>
          </w:tcPr>
          <w:p>
            <w:pPr>
              <w:spacing w:after="0"/>
            </w:pPr>
            <w:r/>
            <w:r>
              <w:rPr>
                <w:rFonts w:ascii="Calibri" w:hAnsi="Calibri"/>
                <w:b/>
                <w:color w:val="121826"/>
                <w:sz w:val="20"/>
              </w:rPr>
              <w:t>Formula</w:t>
            </w:r>
          </w:p>
        </w:tc>
        <w:tc>
          <w:tcPr>
            <w:tcW w:type="dxa" w:w="3810"/>
            <w:vAlign w:val="center"/>
            <w:shd w:fill="F2F4F7"/>
          </w:tcPr>
          <w:p>
            <w:pPr>
              <w:spacing w:after="0"/>
            </w:pPr>
            <w:r/>
            <w:r>
              <w:rPr>
                <w:rFonts w:ascii="Calibri" w:hAnsi="Calibri"/>
                <w:b/>
                <w:color w:val="121826"/>
                <w:sz w:val="20"/>
              </w:rPr>
              <w:t>Result</w:t>
            </w:r>
          </w:p>
        </w:tc>
      </w:tr>
      <w:tr>
        <w:tc>
          <w:tcPr>
            <w:tcW w:type="dxa" w:w="2100"/>
          </w:tcPr>
          <w:p>
            <w:pPr>
              <w:spacing w:after="0"/>
            </w:pPr>
            <w:r/>
            <w:r>
              <w:rPr>
                <w:rFonts w:ascii="Calibri" w:hAnsi="Calibri"/>
                <w:b w:val="0"/>
                <w:sz w:val="20"/>
              </w:rPr>
              <w:t>Account equity</w:t>
            </w:r>
          </w:p>
        </w:tc>
        <w:tc>
          <w:tcPr>
            <w:tcW w:type="dxa" w:w="3450"/>
          </w:tcPr>
          <w:p>
            <w:pPr>
              <w:spacing w:after="0"/>
            </w:pPr>
            <w:r/>
            <w:r>
              <w:rPr>
                <w:rFonts w:ascii="Calibri" w:hAnsi="Calibri"/>
                <w:b w:val="0"/>
                <w:sz w:val="20"/>
              </w:rPr>
              <w:t>Given</w:t>
            </w:r>
          </w:p>
        </w:tc>
        <w:tc>
          <w:tcPr>
            <w:tcW w:type="dxa" w:w="3810"/>
          </w:tcPr>
          <w:p>
            <w:pPr>
              <w:spacing w:after="0"/>
            </w:pPr>
            <w:r/>
            <w:r>
              <w:rPr>
                <w:rFonts w:ascii="Calibri" w:hAnsi="Calibri"/>
                <w:b w:val="0"/>
                <w:sz w:val="20"/>
              </w:rPr>
              <w:t>Rs. 10,000</w:t>
            </w:r>
          </w:p>
        </w:tc>
      </w:tr>
      <w:tr>
        <w:tc>
          <w:tcPr>
            <w:tcW w:type="dxa" w:w="2100"/>
          </w:tcPr>
          <w:p>
            <w:pPr>
              <w:spacing w:after="0"/>
            </w:pPr>
            <w:r/>
            <w:r>
              <w:rPr>
                <w:rFonts w:ascii="Calibri" w:hAnsi="Calibri"/>
                <w:b w:val="0"/>
                <w:sz w:val="20"/>
              </w:rPr>
              <w:t>Risk allowed</w:t>
            </w:r>
          </w:p>
        </w:tc>
        <w:tc>
          <w:tcPr>
            <w:tcW w:type="dxa" w:w="3450"/>
          </w:tcPr>
          <w:p>
            <w:pPr>
              <w:spacing w:after="0"/>
            </w:pPr>
            <w:r/>
            <w:r>
              <w:rPr>
                <w:rFonts w:ascii="Calibri" w:hAnsi="Calibri"/>
                <w:b w:val="0"/>
                <w:sz w:val="20"/>
              </w:rPr>
              <w:t>Rs. 10,000 x 3%</w:t>
            </w:r>
          </w:p>
        </w:tc>
        <w:tc>
          <w:tcPr>
            <w:tcW w:type="dxa" w:w="3810"/>
          </w:tcPr>
          <w:p>
            <w:pPr>
              <w:spacing w:after="0"/>
            </w:pPr>
            <w:r/>
            <w:r>
              <w:rPr>
                <w:rFonts w:ascii="Calibri" w:hAnsi="Calibri"/>
                <w:b w:val="0"/>
                <w:sz w:val="20"/>
              </w:rPr>
              <w:t>Rs. 300</w:t>
            </w:r>
          </w:p>
        </w:tc>
      </w:tr>
      <w:tr>
        <w:tc>
          <w:tcPr>
            <w:tcW w:type="dxa" w:w="2100"/>
          </w:tcPr>
          <w:p>
            <w:pPr>
              <w:spacing w:after="0"/>
            </w:pPr>
            <w:r/>
            <w:r>
              <w:rPr>
                <w:rFonts w:ascii="Calibri" w:hAnsi="Calibri"/>
                <w:b w:val="0"/>
                <w:sz w:val="20"/>
              </w:rPr>
              <w:t>Entry price</w:t>
            </w:r>
          </w:p>
        </w:tc>
        <w:tc>
          <w:tcPr>
            <w:tcW w:type="dxa" w:w="3450"/>
          </w:tcPr>
          <w:p>
            <w:pPr>
              <w:spacing w:after="0"/>
            </w:pPr>
            <w:r/>
            <w:r>
              <w:rPr>
                <w:rFonts w:ascii="Calibri" w:hAnsi="Calibri"/>
                <w:b w:val="0"/>
                <w:sz w:val="20"/>
              </w:rPr>
              <w:t>Given by signal</w:t>
            </w:r>
          </w:p>
        </w:tc>
        <w:tc>
          <w:tcPr>
            <w:tcW w:type="dxa" w:w="3810"/>
          </w:tcPr>
          <w:p>
            <w:pPr>
              <w:spacing w:after="0"/>
            </w:pPr>
            <w:r/>
            <w:r>
              <w:rPr>
                <w:rFonts w:ascii="Calibri" w:hAnsi="Calibri"/>
                <w:b w:val="0"/>
                <w:sz w:val="20"/>
              </w:rPr>
              <w:t>0.632094 USDT</w:t>
            </w:r>
          </w:p>
        </w:tc>
      </w:tr>
      <w:tr>
        <w:tc>
          <w:tcPr>
            <w:tcW w:type="dxa" w:w="2100"/>
          </w:tcPr>
          <w:p>
            <w:pPr>
              <w:spacing w:after="0"/>
            </w:pPr>
            <w:r/>
            <w:r>
              <w:rPr>
                <w:rFonts w:ascii="Calibri" w:hAnsi="Calibri"/>
                <w:b w:val="0"/>
                <w:sz w:val="20"/>
              </w:rPr>
              <w:t>Stop price</w:t>
            </w:r>
          </w:p>
        </w:tc>
        <w:tc>
          <w:tcPr>
            <w:tcW w:type="dxa" w:w="3450"/>
          </w:tcPr>
          <w:p>
            <w:pPr>
              <w:spacing w:after="0"/>
            </w:pPr>
            <w:r/>
            <w:r>
              <w:rPr>
                <w:rFonts w:ascii="Calibri" w:hAnsi="Calibri"/>
                <w:b w:val="0"/>
                <w:sz w:val="20"/>
              </w:rPr>
              <w:t>Given by signal</w:t>
            </w:r>
          </w:p>
        </w:tc>
        <w:tc>
          <w:tcPr>
            <w:tcW w:type="dxa" w:w="3810"/>
          </w:tcPr>
          <w:p>
            <w:pPr>
              <w:spacing w:after="0"/>
            </w:pPr>
            <w:r/>
            <w:r>
              <w:rPr>
                <w:rFonts w:ascii="Calibri" w:hAnsi="Calibri"/>
                <w:b w:val="0"/>
                <w:sz w:val="20"/>
              </w:rPr>
              <w:t>0.694538 USDT</w:t>
            </w:r>
          </w:p>
        </w:tc>
      </w:tr>
      <w:tr>
        <w:tc>
          <w:tcPr>
            <w:tcW w:type="dxa" w:w="2100"/>
          </w:tcPr>
          <w:p>
            <w:pPr>
              <w:spacing w:after="0"/>
            </w:pPr>
            <w:r/>
            <w:r>
              <w:rPr>
                <w:rFonts w:ascii="Calibri" w:hAnsi="Calibri"/>
                <w:b w:val="0"/>
                <w:sz w:val="20"/>
              </w:rPr>
              <w:t>Stop distance</w:t>
            </w:r>
          </w:p>
        </w:tc>
        <w:tc>
          <w:tcPr>
            <w:tcW w:type="dxa" w:w="3450"/>
          </w:tcPr>
          <w:p>
            <w:pPr>
              <w:spacing w:after="0"/>
            </w:pPr>
            <w:r/>
            <w:r>
              <w:rPr>
                <w:rFonts w:ascii="Calibri" w:hAnsi="Calibri"/>
                <w:b w:val="0"/>
                <w:sz w:val="20"/>
              </w:rPr>
              <w:t>0.694538 - 0.632094</w:t>
            </w:r>
          </w:p>
        </w:tc>
        <w:tc>
          <w:tcPr>
            <w:tcW w:type="dxa" w:w="3810"/>
          </w:tcPr>
          <w:p>
            <w:pPr>
              <w:spacing w:after="0"/>
            </w:pPr>
            <w:r/>
            <w:r>
              <w:rPr>
                <w:rFonts w:ascii="Calibri" w:hAnsi="Calibri"/>
                <w:b w:val="0"/>
                <w:sz w:val="20"/>
              </w:rPr>
              <w:t>0.062444 USDT</w:t>
            </w:r>
          </w:p>
        </w:tc>
      </w:tr>
      <w:tr>
        <w:tc>
          <w:tcPr>
            <w:tcW w:type="dxa" w:w="2100"/>
          </w:tcPr>
          <w:p>
            <w:pPr>
              <w:spacing w:after="0"/>
            </w:pPr>
            <w:r/>
            <w:r>
              <w:rPr>
                <w:rFonts w:ascii="Calibri" w:hAnsi="Calibri"/>
                <w:b w:val="0"/>
                <w:sz w:val="20"/>
              </w:rPr>
              <w:t>USDT to INR rate</w:t>
            </w:r>
          </w:p>
        </w:tc>
        <w:tc>
          <w:tcPr>
            <w:tcW w:type="dxa" w:w="3450"/>
          </w:tcPr>
          <w:p>
            <w:pPr>
              <w:spacing w:after="0"/>
            </w:pPr>
            <w:r/>
            <w:r>
              <w:rPr>
                <w:rFonts w:ascii="Calibri" w:hAnsi="Calibri"/>
                <w:b w:val="0"/>
                <w:sz w:val="20"/>
              </w:rPr>
              <w:t>Config value</w:t>
            </w:r>
          </w:p>
        </w:tc>
        <w:tc>
          <w:tcPr>
            <w:tcW w:type="dxa" w:w="3810"/>
          </w:tcPr>
          <w:p>
            <w:pPr>
              <w:spacing w:after="0"/>
            </w:pPr>
            <w:r/>
            <w:r>
              <w:rPr>
                <w:rFonts w:ascii="Calibri" w:hAnsi="Calibri"/>
                <w:b w:val="0"/>
                <w:sz w:val="20"/>
              </w:rPr>
              <w:t>About Rs. 98 per USDT</w:t>
            </w:r>
          </w:p>
        </w:tc>
      </w:tr>
      <w:tr>
        <w:tc>
          <w:tcPr>
            <w:tcW w:type="dxa" w:w="2100"/>
          </w:tcPr>
          <w:p>
            <w:pPr>
              <w:spacing w:after="0"/>
            </w:pPr>
            <w:r/>
            <w:r>
              <w:rPr>
                <w:rFonts w:ascii="Calibri" w:hAnsi="Calibri"/>
                <w:b w:val="0"/>
                <w:sz w:val="20"/>
              </w:rPr>
              <w:t>Risk per BSB</w:t>
            </w:r>
          </w:p>
        </w:tc>
        <w:tc>
          <w:tcPr>
            <w:tcW w:type="dxa" w:w="3450"/>
          </w:tcPr>
          <w:p>
            <w:pPr>
              <w:spacing w:after="0"/>
            </w:pPr>
            <w:r/>
            <w:r>
              <w:rPr>
                <w:rFonts w:ascii="Calibri" w:hAnsi="Calibri"/>
                <w:b w:val="0"/>
                <w:sz w:val="20"/>
              </w:rPr>
              <w:t>0.062444 x 98</w:t>
            </w:r>
          </w:p>
        </w:tc>
        <w:tc>
          <w:tcPr>
            <w:tcW w:type="dxa" w:w="3810"/>
          </w:tcPr>
          <w:p>
            <w:pPr>
              <w:spacing w:after="0"/>
            </w:pPr>
            <w:r/>
            <w:r>
              <w:rPr>
                <w:rFonts w:ascii="Calibri" w:hAnsi="Calibri"/>
                <w:b w:val="0"/>
                <w:sz w:val="20"/>
              </w:rPr>
              <w:t>About Rs. 6.12</w:t>
            </w:r>
          </w:p>
        </w:tc>
      </w:tr>
      <w:tr>
        <w:tc>
          <w:tcPr>
            <w:tcW w:type="dxa" w:w="2100"/>
          </w:tcPr>
          <w:p>
            <w:pPr>
              <w:spacing w:after="0"/>
            </w:pPr>
            <w:r/>
            <w:r>
              <w:rPr>
                <w:rFonts w:ascii="Calibri" w:hAnsi="Calibri"/>
                <w:b w:val="0"/>
                <w:sz w:val="20"/>
              </w:rPr>
              <w:t>Quantity</w:t>
            </w:r>
          </w:p>
        </w:tc>
        <w:tc>
          <w:tcPr>
            <w:tcW w:type="dxa" w:w="3450"/>
          </w:tcPr>
          <w:p>
            <w:pPr>
              <w:spacing w:after="0"/>
            </w:pPr>
            <w:r/>
            <w:r>
              <w:rPr>
                <w:rFonts w:ascii="Calibri" w:hAnsi="Calibri"/>
                <w:b w:val="0"/>
                <w:sz w:val="20"/>
              </w:rPr>
              <w:t>Rs. 300 / Rs. 6.12</w:t>
            </w:r>
          </w:p>
        </w:tc>
        <w:tc>
          <w:tcPr>
            <w:tcW w:type="dxa" w:w="3810"/>
          </w:tcPr>
          <w:p>
            <w:pPr>
              <w:spacing w:after="0"/>
            </w:pPr>
            <w:r/>
            <w:r>
              <w:rPr>
                <w:rFonts w:ascii="Calibri" w:hAnsi="Calibri"/>
                <w:b w:val="0"/>
                <w:sz w:val="20"/>
              </w:rPr>
              <w:t>About 49.02 BSB</w:t>
            </w:r>
          </w:p>
        </w:tc>
      </w:tr>
      <w:tr>
        <w:tc>
          <w:tcPr>
            <w:tcW w:type="dxa" w:w="2100"/>
          </w:tcPr>
          <w:p>
            <w:pPr>
              <w:spacing w:after="0"/>
            </w:pPr>
            <w:r/>
            <w:r>
              <w:rPr>
                <w:rFonts w:ascii="Calibri" w:hAnsi="Calibri"/>
                <w:b w:val="0"/>
                <w:sz w:val="20"/>
              </w:rPr>
              <w:t>Position notional</w:t>
            </w:r>
          </w:p>
        </w:tc>
        <w:tc>
          <w:tcPr>
            <w:tcW w:type="dxa" w:w="3450"/>
          </w:tcPr>
          <w:p>
            <w:pPr>
              <w:spacing w:after="0"/>
            </w:pPr>
            <w:r/>
            <w:r>
              <w:rPr>
                <w:rFonts w:ascii="Calibri" w:hAnsi="Calibri"/>
                <w:b w:val="0"/>
                <w:sz w:val="20"/>
              </w:rPr>
              <w:t>49.02 x 0.632094 x 98</w:t>
            </w:r>
          </w:p>
        </w:tc>
        <w:tc>
          <w:tcPr>
            <w:tcW w:type="dxa" w:w="3810"/>
          </w:tcPr>
          <w:p>
            <w:pPr>
              <w:spacing w:after="0"/>
            </w:pPr>
            <w:r/>
            <w:r>
              <w:rPr>
                <w:rFonts w:ascii="Calibri" w:hAnsi="Calibri"/>
                <w:b w:val="0"/>
                <w:sz w:val="20"/>
              </w:rPr>
              <w:t>About Rs. 3,036.77</w:t>
            </w:r>
          </w:p>
        </w:tc>
      </w:tr>
      <w:tr>
        <w:tc>
          <w:tcPr>
            <w:tcW w:type="dxa" w:w="2100"/>
          </w:tcPr>
          <w:p>
            <w:pPr>
              <w:spacing w:after="0"/>
            </w:pPr>
            <w:r/>
            <w:r>
              <w:rPr>
                <w:rFonts w:ascii="Calibri" w:hAnsi="Calibri"/>
                <w:b w:val="0"/>
                <w:sz w:val="20"/>
              </w:rPr>
              <w:t>Required margin</w:t>
            </w:r>
          </w:p>
        </w:tc>
        <w:tc>
          <w:tcPr>
            <w:tcW w:type="dxa" w:w="3450"/>
          </w:tcPr>
          <w:p>
            <w:pPr>
              <w:spacing w:after="0"/>
            </w:pPr>
            <w:r/>
            <w:r>
              <w:rPr>
                <w:rFonts w:ascii="Calibri" w:hAnsi="Calibri"/>
                <w:b w:val="0"/>
                <w:sz w:val="20"/>
              </w:rPr>
              <w:t>Rs. 3,036.77 / 5</w:t>
            </w:r>
          </w:p>
        </w:tc>
        <w:tc>
          <w:tcPr>
            <w:tcW w:type="dxa" w:w="3810"/>
          </w:tcPr>
          <w:p>
            <w:pPr>
              <w:spacing w:after="0"/>
            </w:pPr>
            <w:r/>
            <w:r>
              <w:rPr>
                <w:rFonts w:ascii="Calibri" w:hAnsi="Calibri"/>
                <w:b w:val="0"/>
                <w:sz w:val="20"/>
              </w:rPr>
              <w:t>About Rs. 607.35</w:t>
            </w:r>
          </w:p>
        </w:tc>
      </w:tr>
    </w:tbl>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shd w:fill="EAF4FF"/>
          </w:tcPr>
          <w:p>
            <w:pPr>
              <w:spacing w:after="80"/>
            </w:pPr>
            <w:r>
              <w:rPr>
                <w:rFonts w:ascii="Calibri" w:hAnsi="Calibri"/>
                <w:b/>
                <w:color w:val="1F4D78"/>
                <w:sz w:val="22"/>
              </w:rPr>
              <w:t>What changed after the bug fix</w:t>
            </w:r>
          </w:p>
          <w:p>
            <w:pPr>
              <w:spacing w:after="0"/>
            </w:pPr>
            <w:r>
              <w:rPr>
                <w:rFonts w:ascii="Calibri" w:hAnsi="Calibri"/>
                <w:color w:val="121826"/>
                <w:sz w:val="20"/>
              </w:rPr>
              <w:t>Before the fix, quantity could look like around 5,000 BSB because the bot treated a USDT price movement as if it were already INR. After the fix, the same setup is around 49 BSB, with PnL and margin still shown in INR.</w:t>
            </w:r>
          </w:p>
        </w:tc>
      </w:tr>
    </w:tbl>
    <w:p/>
    <w:p>
      <w:pPr>
        <w:pStyle w:val="Heading1"/>
      </w:pPr>
      <w:r>
        <w:rPr>
          <w:rFonts w:ascii="Calibri" w:hAnsi="Calibri"/>
          <w:color w:val="2E74B5"/>
        </w:rPr>
        <w:t>5. Why AXL Quantity Can Look Bigger Than BSB</w:t>
      </w:r>
    </w:p>
    <w:p>
      <w:pPr>
        <w:spacing w:after="120" w:line="264" w:lineRule="auto"/>
      </w:pPr>
      <w:r>
        <w:t>A smaller coin price naturally needs more coins to reach the same INR notional. That does not mean the trade is larger or riskier.</w:t>
      </w:r>
    </w:p>
    <w:tbl>
      <w:tblPr>
        <w:tblStyle w:val="TableGrid"/>
        <w:tblW w:type="dxa" w:w="9360"/>
        <w:jc w:val="center"/>
        <w:tblLayout w:type="fixed"/>
        <w:tblLook w:firstColumn="1" w:firstRow="1" w:lastColumn="0" w:lastRow="0" w:noHBand="0" w:noVBand="1" w:val="04A0"/>
        <w:tblInd w:w="120" w:type="dxa"/>
      </w:tblPr>
      <w:tblGrid>
        <w:gridCol w:w="1200"/>
        <w:gridCol w:w="1800"/>
        <w:gridCol w:w="3000"/>
        <w:gridCol w:w="3360"/>
      </w:tblGrid>
      <w:tr>
        <w:tc>
          <w:tcPr>
            <w:tcW w:type="dxa" w:w="1200"/>
            <w:vAlign w:val="center"/>
            <w:shd w:fill="F2F4F7"/>
          </w:tcPr>
          <w:p>
            <w:pPr>
              <w:spacing w:after="0"/>
            </w:pPr>
            <w:r/>
            <w:r>
              <w:rPr>
                <w:rFonts w:ascii="Calibri" w:hAnsi="Calibri"/>
                <w:b/>
                <w:color w:val="121826"/>
                <w:sz w:val="20"/>
              </w:rPr>
              <w:t>Pair</w:t>
            </w:r>
          </w:p>
        </w:tc>
        <w:tc>
          <w:tcPr>
            <w:tcW w:type="dxa" w:w="1800"/>
            <w:vAlign w:val="center"/>
            <w:shd w:fill="F2F4F7"/>
          </w:tcPr>
          <w:p>
            <w:pPr>
              <w:spacing w:after="0"/>
            </w:pPr>
            <w:r/>
            <w:r>
              <w:rPr>
                <w:rFonts w:ascii="Calibri" w:hAnsi="Calibri"/>
                <w:b/>
                <w:color w:val="121826"/>
                <w:sz w:val="20"/>
              </w:rPr>
              <w:t>Approx price</w:t>
            </w:r>
          </w:p>
        </w:tc>
        <w:tc>
          <w:tcPr>
            <w:tcW w:type="dxa" w:w="3000"/>
            <w:vAlign w:val="center"/>
            <w:shd w:fill="F2F4F7"/>
          </w:tcPr>
          <w:p>
            <w:pPr>
              <w:spacing w:after="0"/>
            </w:pPr>
            <w:r/>
            <w:r>
              <w:rPr>
                <w:rFonts w:ascii="Calibri" w:hAnsi="Calibri"/>
                <w:b/>
                <w:color w:val="121826"/>
                <w:sz w:val="20"/>
              </w:rPr>
              <w:t>Approx quantity for Rs. 3,000 notional</w:t>
            </w:r>
          </w:p>
        </w:tc>
        <w:tc>
          <w:tcPr>
            <w:tcW w:type="dxa" w:w="3360"/>
            <w:vAlign w:val="center"/>
            <w:shd w:fill="F2F4F7"/>
          </w:tcPr>
          <w:p>
            <w:pPr>
              <w:spacing w:after="0"/>
            </w:pPr>
            <w:r/>
            <w:r>
              <w:rPr>
                <w:rFonts w:ascii="Calibri" w:hAnsi="Calibri"/>
                <w:b/>
                <w:color w:val="121826"/>
                <w:sz w:val="20"/>
              </w:rPr>
              <w:t>Meaning</w:t>
            </w:r>
          </w:p>
        </w:tc>
      </w:tr>
      <w:tr>
        <w:tc>
          <w:tcPr>
            <w:tcW w:type="dxa" w:w="1200"/>
          </w:tcPr>
          <w:p>
            <w:pPr>
              <w:spacing w:after="0"/>
            </w:pPr>
            <w:r/>
            <w:r>
              <w:rPr>
                <w:rFonts w:ascii="Calibri" w:hAnsi="Calibri"/>
                <w:b w:val="0"/>
                <w:sz w:val="20"/>
              </w:rPr>
              <w:t>BSB</w:t>
            </w:r>
          </w:p>
        </w:tc>
        <w:tc>
          <w:tcPr>
            <w:tcW w:type="dxa" w:w="1800"/>
          </w:tcPr>
          <w:p>
            <w:pPr>
              <w:spacing w:after="0"/>
            </w:pPr>
            <w:r/>
            <w:r>
              <w:rPr>
                <w:rFonts w:ascii="Calibri" w:hAnsi="Calibri"/>
                <w:b w:val="0"/>
                <w:sz w:val="20"/>
              </w:rPr>
              <w:t>About Rs. 62</w:t>
            </w:r>
          </w:p>
        </w:tc>
        <w:tc>
          <w:tcPr>
            <w:tcW w:type="dxa" w:w="3000"/>
          </w:tcPr>
          <w:p>
            <w:pPr>
              <w:spacing w:after="0"/>
            </w:pPr>
            <w:r/>
            <w:r>
              <w:rPr>
                <w:rFonts w:ascii="Calibri" w:hAnsi="Calibri"/>
                <w:b w:val="0"/>
                <w:sz w:val="20"/>
              </w:rPr>
              <w:t>About 48 to 50 BSB</w:t>
            </w:r>
          </w:p>
        </w:tc>
        <w:tc>
          <w:tcPr>
            <w:tcW w:type="dxa" w:w="3360"/>
          </w:tcPr>
          <w:p>
            <w:pPr>
              <w:spacing w:after="0"/>
            </w:pPr>
            <w:r/>
            <w:r>
              <w:rPr>
                <w:rFonts w:ascii="Calibri" w:hAnsi="Calibri"/>
                <w:b w:val="0"/>
                <w:sz w:val="20"/>
              </w:rPr>
              <w:t>Higher coin price, smaller quantity.</w:t>
            </w:r>
          </w:p>
        </w:tc>
      </w:tr>
      <w:tr>
        <w:tc>
          <w:tcPr>
            <w:tcW w:type="dxa" w:w="1200"/>
          </w:tcPr>
          <w:p>
            <w:pPr>
              <w:spacing w:after="0"/>
            </w:pPr>
            <w:r/>
            <w:r>
              <w:rPr>
                <w:rFonts w:ascii="Calibri" w:hAnsi="Calibri"/>
                <w:b w:val="0"/>
                <w:sz w:val="20"/>
              </w:rPr>
              <w:t>AXL</w:t>
            </w:r>
          </w:p>
        </w:tc>
        <w:tc>
          <w:tcPr>
            <w:tcW w:type="dxa" w:w="1800"/>
          </w:tcPr>
          <w:p>
            <w:pPr>
              <w:spacing w:after="0"/>
            </w:pPr>
            <w:r/>
            <w:r>
              <w:rPr>
                <w:rFonts w:ascii="Calibri" w:hAnsi="Calibri"/>
                <w:b w:val="0"/>
                <w:sz w:val="20"/>
              </w:rPr>
              <w:t>About Rs. 6</w:t>
            </w:r>
          </w:p>
        </w:tc>
        <w:tc>
          <w:tcPr>
            <w:tcW w:type="dxa" w:w="3000"/>
          </w:tcPr>
          <w:p>
            <w:pPr>
              <w:spacing w:after="0"/>
            </w:pPr>
            <w:r/>
            <w:r>
              <w:rPr>
                <w:rFonts w:ascii="Calibri" w:hAnsi="Calibri"/>
                <w:b w:val="0"/>
                <w:sz w:val="20"/>
              </w:rPr>
              <w:t>About 500 AXL</w:t>
            </w:r>
          </w:p>
        </w:tc>
        <w:tc>
          <w:tcPr>
            <w:tcW w:type="dxa" w:w="3360"/>
          </w:tcPr>
          <w:p>
            <w:pPr>
              <w:spacing w:after="0"/>
            </w:pPr>
            <w:r/>
            <w:r>
              <w:rPr>
                <w:rFonts w:ascii="Calibri" w:hAnsi="Calibri"/>
                <w:b w:val="0"/>
                <w:sz w:val="20"/>
              </w:rPr>
              <w:t>Lower coin price, larger quantity.</w:t>
            </w:r>
          </w:p>
        </w:tc>
      </w:tr>
    </w:tbl>
    <w:p/>
    <w:p>
      <w:pPr>
        <w:pStyle w:val="Heading1"/>
      </w:pPr>
      <w:r>
        <w:rPr>
          <w:rFonts w:ascii="Calibri" w:hAnsi="Calibri"/>
          <w:color w:val="2E74B5"/>
        </w:rPr>
        <w:t>6. What Leverage And Max Margin Actually Do</w:t>
      </w:r>
    </w:p>
    <w:p>
      <w:pPr>
        <w:spacing w:after="120" w:line="264" w:lineRule="auto"/>
      </w:pPr>
      <w:r>
        <w:t>Leverage does not decide how much you are willing to lose. The stop-loss risk decides that. Leverage mainly decides how much margin is needed to carry the position.</w:t>
      </w:r>
    </w:p>
    <w:tbl>
      <w:tblPr>
        <w:tblStyle w:val="TableGrid"/>
        <w:tblW w:type="dxa" w:w="9360"/>
        <w:jc w:val="center"/>
        <w:tblLayout w:type="fixed"/>
        <w:tblLook w:firstColumn="1" w:firstRow="1" w:lastColumn="0" w:lastRow="0" w:noHBand="0" w:noVBand="1" w:val="04A0"/>
        <w:tblInd w:w="120" w:type="dxa"/>
      </w:tblPr>
      <w:tblGrid>
        <w:gridCol w:w="2100"/>
        <w:gridCol w:w="1600"/>
        <w:gridCol w:w="5660"/>
      </w:tblGrid>
      <w:tr>
        <w:tc>
          <w:tcPr>
            <w:tcW w:type="dxa" w:w="2100"/>
            <w:vAlign w:val="center"/>
            <w:shd w:fill="F2F4F7"/>
          </w:tcPr>
          <w:p>
            <w:pPr>
              <w:spacing w:after="0"/>
            </w:pPr>
            <w:r/>
            <w:r>
              <w:rPr>
                <w:rFonts w:ascii="Calibri" w:hAnsi="Calibri"/>
                <w:b/>
                <w:color w:val="121826"/>
                <w:sz w:val="20"/>
              </w:rPr>
              <w:t>Control</w:t>
            </w:r>
          </w:p>
        </w:tc>
        <w:tc>
          <w:tcPr>
            <w:tcW w:type="dxa" w:w="1600"/>
            <w:vAlign w:val="center"/>
            <w:shd w:fill="F2F4F7"/>
          </w:tcPr>
          <w:p>
            <w:pPr>
              <w:spacing w:after="0"/>
            </w:pPr>
            <w:r/>
            <w:r>
              <w:rPr>
                <w:rFonts w:ascii="Calibri" w:hAnsi="Calibri"/>
                <w:b/>
                <w:color w:val="121826"/>
                <w:sz w:val="20"/>
              </w:rPr>
              <w:t>Your value</w:t>
            </w:r>
          </w:p>
        </w:tc>
        <w:tc>
          <w:tcPr>
            <w:tcW w:type="dxa" w:w="5660"/>
            <w:vAlign w:val="center"/>
            <w:shd w:fill="F2F4F7"/>
          </w:tcPr>
          <w:p>
            <w:pPr>
              <w:spacing w:after="0"/>
            </w:pPr>
            <w:r/>
            <w:r>
              <w:rPr>
                <w:rFonts w:ascii="Calibri" w:hAnsi="Calibri"/>
                <w:b/>
                <w:color w:val="121826"/>
                <w:sz w:val="20"/>
              </w:rPr>
              <w:t>Practical effect</w:t>
            </w:r>
          </w:p>
        </w:tc>
      </w:tr>
      <w:tr>
        <w:tc>
          <w:tcPr>
            <w:tcW w:type="dxa" w:w="2100"/>
          </w:tcPr>
          <w:p>
            <w:pPr>
              <w:spacing w:after="0"/>
            </w:pPr>
            <w:r/>
            <w:r>
              <w:rPr>
                <w:rFonts w:ascii="Calibri" w:hAnsi="Calibri"/>
                <w:b w:val="0"/>
                <w:sz w:val="20"/>
              </w:rPr>
              <w:t>Risk / Trade</w:t>
            </w:r>
          </w:p>
        </w:tc>
        <w:tc>
          <w:tcPr>
            <w:tcW w:type="dxa" w:w="1600"/>
          </w:tcPr>
          <w:p>
            <w:pPr>
              <w:spacing w:after="0"/>
            </w:pPr>
            <w:r/>
            <w:r>
              <w:rPr>
                <w:rFonts w:ascii="Calibri" w:hAnsi="Calibri"/>
                <w:b w:val="0"/>
                <w:sz w:val="20"/>
              </w:rPr>
              <w:t>3%</w:t>
            </w:r>
          </w:p>
        </w:tc>
        <w:tc>
          <w:tcPr>
            <w:tcW w:type="dxa" w:w="5660"/>
          </w:tcPr>
          <w:p>
            <w:pPr>
              <w:spacing w:after="0"/>
            </w:pPr>
            <w:r/>
            <w:r>
              <w:rPr>
                <w:rFonts w:ascii="Calibri" w:hAnsi="Calibri"/>
                <w:b w:val="0"/>
                <w:sz w:val="20"/>
              </w:rPr>
              <w:t>A normal trade should risk about Rs. 300.</w:t>
            </w:r>
          </w:p>
        </w:tc>
      </w:tr>
      <w:tr>
        <w:tc>
          <w:tcPr>
            <w:tcW w:type="dxa" w:w="2100"/>
          </w:tcPr>
          <w:p>
            <w:pPr>
              <w:spacing w:after="0"/>
            </w:pPr>
            <w:r/>
            <w:r>
              <w:rPr>
                <w:rFonts w:ascii="Calibri" w:hAnsi="Calibri"/>
                <w:b w:val="0"/>
                <w:sz w:val="20"/>
              </w:rPr>
              <w:t>Leverage</w:t>
            </w:r>
          </w:p>
        </w:tc>
        <w:tc>
          <w:tcPr>
            <w:tcW w:type="dxa" w:w="1600"/>
          </w:tcPr>
          <w:p>
            <w:pPr>
              <w:spacing w:after="0"/>
            </w:pPr>
            <w:r/>
            <w:r>
              <w:rPr>
                <w:rFonts w:ascii="Calibri" w:hAnsi="Calibri"/>
                <w:b w:val="0"/>
                <w:sz w:val="20"/>
              </w:rPr>
              <w:t>5x</w:t>
            </w:r>
          </w:p>
        </w:tc>
        <w:tc>
          <w:tcPr>
            <w:tcW w:type="dxa" w:w="5660"/>
          </w:tcPr>
          <w:p>
            <w:pPr>
              <w:spacing w:after="0"/>
            </w:pPr>
            <w:r/>
            <w:r>
              <w:rPr>
                <w:rFonts w:ascii="Calibri" w:hAnsi="Calibri"/>
                <w:b w:val="0"/>
                <w:sz w:val="20"/>
              </w:rPr>
              <w:t>A Rs. 3,000 position needs about Rs. 600 margin.</w:t>
            </w:r>
          </w:p>
        </w:tc>
      </w:tr>
      <w:tr>
        <w:tc>
          <w:tcPr>
            <w:tcW w:type="dxa" w:w="2100"/>
          </w:tcPr>
          <w:p>
            <w:pPr>
              <w:spacing w:after="0"/>
            </w:pPr>
            <w:r/>
            <w:r>
              <w:rPr>
                <w:rFonts w:ascii="Calibri" w:hAnsi="Calibri"/>
                <w:b w:val="0"/>
                <w:sz w:val="20"/>
              </w:rPr>
              <w:t>Max Margin</w:t>
            </w:r>
          </w:p>
        </w:tc>
        <w:tc>
          <w:tcPr>
            <w:tcW w:type="dxa" w:w="1600"/>
          </w:tcPr>
          <w:p>
            <w:pPr>
              <w:spacing w:after="0"/>
            </w:pPr>
            <w:r/>
            <w:r>
              <w:rPr>
                <w:rFonts w:ascii="Calibri" w:hAnsi="Calibri"/>
                <w:b w:val="0"/>
                <w:sz w:val="20"/>
              </w:rPr>
              <w:t>50%</w:t>
            </w:r>
          </w:p>
        </w:tc>
        <w:tc>
          <w:tcPr>
            <w:tcW w:type="dxa" w:w="5660"/>
          </w:tcPr>
          <w:p>
            <w:pPr>
              <w:spacing w:after="0"/>
            </w:pPr>
            <w:r/>
            <w:r>
              <w:rPr>
                <w:rFonts w:ascii="Calibri" w:hAnsi="Calibri"/>
                <w:b w:val="0"/>
                <w:sz w:val="20"/>
              </w:rPr>
              <w:t>Total margin across open trades should stay under about Rs. 5,000.</w:t>
            </w:r>
          </w:p>
        </w:tc>
      </w:tr>
      <w:tr>
        <w:tc>
          <w:tcPr>
            <w:tcW w:type="dxa" w:w="2100"/>
          </w:tcPr>
          <w:p>
            <w:pPr>
              <w:spacing w:after="0"/>
            </w:pPr>
            <w:r/>
            <w:r>
              <w:rPr>
                <w:rFonts w:ascii="Calibri" w:hAnsi="Calibri"/>
                <w:b w:val="0"/>
                <w:sz w:val="20"/>
              </w:rPr>
              <w:t>Max Open Positions</w:t>
            </w:r>
          </w:p>
        </w:tc>
        <w:tc>
          <w:tcPr>
            <w:tcW w:type="dxa" w:w="1600"/>
          </w:tcPr>
          <w:p>
            <w:pPr>
              <w:spacing w:after="0"/>
            </w:pPr>
            <w:r/>
            <w:r>
              <w:rPr>
                <w:rFonts w:ascii="Calibri" w:hAnsi="Calibri"/>
                <w:b w:val="0"/>
                <w:sz w:val="20"/>
              </w:rPr>
              <w:t>3</w:t>
            </w:r>
          </w:p>
        </w:tc>
        <w:tc>
          <w:tcPr>
            <w:tcW w:type="dxa" w:w="5660"/>
          </w:tcPr>
          <w:p>
            <w:pPr>
              <w:spacing w:after="0"/>
            </w:pPr>
            <w:r/>
            <w:r>
              <w:rPr>
                <w:rFonts w:ascii="Calibri" w:hAnsi="Calibri"/>
                <w:b w:val="0"/>
                <w:sz w:val="20"/>
              </w:rPr>
              <w:t>The bot can split risk across several pairs, but each trade still needs risk and margin approval.</w:t>
            </w:r>
          </w:p>
        </w:tc>
      </w:tr>
    </w:tbl>
    <w:p/>
    <w:p>
      <w:pPr>
        <w:pStyle w:val="Heading1"/>
      </w:pPr>
      <w:r>
        <w:rPr>
          <w:rFonts w:ascii="Calibri" w:hAnsi="Calibri"/>
          <w:color w:val="2E74B5"/>
        </w:rPr>
        <w:t>7. Why You Might See Less Than 3% Risk</w:t>
      </w:r>
    </w:p>
    <w:p>
      <w:pPr>
        <w:spacing w:after="120" w:line="264" w:lineRule="auto"/>
      </w:pPr>
      <w:r>
        <w:t>The dashboard says 3% risk per trade, but the strategy can deliberately reduce risk for weaker or more aggressive entries.</w:t>
      </w:r>
    </w:p>
    <w:p>
      <w:pPr>
        <w:pStyle w:val="ListBullet"/>
        <w:spacing w:after="80"/>
      </w:pPr>
      <w:r>
        <w:rPr>
          <w:rFonts w:ascii="Calibri" w:hAnsi="Calibri"/>
          <w:color w:val="121826"/>
          <w:sz w:val="22"/>
        </w:rPr>
        <w:t>A strong setup may use the full 3% risk, about Rs. 300.</w:t>
      </w:r>
    </w:p>
    <w:p>
      <w:pPr>
        <w:pStyle w:val="ListBullet"/>
        <w:spacing w:after="80"/>
      </w:pPr>
      <w:r>
        <w:rPr>
          <w:rFonts w:ascii="Calibri" w:hAnsi="Calibri"/>
          <w:color w:val="121826"/>
          <w:sz w:val="22"/>
        </w:rPr>
        <w:t>A weaker B setup may use a smaller multiplier, such as 50%, so risk becomes about Rs. 150.</w:t>
      </w:r>
    </w:p>
    <w:p>
      <w:pPr>
        <w:pStyle w:val="ListBullet"/>
        <w:spacing w:after="80"/>
      </w:pPr>
      <w:r>
        <w:rPr>
          <w:rFonts w:ascii="Calibri" w:hAnsi="Calibri"/>
          <w:color w:val="121826"/>
          <w:sz w:val="22"/>
        </w:rPr>
        <w:t>A breakout or defensive setup may use even less if the strategy labels it as risky.</w:t>
      </w:r>
    </w:p>
    <w:p>
      <w:pPr>
        <w:pStyle w:val="ListBullet"/>
        <w:spacing w:after="80"/>
      </w:pPr>
      <w:r>
        <w:rPr>
          <w:rFonts w:ascii="Calibri" w:hAnsi="Calibri"/>
          <w:color w:val="121826"/>
          <w:sz w:val="22"/>
        </w:rPr>
        <w:t>This is intentional: the strategy is allowed to reduce risk, but it should not exceed the configured risk cap.</w:t>
      </w:r>
    </w:p>
    <w:p>
      <w:pPr>
        <w:pStyle w:val="Heading1"/>
      </w:pPr>
      <w:r>
        <w:rPr>
          <w:rFonts w:ascii="Calibri" w:hAnsi="Calibri"/>
          <w:color w:val="2E74B5"/>
        </w:rPr>
        <w:t>8. Dashboard Reading Checklist</w:t>
      </w:r>
    </w:p>
    <w:p>
      <w:pPr>
        <w:pStyle w:val="ListBullet"/>
        <w:spacing w:after="80"/>
      </w:pPr>
      <w:r>
        <w:rPr>
          <w:rFonts w:ascii="Calibri" w:hAnsi="Calibri"/>
          <w:color w:val="121826"/>
          <w:sz w:val="22"/>
        </w:rPr>
        <w:t>Quantity is coin/contracts. It is not rupees.</w:t>
      </w:r>
    </w:p>
    <w:p>
      <w:pPr>
        <w:pStyle w:val="ListBullet"/>
        <w:spacing w:after="80"/>
      </w:pPr>
      <w:r>
        <w:rPr>
          <w:rFonts w:ascii="Calibri" w:hAnsi="Calibri"/>
          <w:color w:val="121826"/>
          <w:sz w:val="22"/>
        </w:rPr>
        <w:t>Notional is the total INR value of the position.</w:t>
      </w:r>
    </w:p>
    <w:p>
      <w:pPr>
        <w:pStyle w:val="ListBullet"/>
        <w:spacing w:after="80"/>
      </w:pPr>
      <w:r>
        <w:rPr>
          <w:rFonts w:ascii="Calibri" w:hAnsi="Calibri"/>
          <w:color w:val="121826"/>
          <w:sz w:val="22"/>
        </w:rPr>
        <w:t>Required margin is notional divided by leverage.</w:t>
      </w:r>
    </w:p>
    <w:p>
      <w:pPr>
        <w:pStyle w:val="ListBullet"/>
        <w:spacing w:after="80"/>
      </w:pPr>
      <w:r>
        <w:rPr>
          <w:rFonts w:ascii="Calibri" w:hAnsi="Calibri"/>
          <w:color w:val="121826"/>
          <w:sz w:val="22"/>
        </w:rPr>
        <w:t>Risk used is the planned INR loss if stop-loss hits.</w:t>
      </w:r>
    </w:p>
    <w:p>
      <w:pPr>
        <w:pStyle w:val="ListBullet"/>
        <w:spacing w:after="80"/>
      </w:pPr>
      <w:r>
        <w:rPr>
          <w:rFonts w:ascii="Calibri" w:hAnsi="Calibri"/>
          <w:color w:val="121826"/>
          <w:sz w:val="22"/>
        </w:rPr>
        <w:t>PnL, fees, equity, notional, and margin should all be read as INR.</w:t>
      </w:r>
    </w:p>
    <w:p>
      <w:pPr>
        <w:pStyle w:val="ListBullet"/>
        <w:spacing w:after="80"/>
      </w:pPr>
      <w:r>
        <w:rPr>
          <w:rFonts w:ascii="Calibri" w:hAnsi="Calibri"/>
          <w:color w:val="121826"/>
          <w:sz w:val="22"/>
        </w:rPr>
        <w:t>Chart prices and entry/exit prices remain USDT-quoted because that is how CoinDCX shows these futures markets.</w:t>
      </w:r>
    </w:p>
    <w:p>
      <w:pPr>
        <w:pStyle w:val="Heading1"/>
      </w:pPr>
      <w:r>
        <w:rPr>
          <w:rFonts w:ascii="Calibri" w:hAnsi="Calibri"/>
          <w:color w:val="2E74B5"/>
        </w:rPr>
        <w:t>9. What To Do After This Fix</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shd w:fill="FFF4E5"/>
          </w:tcPr>
          <w:p>
            <w:pPr>
              <w:spacing w:after="80"/>
            </w:pPr>
            <w:r>
              <w:rPr>
                <w:rFonts w:ascii="Calibri" w:hAnsi="Calibri"/>
                <w:b/>
                <w:color w:val="1F4D78"/>
                <w:sz w:val="22"/>
              </w:rPr>
              <w:t>Reset the paper session once</w:t>
            </w:r>
          </w:p>
          <w:p>
            <w:pPr>
              <w:spacing w:after="0"/>
            </w:pPr>
            <w:r>
              <w:rPr>
                <w:rFonts w:ascii="Calibri" w:hAnsi="Calibri"/>
                <w:color w:val="121826"/>
                <w:sz w:val="20"/>
              </w:rPr>
              <w:t>Old open paper positions were created using the old quantity math. Resetting the paper session makes the next trades clean and comparable under the corrected INR model.</w:t>
            </w:r>
          </w:p>
        </w:tc>
      </w:tr>
    </w:tbl>
    <w:p/>
    <w:p>
      <w:pPr>
        <w:spacing w:after="120" w:line="264" w:lineRule="auto"/>
      </w:pPr>
      <w:r>
        <w:t>After reset, check that BSB quantity is no longer thousands of coins for a small Rs. 10,000 account trade. It should be closer to the size implied by risk, stop distance, and the INR conversion rate.</w:t>
      </w:r>
    </w:p>
    <w:p>
      <w:pPr>
        <w:sectPr>
          <w:footerReference w:type="default" r:id="rId9"/>
          <w:pgSz w:w="12240" w:h="15840"/>
          <w:pgMar w:top="1440" w:right="1440" w:bottom="1440" w:left="1440" w:header="720" w:footer="720" w:gutter="0"/>
          <w:cols w:space="720"/>
          <w:docGrid w:linePitch="360"/>
        </w:sectPr>
      </w:pPr>
    </w:p>
    <w:sectPr w:rsidR="00FC693F" w:rsidRPr="0006063C" w:rsidSect="00034616">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36075"/>
        <w:sz w:val="18"/>
      </w:rPr>
      <w:t>CoinDCX INR-M futures bot explainer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2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