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r>
        <w:t xml:space="preserve"/>
      </w:r>
    </w:p>
    <w:p>
      <w:pPr>
        <w:spacing w:after="120" w:before="0"/>
        <w:jc w:val="center"/>
      </w:pPr>
      <w:r>
        <w:rPr>
          <w:rFonts w:ascii="Arial" w:cs="Arial" w:eastAsia="Arial" w:hAnsi="Arial"/>
          <w:b/>
          <w:bCs/>
          <w:color w:val="C4621A"/>
          <w:spacing w:val="200"/>
          <w:sz w:val="22"/>
          <w:szCs w:val="22"/>
        </w:rPr>
        <w:t xml:space="preserve">CONFIDENTIAL</w:t>
      </w:r>
    </w:p>
    <w:p>
      <w:pPr>
        <w:pBdr>
          <w:bottom w:val="single" w:color="C4621A" w:sz="6" w:space="12"/>
        </w:pBdr>
        <w:spacing w:after="200" w:before="0"/>
        <w:jc w:val="center"/>
      </w:pPr>
      <w:r>
        <w:rPr>
          <w:rFonts w:ascii="Arial" w:cs="Arial" w:eastAsia="Arial" w:hAnsi="Arial"/>
          <w:b/>
          <w:bCs/>
          <w:color w:val="0B1622"/>
          <w:sz w:val="72"/>
          <w:szCs w:val="72"/>
        </w:rPr>
        <w:t xml:space="preserve">AIRA</w:t>
      </w:r>
    </w:p>
    <w:p>
      <w:pPr>
        <w:spacing w:after="0" w:before="80"/>
      </w:pPr>
      <w:r>
        <w:t xml:space="preserve"/>
      </w:r>
    </w:p>
    <w:p>
      <w:pPr>
        <w:spacing w:after="120" w:before="0"/>
        <w:jc w:val="center"/>
      </w:pPr>
      <w:r>
        <w:rPr>
          <w:rFonts w:ascii="Arial" w:cs="Arial" w:eastAsia="Arial" w:hAnsi="Arial"/>
          <w:b/>
          <w:bCs/>
          <w:color w:val="1A1A2E"/>
          <w:sz w:val="36"/>
          <w:szCs w:val="36"/>
        </w:rPr>
        <w:t xml:space="preserve">System Architecture &amp; Deployment Specification</w:t>
      </w:r>
    </w:p>
    <w:p>
      <w:pPr>
        <w:spacing w:after="400" w:before="0"/>
        <w:jc w:val="center"/>
      </w:pPr>
      <w:r>
        <w:rPr>
          <w:rFonts w:ascii="Arial" w:cs="Arial" w:eastAsia="Arial" w:hAnsi="Arial"/>
          <w:color w:val="5E7A95"/>
          <w:sz w:val="26"/>
          <w:szCs w:val="26"/>
        </w:rPr>
        <w:t xml:space="preserve">Single-client Self-hosted Deployment</w:t>
      </w:r>
    </w:p>
    <w:p>
      <w:pPr>
        <w:spacing w:after="0" w:before="600"/>
      </w:pPr>
      <w:r>
        <w:t xml:space="preserve"/>
      </w:r>
    </w:p>
    <w:p>
      <w:pPr>
        <w:spacing w:after="80" w:before="0"/>
        <w:jc w:val="center"/>
      </w:pPr>
      <w:r>
        <w:rPr>
          <w:rFonts w:ascii="Arial" w:cs="Arial" w:eastAsia="Arial" w:hAnsi="Arial"/>
          <w:color w:val="5E7A95"/>
          <w:sz w:val="24"/>
          <w:szCs w:val="24"/>
        </w:rPr>
        <w:t xml:space="preserve">June 2026</w:t>
      </w:r>
    </w:p>
    <w:p>
      <w:pPr>
        <w:jc w:val="center"/>
      </w:pPr>
      <w:r>
        <w:rPr>
          <w:rFonts w:ascii="Arial" w:cs="Arial" w:eastAsia="Arial" w:hAnsi="Arial"/>
          <w:color w:val="999999"/>
          <w:sz w:val="22"/>
          <w:szCs w:val="22"/>
        </w:rPr>
        <w:t xml:space="preserve">Version 1.0</w:t>
      </w:r>
    </w:p>
    <w:p>
      <w:r>
        <w:br w:type="page"/>
      </w:r>
    </w:p>
    <w:p>
      <w:pPr>
        <w:sectPr>
          <w:pgSz w:w="12240" w:h="15840" w:orient="portrait"/>
          <w:pgMar w:top="1440" w:right="1440" w:bottom="1440" w:left="1440" w:header="708" w:footer="708" w:gutter="0"/>
          <w:pgNumType/>
          <w:docGrid w:linePitch="360"/>
        </w:sectPr>
      </w:pPr>
    </w:p>
    <w:p>
      <w:pPr>
        <w:pStyle w:val="Heading1"/>
        <w:pBdr>
          <w:bottom w:val="single" w:color="C4621A" w:sz="4" w:space="6"/>
        </w:pBdr>
        <w:spacing w:after="160" w:before="400"/>
      </w:pPr>
      <w:r>
        <w:rPr>
          <w:rFonts w:ascii="Arial" w:cs="Arial" w:eastAsia="Arial" w:hAnsi="Arial"/>
          <w:b/>
          <w:bCs/>
          <w:color w:val="C4621A"/>
          <w:sz w:val="30"/>
          <w:szCs w:val="30"/>
        </w:rPr>
        <w:t xml:space="preserve">1.  </w:t>
      </w:r>
      <w:r>
        <w:rPr>
          <w:rFonts w:ascii="Arial" w:cs="Arial" w:eastAsia="Arial" w:hAnsi="Arial"/>
          <w:b/>
          <w:bCs/>
          <w:color w:val="1A1A2E"/>
          <w:sz w:val="30"/>
          <w:szCs w:val="30"/>
        </w:rPr>
        <w:t xml:space="preserve">What is AIRA</w:t>
      </w:r>
    </w:p>
    <w:p>
      <w:pPr>
        <w:spacing w:after="80" w:before="80"/>
      </w:pPr>
      <w:r>
        <w:rPr>
          <w:rFonts w:ascii="Arial" w:cs="Arial" w:eastAsia="Arial" w:hAnsi="Arial"/>
          <w:color w:val="2D3748"/>
          <w:sz w:val="23"/>
          <w:szCs w:val="23"/>
        </w:rPr>
        <w:t xml:space="preserve">AIRA is an AI-powered voice receptionist. When someone calls a business phone number, an AI agent answers the call, understands what the caller is saying in Indian languages, responds intelligently using the company’s own knowledge base, and logs the full conversation transcript automatically.</w:t>
      </w:r>
    </w:p>
    <w:p>
      <w:pPr>
        <w:spacing w:after="0" w:before="120"/>
      </w:pPr>
      <w:r>
        <w:t xml:space="preserve"/>
      </w:r>
    </w:p>
    <w:p>
      <w:pPr>
        <w:spacing w:after="80" w:before="80"/>
      </w:pPr>
      <w:r>
        <w:rPr>
          <w:rFonts w:ascii="Arial" w:cs="Arial" w:eastAsia="Arial" w:hAnsi="Arial"/>
          <w:b/>
          <w:bCs/>
          <w:color w:val="1A1A2E"/>
          <w:sz w:val="23"/>
          <w:szCs w:val="23"/>
        </w:rPr>
        <w:t xml:space="preserve">Technologies used:</w:t>
      </w:r>
    </w:p>
    <w:p>
      <w:pPr>
        <w:pStyle w:val="ListParagraph"/>
        <w:numPr>
          <w:ilvl w:val="0"/>
          <w:numId w:val="2"/>
        </w:numPr>
        <w:spacing w:after="40" w:before="40"/>
      </w:pPr>
      <w:r>
        <w:rPr>
          <w:rFonts w:ascii="Arial" w:cs="Arial" w:eastAsia="Arial" w:hAnsi="Arial"/>
          <w:color w:val="2D3748"/>
          <w:sz w:val="23"/>
          <w:szCs w:val="23"/>
        </w:rPr>
        <w:t xml:space="preserve">LiveKit — real-time audio transport (WebRTC + SIP)</w:t>
      </w:r>
    </w:p>
    <w:p>
      <w:pPr>
        <w:pStyle w:val="ListParagraph"/>
        <w:numPr>
          <w:ilvl w:val="0"/>
          <w:numId w:val="2"/>
        </w:numPr>
        <w:spacing w:after="40" w:before="40"/>
      </w:pPr>
      <w:r>
        <w:rPr>
          <w:rFonts w:ascii="Arial" w:cs="Arial" w:eastAsia="Arial" w:hAnsi="Arial"/>
          <w:color w:val="2D3748"/>
          <w:sz w:val="23"/>
          <w:szCs w:val="23"/>
        </w:rPr>
        <w:t xml:space="preserve">Sarvam AI — speech-to-text in 6 Indian languages (English, Hindi, Tamil, Telugu, Kannada, Malayalam)</w:t>
      </w:r>
    </w:p>
    <w:p>
      <w:pPr>
        <w:pStyle w:val="ListParagraph"/>
        <w:numPr>
          <w:ilvl w:val="0"/>
          <w:numId w:val="2"/>
        </w:numPr>
        <w:spacing w:after="40" w:before="40"/>
      </w:pPr>
      <w:r>
        <w:rPr>
          <w:rFonts w:ascii="Arial" w:cs="Arial" w:eastAsia="Arial" w:hAnsi="Arial"/>
          <w:color w:val="2D3748"/>
          <w:sz w:val="23"/>
          <w:szCs w:val="23"/>
        </w:rPr>
        <w:t xml:space="preserve">Google Gemini / OpenAI GPT — the large language model that generates the agent’s replies</w:t>
      </w:r>
    </w:p>
    <w:p>
      <w:pPr>
        <w:pStyle w:val="ListParagraph"/>
        <w:numPr>
          <w:ilvl w:val="0"/>
          <w:numId w:val="2"/>
        </w:numPr>
        <w:spacing w:after="40" w:before="40"/>
      </w:pPr>
      <w:r>
        <w:rPr>
          <w:rFonts w:ascii="Arial" w:cs="Arial" w:eastAsia="Arial" w:hAnsi="Arial"/>
          <w:color w:val="2D3748"/>
          <w:sz w:val="23"/>
          <w:szCs w:val="23"/>
        </w:rPr>
        <w:t xml:space="preserve">Cartesia / ElevenLabs — text-to-speech (the agent’s voice)</w:t>
      </w:r>
    </w:p>
    <w:p>
      <w:pPr>
        <w:pStyle w:val="ListParagraph"/>
        <w:numPr>
          <w:ilvl w:val="0"/>
          <w:numId w:val="2"/>
        </w:numPr>
        <w:spacing w:after="40" w:before="40"/>
      </w:pPr>
      <w:r>
        <w:rPr>
          <w:rFonts w:ascii="Arial" w:cs="Arial" w:eastAsia="Arial" w:hAnsi="Arial"/>
          <w:color w:val="2D3748"/>
          <w:sz w:val="23"/>
          <w:szCs w:val="23"/>
        </w:rPr>
        <w:t xml:space="preserve">ChromaDB — vector database for knowledge base (RAG — Retrieval Augmented Generation)</w:t>
      </w:r>
    </w:p>
    <w:p>
      <w:pPr>
        <w:pStyle w:val="ListParagraph"/>
        <w:numPr>
          <w:ilvl w:val="0"/>
          <w:numId w:val="2"/>
        </w:numPr>
        <w:spacing w:after="40" w:before="40"/>
      </w:pPr>
      <w:r>
        <w:rPr>
          <w:rFonts w:ascii="Arial" w:cs="Arial" w:eastAsia="Arial" w:hAnsi="Arial"/>
          <w:color w:val="2D3748"/>
          <w:sz w:val="23"/>
          <w:szCs w:val="23"/>
        </w:rPr>
        <w:t xml:space="preserve">PostgreSQL — stores call logs, transcripts, summaries, and settings</w:t>
      </w:r>
    </w:p>
    <w:p>
      <w:pPr>
        <w:pStyle w:val="ListParagraph"/>
        <w:numPr>
          <w:ilvl w:val="0"/>
          <w:numId w:val="2"/>
        </w:numPr>
        <w:spacing w:after="40" w:before="40"/>
      </w:pPr>
      <w:r>
        <w:rPr>
          <w:rFonts w:ascii="Arial" w:cs="Arial" w:eastAsia="Arial" w:hAnsi="Arial"/>
          <w:color w:val="2D3748"/>
          <w:sz w:val="23"/>
          <w:szCs w:val="23"/>
        </w:rPr>
        <w:t xml:space="preserve">FastAPI — REST API backend</w:t>
      </w:r>
    </w:p>
    <w:p>
      <w:pPr>
        <w:pStyle w:val="ListParagraph"/>
        <w:numPr>
          <w:ilvl w:val="0"/>
          <w:numId w:val="2"/>
        </w:numPr>
        <w:spacing w:after="40" w:before="40"/>
      </w:pPr>
      <w:r>
        <w:rPr>
          <w:rFonts w:ascii="Arial" w:cs="Arial" w:eastAsia="Arial" w:hAnsi="Arial"/>
          <w:color w:val="2D3748"/>
          <w:sz w:val="23"/>
          <w:szCs w:val="23"/>
        </w:rPr>
        <w:t xml:space="preserve">Next.js — web dashboard for the client</w:t>
      </w:r>
    </w:p>
    <w:p>
      <w:pPr>
        <w:spacing w:after="0" w:before="200"/>
      </w:pPr>
      <w:r>
        <w:t xml:space="preserve"/>
      </w:r>
    </w:p>
    <w:p>
      <w:pPr>
        <w:pStyle w:val="Heading1"/>
        <w:pBdr>
          <w:bottom w:val="single" w:color="C4621A" w:sz="4" w:space="6"/>
        </w:pBdr>
        <w:spacing w:after="160" w:before="400"/>
      </w:pPr>
      <w:r>
        <w:rPr>
          <w:rFonts w:ascii="Arial" w:cs="Arial" w:eastAsia="Arial" w:hAnsi="Arial"/>
          <w:b/>
          <w:bCs/>
          <w:color w:val="C4621A"/>
          <w:sz w:val="30"/>
          <w:szCs w:val="30"/>
        </w:rPr>
        <w:t xml:space="preserve">2.  </w:t>
      </w:r>
      <w:r>
        <w:rPr>
          <w:rFonts w:ascii="Arial" w:cs="Arial" w:eastAsia="Arial" w:hAnsi="Arial"/>
          <w:b/>
          <w:bCs/>
          <w:color w:val="1A1A2E"/>
          <w:sz w:val="30"/>
          <w:szCs w:val="30"/>
        </w:rPr>
        <w:t xml:space="preserve">Architecture Diagram</w:t>
      </w:r>
    </w:p>
    <w:p>
      <w:pPr>
        <w:spacing w:after="80" w:before="80"/>
      </w:pPr>
      <w:r>
        <w:rPr>
          <w:rFonts w:ascii="Arial" w:cs="Arial" w:eastAsia="Arial" w:hAnsi="Arial"/>
          <w:color w:val="2D3748"/>
          <w:sz w:val="23"/>
          <w:szCs w:val="23"/>
        </w:rPr>
        <w:t xml:space="preserve">The diagram below shows all components of the AIRA system and how they communicate. The VM boundary (centre column) is where all services are self-hosted. External callers enter from the left; external APIs are called out to the right.</w:t>
      </w:r>
    </w:p>
    <w:p>
      <w:pPr>
        <w:spacing w:after="0" w:before="100"/>
      </w:pPr>
      <w:r>
        <w:t xml:space="preserve"/>
      </w:r>
    </w:p>
    <w:p>
      <w:pPr>
        <w:spacing w:after="0" w:before="0"/>
        <w:jc w:val="center"/>
      </w:pPr>
      <w:r>
        <w:drawing>
          <wp:inline distT="0" distB="0" distL="0" distR="0">
            <wp:extent cx="6667500" cy="4114800"/>
            <wp:effectExtent t="0" r="0" b="0" l="0"/>
            <wp:docPr id="1" name="ArchDiagram" descr="System architecture showing three columns: caller side, VM core, and data/external APIs" title="AIRA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667500" cy="4114800"/>
                    </a:xfrm>
                    <a:prstGeom prst="rect">
                      <a:avLst/>
                    </a:prstGeom>
                  </pic:spPr>
                </pic:pic>
              </a:graphicData>
            </a:graphic>
          </wp:inline>
        </w:drawing>
      </w:r>
    </w:p>
    <w:p>
      <w:pPr>
        <w:spacing w:after="0" w:before="80"/>
      </w:pPr>
      <w:r>
        <w:t xml:space="preserve"/>
      </w:r>
    </w:p>
    <w:p>
      <w:pPr>
        <w:spacing w:after="0" w:before="0"/>
        <w:jc w:val="center"/>
      </w:pPr>
      <w:r>
        <w:rPr>
          <w:rFonts w:ascii="Arial" w:cs="Arial" w:eastAsia="Arial" w:hAnsi="Arial"/>
          <w:i/>
          <w:iCs/>
          <w:color w:val="5E7A95"/>
          <w:sz w:val="19"/>
          <w:szCs w:val="19"/>
        </w:rPr>
        <w:t xml:space="preserve">Figure 1 — AIRA system architecture. All services in the centre column run on one VM.</w:t>
      </w:r>
    </w:p>
    <w:p>
      <w:pPr>
        <w:spacing w:after="0" w:before="200"/>
      </w:pPr>
      <w:r>
        <w:t xml:space="preserve"/>
      </w:r>
    </w:p>
    <w:p>
      <w:pPr>
        <w:pStyle w:val="Heading1"/>
        <w:pBdr>
          <w:bottom w:val="single" w:color="C4621A" w:sz="4" w:space="6"/>
        </w:pBdr>
        <w:spacing w:after="160" w:before="400"/>
      </w:pPr>
      <w:r>
        <w:rPr>
          <w:rFonts w:ascii="Arial" w:cs="Arial" w:eastAsia="Arial" w:hAnsi="Arial"/>
          <w:b/>
          <w:bCs/>
          <w:color w:val="C4621A"/>
          <w:sz w:val="30"/>
          <w:szCs w:val="30"/>
        </w:rPr>
        <w:t xml:space="preserve">3.  </w:t>
      </w:r>
      <w:r>
        <w:rPr>
          <w:rFonts w:ascii="Arial" w:cs="Arial" w:eastAsia="Arial" w:hAnsi="Arial"/>
          <w:b/>
          <w:bCs/>
          <w:color w:val="1A1A2E"/>
          <w:sz w:val="30"/>
          <w:szCs w:val="30"/>
        </w:rPr>
        <w:t xml:space="preserve">System Components</w:t>
      </w:r>
    </w:p>
    <w:p>
      <w:pPr>
        <w:spacing w:after="80" w:before="80"/>
      </w:pPr>
      <w:r>
        <w:rPr>
          <w:rFonts w:ascii="Arial" w:cs="Arial" w:eastAsia="Arial" w:hAnsi="Arial"/>
          <w:color w:val="2D3748"/>
          <w:sz w:val="23"/>
          <w:szCs w:val="23"/>
        </w:rPr>
        <w:t xml:space="preserve">All components run on a single VM. The table below lists each component, its technology, role, and the port it uses.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560"/>
        <w:gridCol w:w="1600"/>
      </w:tblGrid>
      <w:tr>
        <w:trPr>
          <w:tblHeader/>
        </w:trPr>
        <w:tc>
          <w:tcPr>
            <w:tcW w:type="dxa" w:w="2200"/>
            <w:tcBorders>
              <w:top w:val="single" w:color="1F3450" w:sz="1"/>
              <w:left w:val="single" w:color="1F3450" w:sz="1"/>
              <w:bottom w:val="single" w:color="1F3450" w:sz="1"/>
              <w:right w:val="single" w:color="1F3450" w:sz="1"/>
            </w:tcBorders>
            <w:shd w:fill="1F3450" w:val="clear"/>
            <w:tcMar>
              <w:top w:type="dxa" w:w="80"/>
              <w:left w:type="dxa" w:w="140"/>
              <w:bottom w:type="dxa" w:w="80"/>
              <w:right w:type="dxa" w:w="140"/>
            </w:tcMar>
            <w:vAlign w:val="center"/>
          </w:tcPr>
          <w:p>
            <w:r>
              <w:rPr>
                <w:rFonts w:ascii="Arial" w:cs="Arial" w:eastAsia="Arial" w:hAnsi="Arial"/>
                <w:b/>
                <w:bCs/>
                <w:color w:val="FFFFFF"/>
                <w:sz w:val="22"/>
                <w:szCs w:val="22"/>
              </w:rPr>
              <w:t xml:space="preserve">Component</w:t>
            </w:r>
          </w:p>
        </w:tc>
        <w:tc>
          <w:tcPr>
            <w:tcW w:type="dxa" w:w="2000"/>
            <w:tcBorders>
              <w:top w:val="single" w:color="1F3450" w:sz="1"/>
              <w:left w:val="single" w:color="1F3450" w:sz="1"/>
              <w:bottom w:val="single" w:color="1F3450" w:sz="1"/>
              <w:right w:val="single" w:color="1F3450" w:sz="1"/>
            </w:tcBorders>
            <w:shd w:fill="1F3450" w:val="clear"/>
            <w:tcMar>
              <w:top w:type="dxa" w:w="80"/>
              <w:left w:type="dxa" w:w="140"/>
              <w:bottom w:type="dxa" w:w="80"/>
              <w:right w:type="dxa" w:w="140"/>
            </w:tcMar>
            <w:vAlign w:val="center"/>
          </w:tcPr>
          <w:p>
            <w:r>
              <w:rPr>
                <w:rFonts w:ascii="Arial" w:cs="Arial" w:eastAsia="Arial" w:hAnsi="Arial"/>
                <w:b/>
                <w:bCs/>
                <w:color w:val="FFFFFF"/>
                <w:sz w:val="22"/>
                <w:szCs w:val="22"/>
              </w:rPr>
              <w:t xml:space="preserve">Technology</w:t>
            </w:r>
          </w:p>
        </w:tc>
        <w:tc>
          <w:tcPr>
            <w:tcW w:type="dxa" w:w="3560"/>
            <w:tcBorders>
              <w:top w:val="single" w:color="1F3450" w:sz="1"/>
              <w:left w:val="single" w:color="1F3450" w:sz="1"/>
              <w:bottom w:val="single" w:color="1F3450" w:sz="1"/>
              <w:right w:val="single" w:color="1F3450" w:sz="1"/>
            </w:tcBorders>
            <w:shd w:fill="1F3450" w:val="clear"/>
            <w:tcMar>
              <w:top w:type="dxa" w:w="80"/>
              <w:left w:type="dxa" w:w="140"/>
              <w:bottom w:type="dxa" w:w="80"/>
              <w:right w:type="dxa" w:w="140"/>
            </w:tcMar>
            <w:vAlign w:val="center"/>
          </w:tcPr>
          <w:p>
            <w:r>
              <w:rPr>
                <w:rFonts w:ascii="Arial" w:cs="Arial" w:eastAsia="Arial" w:hAnsi="Arial"/>
                <w:b/>
                <w:bCs/>
                <w:color w:val="FFFFFF"/>
                <w:sz w:val="22"/>
                <w:szCs w:val="22"/>
              </w:rPr>
              <w:t xml:space="preserve">Role</w:t>
            </w:r>
          </w:p>
        </w:tc>
        <w:tc>
          <w:tcPr>
            <w:tcW w:type="dxa" w:w="1600"/>
            <w:tcBorders>
              <w:top w:val="single" w:color="1F3450" w:sz="1"/>
              <w:left w:val="single" w:color="1F3450" w:sz="1"/>
              <w:bottom w:val="single" w:color="1F3450" w:sz="1"/>
              <w:right w:val="single" w:color="1F3450" w:sz="1"/>
            </w:tcBorders>
            <w:shd w:fill="1F3450" w:val="clear"/>
            <w:tcMar>
              <w:top w:type="dxa" w:w="80"/>
              <w:left w:type="dxa" w:w="140"/>
              <w:bottom w:type="dxa" w:w="80"/>
              <w:right w:type="dxa" w:w="140"/>
            </w:tcMar>
            <w:vAlign w:val="center"/>
          </w:tcPr>
          <w:p>
            <w:r>
              <w:rPr>
                <w:rFonts w:ascii="Arial" w:cs="Arial" w:eastAsia="Arial" w:hAnsi="Arial"/>
                <w:b/>
                <w:bCs/>
                <w:color w:val="FFFFFF"/>
                <w:sz w:val="22"/>
                <w:szCs w:val="22"/>
              </w:rPr>
              <w:t xml:space="preserve">Port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Reverse Proxy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Caddy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TLS termination, routes all web traffic by subdomain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80, 443</w:t>
            </w:r>
          </w:p>
        </w:tc>
      </w:tr>
      <w:tr>
        <w:tc>
          <w:tcPr>
            <w:tcW w:type="dxa" w:w="220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Media Server</w:t>
            </w:r>
          </w:p>
        </w:tc>
        <w:tc>
          <w:tcPr>
            <w:tcW w:type="dxa" w:w="200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LiveKit (self-hosted)</w:t>
            </w:r>
          </w:p>
        </w:tc>
        <w:tc>
          <w:tcPr>
            <w:tcW w:type="dxa" w:w="356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WebRTC + SIP, manages calls, dispatches jobs to agent worker</w:t>
            </w:r>
          </w:p>
        </w:tc>
        <w:tc>
          <w:tcPr>
            <w:tcW w:type="dxa" w:w="160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7880, 7881, 50000–60000 UDP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Voice Agent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Python / LiveKit Agents SDK</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STT → LLM → TTS pipeline, reads caller audio, generates response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Outbound only</w:t>
            </w:r>
          </w:p>
        </w:tc>
      </w:tr>
      <w:tr>
        <w:tc>
          <w:tcPr>
            <w:tcW w:type="dxa" w:w="220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REST API</w:t>
            </w:r>
          </w:p>
        </w:tc>
        <w:tc>
          <w:tcPr>
            <w:tcW w:type="dxa" w:w="200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FastAPI + Uvicorn</w:t>
            </w:r>
          </w:p>
        </w:tc>
        <w:tc>
          <w:tcPr>
            <w:tcW w:type="dxa" w:w="356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Call logs, transcripts, settings, KB upload, token generation</w:t>
            </w:r>
          </w:p>
        </w:tc>
        <w:tc>
          <w:tcPr>
            <w:tcW w:type="dxa" w:w="160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8001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Database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PostgreSQL 15 (Docker)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All persistent data: calls, transcripts, summaries, settings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5432 (internal)</w:t>
            </w:r>
          </w:p>
        </w:tc>
      </w:tr>
      <w:tr>
        <w:tc>
          <w:tcPr>
            <w:tcW w:type="dxa" w:w="220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Vector Store</w:t>
            </w:r>
          </w:p>
        </w:tc>
        <w:tc>
          <w:tcPr>
            <w:tcW w:type="dxa" w:w="200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ChromaDB (Docker)</w:t>
            </w:r>
          </w:p>
        </w:tc>
        <w:tc>
          <w:tcPr>
            <w:tcW w:type="dxa" w:w="356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Knowledge base RAG — stores embedded docs, answers queries</w:t>
            </w:r>
          </w:p>
        </w:tc>
        <w:tc>
          <w:tcPr>
            <w:tcW w:type="dxa" w:w="160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8000 (internal)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Web Dashboard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Next.js 14</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Client UI: calls, transcripts, KB upload, agent settings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3002</w:t>
            </w:r>
          </w:p>
        </w:tc>
      </w:tr>
      <w:tr>
        <w:tc>
          <w:tcPr>
            <w:tcW w:type="dxa" w:w="220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OS</w:t>
            </w:r>
          </w:p>
        </w:tc>
        <w:tc>
          <w:tcPr>
            <w:tcW w:type="dxa" w:w="200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Ubuntu 22.04 LTS</w:t>
            </w:r>
          </w:p>
        </w:tc>
        <w:tc>
          <w:tcPr>
            <w:tcW w:type="dxa" w:w="356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Base operating system on the VM</w:t>
            </w:r>
          </w:p>
        </w:tc>
        <w:tc>
          <w:tcPr>
            <w:tcW w:type="dxa" w:w="160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w:t>
            </w:r>
          </w:p>
        </w:tc>
      </w:tr>
    </w:tbl>
    <w:p>
      <w:pPr>
        <w:spacing w:after="0" w:before="200"/>
      </w:pPr>
      <w:r>
        <w:t xml:space="preserve"/>
      </w:r>
    </w:p>
    <w:p>
      <w:pPr>
        <w:pStyle w:val="Heading1"/>
        <w:pBdr>
          <w:bottom w:val="single" w:color="C4621A" w:sz="4" w:space="6"/>
        </w:pBdr>
        <w:spacing w:after="160" w:before="400"/>
      </w:pPr>
      <w:r>
        <w:rPr>
          <w:rFonts w:ascii="Arial" w:cs="Arial" w:eastAsia="Arial" w:hAnsi="Arial"/>
          <w:b/>
          <w:bCs/>
          <w:color w:val="C4621A"/>
          <w:sz w:val="30"/>
          <w:szCs w:val="30"/>
        </w:rPr>
        <w:t xml:space="preserve">4.  </w:t>
      </w:r>
      <w:r>
        <w:rPr>
          <w:rFonts w:ascii="Arial" w:cs="Arial" w:eastAsia="Arial" w:hAnsi="Arial"/>
          <w:b/>
          <w:bCs/>
          <w:color w:val="1A1A2E"/>
          <w:sz w:val="30"/>
          <w:szCs w:val="30"/>
        </w:rPr>
        <w:t xml:space="preserve">How a Call Works — Step by Step</w:t>
      </w:r>
    </w:p>
    <w:p>
      <w:pPr>
        <w:spacing w:after="80" w:before="80"/>
      </w:pPr>
      <w:r>
        <w:rPr>
          <w:rFonts w:ascii="Arial" w:cs="Arial" w:eastAsia="Arial" w:hAnsi="Arial"/>
          <w:color w:val="2D3748"/>
          <w:sz w:val="23"/>
          <w:szCs w:val="23"/>
        </w:rPr>
        <w:t xml:space="preserve">The following sequence describes a complete call from the moment the caller dials to the transcript being saved.</w:t>
      </w:r>
    </w:p>
    <w:p>
      <w:pPr>
        <w:spacing w:after="0" w:before="80"/>
      </w:pPr>
      <w:r>
        <w:t xml:space="preserve"/>
      </w:r>
    </w:p>
    <w:p>
      <w:pPr>
        <w:pStyle w:val="ListParagraph"/>
        <w:numPr>
          <w:ilvl w:val="0"/>
          <w:numId w:val="3"/>
        </w:numPr>
        <w:spacing w:after="60" w:before="60"/>
      </w:pPr>
      <w:r>
        <w:rPr>
          <w:rFonts w:ascii="Arial" w:cs="Arial" w:eastAsia="Arial" w:hAnsi="Arial"/>
          <w:color w:val="2D3748"/>
          <w:sz w:val="23"/>
          <w:szCs w:val="23"/>
        </w:rPr>
        <w:t xml:space="preserve">Caller dials the business phone number via SIP trunk, or opens the web widget (WebRTC).</w:t>
      </w:r>
    </w:p>
    <w:p>
      <w:pPr>
        <w:pStyle w:val="ListParagraph"/>
        <w:numPr>
          <w:ilvl w:val="0"/>
          <w:numId w:val="3"/>
        </w:numPr>
        <w:spacing w:after="60" w:before="60"/>
      </w:pPr>
      <w:r>
        <w:rPr>
          <w:rFonts w:ascii="Arial" w:cs="Arial" w:eastAsia="Arial" w:hAnsi="Arial"/>
          <w:color w:val="2D3748"/>
          <w:sz w:val="23"/>
          <w:szCs w:val="23"/>
        </w:rPr>
        <w:t xml:space="preserve">LiveKit server receives the call and creates a room.</w:t>
      </w:r>
    </w:p>
    <w:p>
      <w:pPr>
        <w:pStyle w:val="ListParagraph"/>
        <w:numPr>
          <w:ilvl w:val="0"/>
          <w:numId w:val="3"/>
        </w:numPr>
        <w:spacing w:after="60" w:before="60"/>
      </w:pPr>
      <w:r>
        <w:rPr>
          <w:rFonts w:ascii="Arial" w:cs="Arial" w:eastAsia="Arial" w:hAnsi="Arial"/>
          <w:color w:val="2D3748"/>
          <w:sz w:val="23"/>
          <w:szCs w:val="23"/>
        </w:rPr>
        <w:t xml:space="preserve">LiveKit dispatches a job to the Voice Agent Worker.</w:t>
      </w:r>
    </w:p>
    <w:p>
      <w:pPr>
        <w:pStyle w:val="ListParagraph"/>
        <w:numPr>
          <w:ilvl w:val="0"/>
          <w:numId w:val="3"/>
        </w:numPr>
        <w:spacing w:after="60" w:before="60"/>
      </w:pPr>
      <w:r>
        <w:rPr>
          <w:rFonts w:ascii="Arial" w:cs="Arial" w:eastAsia="Arial" w:hAnsi="Arial"/>
          <w:color w:val="2D3748"/>
          <w:sz w:val="23"/>
          <w:szCs w:val="23"/>
        </w:rPr>
        <w:t xml:space="preserve">Worker connects to the room and starts listening.</w:t>
      </w:r>
    </w:p>
    <w:p>
      <w:pPr>
        <w:pStyle w:val="ListParagraph"/>
        <w:numPr>
          <w:ilvl w:val="0"/>
          <w:numId w:val="3"/>
        </w:numPr>
        <w:spacing w:after="60" w:before="60"/>
      </w:pPr>
      <w:r>
        <w:rPr>
          <w:rFonts w:ascii="Arial" w:cs="Arial" w:eastAsia="Arial" w:hAnsi="Arial"/>
          <w:color w:val="2D3748"/>
          <w:sz w:val="23"/>
          <w:szCs w:val="23"/>
        </w:rPr>
        <w:t xml:space="preserve">Caller speaks — audio is captured as a PCM stream.</w:t>
      </w:r>
    </w:p>
    <w:p>
      <w:pPr>
        <w:pStyle w:val="ListParagraph"/>
        <w:numPr>
          <w:ilvl w:val="0"/>
          <w:numId w:val="3"/>
        </w:numPr>
        <w:spacing w:after="60" w:before="60"/>
      </w:pPr>
      <w:r>
        <w:rPr>
          <w:rFonts w:ascii="Arial" w:cs="Arial" w:eastAsia="Arial" w:hAnsi="Arial"/>
          <w:color w:val="2D3748"/>
          <w:sz w:val="23"/>
          <w:szCs w:val="23"/>
        </w:rPr>
        <w:t xml:space="preserve">Audio is sent to Sarvam AI (STT) and returned as text.</w:t>
      </w:r>
    </w:p>
    <w:p>
      <w:pPr>
        <w:pStyle w:val="ListParagraph"/>
        <w:numPr>
          <w:ilvl w:val="0"/>
          <w:numId w:val="3"/>
        </w:numPr>
        <w:spacing w:after="60" w:before="60"/>
      </w:pPr>
      <w:r>
        <w:rPr>
          <w:rFonts w:ascii="Arial" w:cs="Arial" w:eastAsia="Arial" w:hAnsi="Arial"/>
          <w:color w:val="2D3748"/>
          <w:sz w:val="23"/>
          <w:szCs w:val="23"/>
        </w:rPr>
        <w:t xml:space="preserve">Text is sent to Gemini/OpenAI (LLM) along with relevant knowledge base context fetched from ChromaDB.</w:t>
      </w:r>
    </w:p>
    <w:p>
      <w:pPr>
        <w:pStyle w:val="ListParagraph"/>
        <w:numPr>
          <w:ilvl w:val="0"/>
          <w:numId w:val="3"/>
        </w:numPr>
        <w:spacing w:after="60" w:before="60"/>
      </w:pPr>
      <w:r>
        <w:rPr>
          <w:rFonts w:ascii="Arial" w:cs="Arial" w:eastAsia="Arial" w:hAnsi="Arial"/>
          <w:color w:val="2D3748"/>
          <w:sz w:val="23"/>
          <w:szCs w:val="23"/>
        </w:rPr>
        <w:t xml:space="preserve">LLM generates a reply.</w:t>
      </w:r>
    </w:p>
    <w:p>
      <w:pPr>
        <w:pStyle w:val="ListParagraph"/>
        <w:numPr>
          <w:ilvl w:val="0"/>
          <w:numId w:val="3"/>
        </w:numPr>
        <w:spacing w:after="60" w:before="60"/>
      </w:pPr>
      <w:r>
        <w:rPr>
          <w:rFonts w:ascii="Arial" w:cs="Arial" w:eastAsia="Arial" w:hAnsi="Arial"/>
          <w:color w:val="2D3748"/>
          <w:sz w:val="23"/>
          <w:szCs w:val="23"/>
        </w:rPr>
        <w:t xml:space="preserve">Reply text is sent to Cartesia (TTS) and returned as audio.</w:t>
      </w:r>
    </w:p>
    <w:p>
      <w:pPr>
        <w:pStyle w:val="ListParagraph"/>
        <w:numPr>
          <w:ilvl w:val="0"/>
          <w:numId w:val="3"/>
        </w:numPr>
        <w:spacing w:after="60" w:before="60"/>
      </w:pPr>
      <w:r>
        <w:rPr>
          <w:rFonts w:ascii="Arial" w:cs="Arial" w:eastAsia="Arial" w:hAnsi="Arial"/>
          <w:color w:val="2D3748"/>
          <w:sz w:val="23"/>
          <w:szCs w:val="23"/>
        </w:rPr>
        <w:t xml:space="preserve">Audio is played back to the caller through LiveKit.</w:t>
      </w:r>
    </w:p>
    <w:p>
      <w:pPr>
        <w:pStyle w:val="ListParagraph"/>
        <w:numPr>
          <w:ilvl w:val="0"/>
          <w:numId w:val="3"/>
        </w:numPr>
        <w:spacing w:after="60" w:before="60"/>
      </w:pPr>
      <w:r>
        <w:rPr>
          <w:rFonts w:ascii="Arial" w:cs="Arial" w:eastAsia="Arial" w:hAnsi="Arial"/>
          <w:color w:val="2D3748"/>
          <w:sz w:val="23"/>
          <w:szCs w:val="23"/>
        </w:rPr>
        <w:t xml:space="preserve">Both the caller’s words and the agent’s reply are saved to PostgreSQL as transcript rows. This is async and non-blocking — it does not add latency to the conversation.</w:t>
      </w:r>
    </w:p>
    <w:p>
      <w:pPr>
        <w:pStyle w:val="ListParagraph"/>
        <w:numPr>
          <w:ilvl w:val="0"/>
          <w:numId w:val="3"/>
        </w:numPr>
        <w:spacing w:after="60" w:before="60"/>
      </w:pPr>
      <w:r>
        <w:rPr>
          <w:rFonts w:ascii="Arial" w:cs="Arial" w:eastAsia="Arial" w:hAnsi="Arial"/>
          <w:color w:val="2D3748"/>
          <w:sz w:val="23"/>
          <w:szCs w:val="23"/>
        </w:rPr>
        <w:t xml:space="preserve">Steps 5–11 repeat for every conversation turn until the caller hangs up.</w:t>
      </w:r>
    </w:p>
    <w:p>
      <w:pPr>
        <w:pStyle w:val="ListParagraph"/>
        <w:numPr>
          <w:ilvl w:val="0"/>
          <w:numId w:val="3"/>
        </w:numPr>
        <w:spacing w:after="60" w:before="60"/>
      </w:pPr>
      <w:r>
        <w:rPr>
          <w:rFonts w:ascii="Arial" w:cs="Arial" w:eastAsia="Arial" w:hAnsi="Arial"/>
          <w:color w:val="2D3748"/>
          <w:sz w:val="23"/>
          <w:szCs w:val="23"/>
        </w:rPr>
        <w:t xml:space="preserve">On call end, a summary and call category are generated by the LLM and saved to PostgreSQL.</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621A" w:sz="8"/>
              <w:left w:val="single" w:color="C4621A" w:sz="24"/>
              <w:bottom w:val="single" w:color="E0C070" w:sz="1"/>
              <w:right w:val="single" w:color="E0C070" w:sz="1"/>
            </w:tcBorders>
            <w:shd w:fill="FFF8E1" w:val="clear"/>
            <w:tcMar>
              <w:top w:type="dxa" w:w="120"/>
              <w:left w:type="dxa" w:w="200"/>
              <w:bottom w:type="dxa" w:w="120"/>
              <w:right w:type="dxa" w:w="200"/>
            </w:tcMar>
          </w:tcPr>
          <w:p>
            <w:r>
              <w:rPr>
                <w:rFonts w:ascii="Arial" w:cs="Arial" w:eastAsia="Arial" w:hAnsi="Arial"/>
                <w:b/>
                <w:bCs/>
                <w:color w:val="7D5B00"/>
                <w:sz w:val="22"/>
                <w:szCs w:val="22"/>
              </w:rPr>
              <w:t xml:space="preserve">Non-blocking transcript writes</w:t>
            </w:r>
          </w:p>
          <w:p>
            <w:pPr>
              <w:spacing w:before="40"/>
            </w:pPr>
            <w:r>
              <w:rPr>
                <w:rFonts w:ascii="Arial" w:cs="Arial" w:eastAsia="Arial" w:hAnsi="Arial"/>
                <w:color w:val="3D3D3D"/>
                <w:sz w:val="22"/>
                <w:szCs w:val="22"/>
              </w:rPr>
              <w:t xml:space="preserve">The transcript is saved using asyncio.create_task() — a background coroutine. The voice pipeline does not wait for the database write to complete before processing the next turn. This keeps conversation latency low.</w:t>
            </w:r>
          </w:p>
        </w:tc>
      </w:tr>
    </w:tbl>
    <w:p>
      <w:pPr>
        <w:spacing w:after="0" w:before="200"/>
      </w:pPr>
      <w:r>
        <w:t xml:space="preserve"/>
      </w:r>
    </w:p>
    <w:p>
      <w:pPr>
        <w:pStyle w:val="Heading1"/>
        <w:pBdr>
          <w:bottom w:val="single" w:color="C4621A" w:sz="4" w:space="6"/>
        </w:pBdr>
        <w:spacing w:after="160" w:before="400"/>
      </w:pPr>
      <w:r>
        <w:rPr>
          <w:rFonts w:ascii="Arial" w:cs="Arial" w:eastAsia="Arial" w:hAnsi="Arial"/>
          <w:b/>
          <w:bCs/>
          <w:color w:val="C4621A"/>
          <w:sz w:val="30"/>
          <w:szCs w:val="30"/>
        </w:rPr>
        <w:t xml:space="preserve">5.  </w:t>
      </w:r>
      <w:r>
        <w:rPr>
          <w:rFonts w:ascii="Arial" w:cs="Arial" w:eastAsia="Arial" w:hAnsi="Arial"/>
          <w:b/>
          <w:bCs/>
          <w:color w:val="1A1A2E"/>
          <w:sz w:val="30"/>
          <w:szCs w:val="30"/>
        </w:rPr>
        <w:t xml:space="preserve">Processes Running on the VM</w:t>
      </w:r>
    </w:p>
    <w:p>
      <w:pPr>
        <w:spacing w:after="80" w:before="80"/>
      </w:pPr>
      <w:r>
        <w:rPr>
          <w:rFonts w:ascii="Arial" w:cs="Arial" w:eastAsia="Arial" w:hAnsi="Arial"/>
          <w:color w:val="2D3748"/>
          <w:sz w:val="23"/>
          <w:szCs w:val="23"/>
        </w:rPr>
        <w:t xml:space="preserve">The table below lists every process that runs on the VM, its memory footprint, CPU requirement, and key notes.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960"/>
        <w:gridCol w:w="3600"/>
      </w:tblGrid>
      <w:tr>
        <w:trPr>
          <w:tblHeader/>
        </w:trPr>
        <w:tc>
          <w:tcPr>
            <w:tcW w:type="dxa" w:w="2000"/>
            <w:tcBorders>
              <w:top w:val="single" w:color="1F3450" w:sz="1"/>
              <w:left w:val="single" w:color="1F3450" w:sz="1"/>
              <w:bottom w:val="single" w:color="1F3450" w:sz="1"/>
              <w:right w:val="single" w:color="1F3450" w:sz="1"/>
            </w:tcBorders>
            <w:shd w:fill="1F3450" w:val="clear"/>
            <w:tcMar>
              <w:top w:type="dxa" w:w="80"/>
              <w:left w:type="dxa" w:w="140"/>
              <w:bottom w:type="dxa" w:w="80"/>
              <w:right w:type="dxa" w:w="140"/>
            </w:tcMar>
            <w:vAlign w:val="center"/>
          </w:tcPr>
          <w:p>
            <w:r>
              <w:rPr>
                <w:rFonts w:ascii="Arial" w:cs="Arial" w:eastAsia="Arial" w:hAnsi="Arial"/>
                <w:b/>
                <w:bCs/>
                <w:color w:val="FFFFFF"/>
                <w:sz w:val="22"/>
                <w:szCs w:val="22"/>
              </w:rPr>
              <w:t xml:space="preserve">Process</w:t>
            </w:r>
          </w:p>
        </w:tc>
        <w:tc>
          <w:tcPr>
            <w:tcW w:type="dxa" w:w="1800"/>
            <w:tcBorders>
              <w:top w:val="single" w:color="1F3450" w:sz="1"/>
              <w:left w:val="single" w:color="1F3450" w:sz="1"/>
              <w:bottom w:val="single" w:color="1F3450" w:sz="1"/>
              <w:right w:val="single" w:color="1F3450" w:sz="1"/>
            </w:tcBorders>
            <w:shd w:fill="1F3450" w:val="clear"/>
            <w:tcMar>
              <w:top w:type="dxa" w:w="80"/>
              <w:left w:type="dxa" w:w="140"/>
              <w:bottom w:type="dxa" w:w="80"/>
              <w:right w:type="dxa" w:w="140"/>
            </w:tcMar>
            <w:vAlign w:val="center"/>
          </w:tcPr>
          <w:p>
            <w:r>
              <w:rPr>
                <w:rFonts w:ascii="Arial" w:cs="Arial" w:eastAsia="Arial" w:hAnsi="Arial"/>
                <w:b/>
                <w:bCs/>
                <w:color w:val="FFFFFF"/>
                <w:sz w:val="22"/>
                <w:szCs w:val="22"/>
              </w:rPr>
              <w:t xml:space="preserve">RAM Usage</w:t>
            </w:r>
          </w:p>
        </w:tc>
        <w:tc>
          <w:tcPr>
            <w:tcW w:type="dxa" w:w="1960"/>
            <w:tcBorders>
              <w:top w:val="single" w:color="1F3450" w:sz="1"/>
              <w:left w:val="single" w:color="1F3450" w:sz="1"/>
              <w:bottom w:val="single" w:color="1F3450" w:sz="1"/>
              <w:right w:val="single" w:color="1F3450" w:sz="1"/>
            </w:tcBorders>
            <w:shd w:fill="1F3450" w:val="clear"/>
            <w:tcMar>
              <w:top w:type="dxa" w:w="80"/>
              <w:left w:type="dxa" w:w="140"/>
              <w:bottom w:type="dxa" w:w="80"/>
              <w:right w:type="dxa" w:w="140"/>
            </w:tcMar>
            <w:vAlign w:val="center"/>
          </w:tcPr>
          <w:p>
            <w:r>
              <w:rPr>
                <w:rFonts w:ascii="Arial" w:cs="Arial" w:eastAsia="Arial" w:hAnsi="Arial"/>
                <w:b/>
                <w:bCs/>
                <w:color w:val="FFFFFF"/>
                <w:sz w:val="22"/>
                <w:szCs w:val="22"/>
              </w:rPr>
              <w:t xml:space="preserve">CPU Usage</w:t>
            </w:r>
          </w:p>
        </w:tc>
        <w:tc>
          <w:tcPr>
            <w:tcW w:type="dxa" w:w="3600"/>
            <w:tcBorders>
              <w:top w:val="single" w:color="1F3450" w:sz="1"/>
              <w:left w:val="single" w:color="1F3450" w:sz="1"/>
              <w:bottom w:val="single" w:color="1F3450" w:sz="1"/>
              <w:right w:val="single" w:color="1F3450" w:sz="1"/>
            </w:tcBorders>
            <w:shd w:fill="1F3450" w:val="clear"/>
            <w:tcMar>
              <w:top w:type="dxa" w:w="80"/>
              <w:left w:type="dxa" w:w="140"/>
              <w:bottom w:type="dxa" w:w="80"/>
              <w:right w:type="dxa" w:w="140"/>
            </w:tcMar>
            <w:vAlign w:val="center"/>
          </w:tcPr>
          <w:p>
            <w:r>
              <w:rPr>
                <w:rFonts w:ascii="Arial" w:cs="Arial" w:eastAsia="Arial" w:hAnsi="Arial"/>
                <w:b/>
                <w:bCs/>
                <w:color w:val="FFFFFF"/>
                <w:sz w:val="22"/>
                <w:szCs w:val="22"/>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Caddy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30–50 MB</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Negligible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Auto TLS via Let's Encrypt</w:t>
            </w:r>
          </w:p>
        </w:tc>
      </w:tr>
      <w:tr>
        <w:tc>
          <w:tcPr>
            <w:tcW w:type="dxa" w:w="200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LiveKit server</w:t>
            </w:r>
          </w:p>
        </w:tc>
        <w:tc>
          <w:tcPr>
            <w:tcW w:type="dxa" w:w="180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150–400 MB</w:t>
            </w:r>
          </w:p>
        </w:tc>
        <w:tc>
          <w:tcPr>
            <w:tcW w:type="dxa" w:w="196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0.2 core base + 0.1 / active call</w:t>
            </w:r>
          </w:p>
        </w:tc>
        <w:tc>
          <w:tcPr>
            <w:tcW w:type="dxa" w:w="360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UDP 50000–60000 must be open in firewall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Voice agent worker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200–500 MB</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0.3 core per active call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One Python process handles ~5 concurrent calls</w:t>
            </w:r>
          </w:p>
        </w:tc>
      </w:tr>
      <w:tr>
        <w:tc>
          <w:tcPr>
            <w:tcW w:type="dxa" w:w="200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FastAPI (uvicorn)</w:t>
            </w:r>
          </w:p>
        </w:tc>
        <w:tc>
          <w:tcPr>
            <w:tcW w:type="dxa" w:w="180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80–200 MB</w:t>
            </w:r>
          </w:p>
        </w:tc>
        <w:tc>
          <w:tcPr>
            <w:tcW w:type="dxa" w:w="196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Low (I/O bound)</w:t>
            </w:r>
          </w:p>
        </w:tc>
        <w:tc>
          <w:tcPr>
            <w:tcW w:type="dxa" w:w="360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Run 2–4 uvicorn workers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PostgreSQL (Docker)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100–300 MB</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Low</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Data on persistent Docker volume</w:t>
            </w:r>
          </w:p>
        </w:tc>
      </w:tr>
      <w:tr>
        <w:tc>
          <w:tcPr>
            <w:tcW w:type="dxa" w:w="200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ChromaDB (Docker)</w:t>
            </w:r>
          </w:p>
        </w:tc>
        <w:tc>
          <w:tcPr>
            <w:tcW w:type="dxa" w:w="180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100–400 MB</w:t>
            </w:r>
          </w:p>
        </w:tc>
        <w:tc>
          <w:tcPr>
            <w:tcW w:type="dxa" w:w="196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Spikes on document upload</w:t>
            </w:r>
          </w:p>
        </w:tc>
        <w:tc>
          <w:tcPr>
            <w:tcW w:type="dxa" w:w="360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Data on persistent Docker volume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Next.js dashboard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150–250 MB</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Minimal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Served with npm start or PM2</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vAlign w:val="center"/>
          </w:tcPr>
          <w:p>
            <w:r>
              <w:rPr>
                <w:rFonts w:ascii="Arial" w:cs="Arial" w:eastAsia="Arial" w:hAnsi="Arial"/>
                <w:b/>
                <w:bCs/>
                <w:color w:val="0B3060"/>
                <w:sz w:val="22"/>
                <w:szCs w:val="22"/>
              </w:rPr>
              <w:t xml:space="preserve">TOTAL — idle</w:t>
            </w:r>
          </w:p>
        </w:tc>
        <w:tc>
          <w:tcPr>
            <w:tcW w:type="dxa" w:w="18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vAlign w:val="center"/>
          </w:tcPr>
          <w:p>
            <w:r>
              <w:rPr>
                <w:rFonts w:ascii="Arial" w:cs="Arial" w:eastAsia="Arial" w:hAnsi="Arial"/>
                <w:b w:val="false"/>
                <w:bCs w:val="false"/>
                <w:color w:val="2D3748"/>
                <w:sz w:val="22"/>
                <w:szCs w:val="22"/>
              </w:rPr>
              <w:t xml:space="preserve">~1.0–2.0 GB</w:t>
            </w:r>
          </w:p>
        </w:tc>
        <w:tc>
          <w:tcPr>
            <w:tcW w:type="dxa" w:w="196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vAlign w:val="center"/>
          </w:tcPr>
          <w:p>
            <w:r>
              <w:rPr>
                <w:rFonts w:ascii="Arial" w:cs="Arial" w:eastAsia="Arial" w:hAnsi="Arial"/>
                <w:b w:val="false"/>
                <w:bCs w:val="false"/>
                <w:color w:val="2D3748"/>
                <w:sz w:val="22"/>
                <w:szCs w:val="22"/>
              </w:rPr>
              <w:t xml:space="preserve">~1.0 core</w:t>
            </w:r>
          </w:p>
        </w:tc>
        <w:tc>
          <w:tcPr>
            <w:tcW w:type="dxa" w:w="36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vAlign w:val="center"/>
          </w:tcPr>
          <w:p>
            <w:r>
              <w:rPr>
                <w:rFonts w:ascii="Arial" w:cs="Arial" w:eastAsia="Arial" w:hAnsi="Arial"/>
                <w:b w:val="false"/>
                <w:bCs w:val="false"/>
                <w:color w:val="2D3748"/>
                <w:sz w:val="22"/>
                <w:szCs w:val="22"/>
              </w:rPr>
              <w:t xml:space="preserve"/>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vAlign w:val="center"/>
          </w:tcPr>
          <w:p>
            <w:r>
              <w:rPr>
                <w:rFonts w:ascii="Arial" w:cs="Arial" w:eastAsia="Arial" w:hAnsi="Arial"/>
                <w:b/>
                <w:bCs/>
                <w:color w:val="0B3060"/>
                <w:sz w:val="22"/>
                <w:szCs w:val="22"/>
              </w:rPr>
              <w:t xml:space="preserve">TOTAL — 5 concurrent calls</w:t>
            </w:r>
          </w:p>
        </w:tc>
        <w:tc>
          <w:tcPr>
            <w:tcW w:type="dxa" w:w="18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vAlign w:val="center"/>
          </w:tcPr>
          <w:p>
            <w:r>
              <w:rPr>
                <w:rFonts w:ascii="Arial" w:cs="Arial" w:eastAsia="Arial" w:hAnsi="Arial"/>
                <w:b w:val="false"/>
                <w:bCs w:val="false"/>
                <w:color w:val="2D3748"/>
                <w:sz w:val="22"/>
                <w:szCs w:val="22"/>
              </w:rPr>
              <w:t xml:space="preserve">~2.5–3.5 GB</w:t>
            </w:r>
          </w:p>
        </w:tc>
        <w:tc>
          <w:tcPr>
            <w:tcW w:type="dxa" w:w="196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vAlign w:val="center"/>
          </w:tcPr>
          <w:p>
            <w:r>
              <w:rPr>
                <w:rFonts w:ascii="Arial" w:cs="Arial" w:eastAsia="Arial" w:hAnsi="Arial"/>
                <w:b w:val="false"/>
                <w:bCs w:val="false"/>
                <w:color w:val="2D3748"/>
                <w:sz w:val="22"/>
                <w:szCs w:val="22"/>
              </w:rPr>
              <w:t xml:space="preserve">~2.5–3.0 cores</w:t>
            </w:r>
          </w:p>
        </w:tc>
        <w:tc>
          <w:tcPr>
            <w:tcW w:type="dxa" w:w="36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vAlign w:val="center"/>
          </w:tcPr>
          <w:p>
            <w:r>
              <w:rPr>
                <w:rFonts w:ascii="Arial" w:cs="Arial" w:eastAsia="Arial" w:hAnsi="Arial"/>
                <w:b w:val="false"/>
                <w:bCs w:val="false"/>
                <w:color w:val="2D3748"/>
                <w:sz w:val="22"/>
                <w:szCs w:val="22"/>
              </w:rPr>
              <w:t xml:space="preserve"/>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vAlign w:val="center"/>
          </w:tcPr>
          <w:p>
            <w:r>
              <w:rPr>
                <w:rFonts w:ascii="Arial" w:cs="Arial" w:eastAsia="Arial" w:hAnsi="Arial"/>
                <w:b/>
                <w:bCs/>
                <w:color w:val="0B3060"/>
                <w:sz w:val="22"/>
                <w:szCs w:val="22"/>
              </w:rPr>
              <w:t xml:space="preserve">TOTAL — 10 concurrent calls</w:t>
            </w:r>
          </w:p>
        </w:tc>
        <w:tc>
          <w:tcPr>
            <w:tcW w:type="dxa" w:w="18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vAlign w:val="center"/>
          </w:tcPr>
          <w:p>
            <w:r>
              <w:rPr>
                <w:rFonts w:ascii="Arial" w:cs="Arial" w:eastAsia="Arial" w:hAnsi="Arial"/>
                <w:b w:val="false"/>
                <w:bCs w:val="false"/>
                <w:color w:val="2D3748"/>
                <w:sz w:val="22"/>
                <w:szCs w:val="22"/>
              </w:rPr>
              <w:t xml:space="preserve">~3.5–5.0 GB</w:t>
            </w:r>
          </w:p>
        </w:tc>
        <w:tc>
          <w:tcPr>
            <w:tcW w:type="dxa" w:w="196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vAlign w:val="center"/>
          </w:tcPr>
          <w:p>
            <w:r>
              <w:rPr>
                <w:rFonts w:ascii="Arial" w:cs="Arial" w:eastAsia="Arial" w:hAnsi="Arial"/>
                <w:b w:val="false"/>
                <w:bCs w:val="false"/>
                <w:color w:val="2D3748"/>
                <w:sz w:val="22"/>
                <w:szCs w:val="22"/>
              </w:rPr>
              <w:t xml:space="preserve">~4.0–5.0 cores</w:t>
            </w:r>
          </w:p>
        </w:tc>
        <w:tc>
          <w:tcPr>
            <w:tcW w:type="dxa" w:w="36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vAlign w:val="center"/>
          </w:tcPr>
          <w:p>
            <w:r>
              <w:rPr>
                <w:rFonts w:ascii="Arial" w:cs="Arial" w:eastAsia="Arial" w:hAnsi="Arial"/>
                <w:b w:val="false"/>
                <w:bCs w:val="false"/>
                <w:color w:val="2D3748"/>
                <w:sz w:val="22"/>
                <w:szCs w:val="22"/>
              </w:rPr>
              <w:t xml:space="preserve"/>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621A" w:sz="8"/>
              <w:left w:val="single" w:color="C4621A" w:sz="24"/>
              <w:bottom w:val="single" w:color="E0C070" w:sz="1"/>
              <w:right w:val="single" w:color="E0C070" w:sz="1"/>
            </w:tcBorders>
            <w:shd w:fill="FFF8E1" w:val="clear"/>
            <w:tcMar>
              <w:top w:type="dxa" w:w="120"/>
              <w:left w:type="dxa" w:w="200"/>
              <w:bottom w:type="dxa" w:w="120"/>
              <w:right w:type="dxa" w:w="200"/>
            </w:tcMar>
          </w:tcPr>
          <w:p>
            <w:r>
              <w:rPr>
                <w:rFonts w:ascii="Arial" w:cs="Arial" w:eastAsia="Arial" w:hAnsi="Arial"/>
                <w:b/>
                <w:bCs/>
                <w:color w:val="7D5B00"/>
                <w:sz w:val="22"/>
                <w:szCs w:val="22"/>
              </w:rPr>
              <w:t xml:space="preserve">Scaling the voice agent worker</w:t>
            </w:r>
          </w:p>
          <w:p>
            <w:pPr>
              <w:spacing w:before="40"/>
            </w:pPr>
            <w:r>
              <w:rPr>
                <w:rFonts w:ascii="Arial" w:cs="Arial" w:eastAsia="Arial" w:hAnsi="Arial"/>
                <w:color w:val="3D3D3D"/>
                <w:sz w:val="22"/>
                <w:szCs w:val="22"/>
              </w:rPr>
              <w:t xml:space="preserve">The voice agent worker is the first bottleneck. One Python process handles approximately 5 concurrent calls. For 10 concurrent calls, run 2 worker instances. Workers are stateless and can be added without downtime.</w:t>
            </w:r>
          </w:p>
        </w:tc>
      </w:tr>
    </w:tbl>
    <w:p>
      <w:pPr>
        <w:spacing w:after="0" w:before="200"/>
      </w:pPr>
      <w:r>
        <w:t xml:space="preserve"/>
      </w:r>
    </w:p>
    <w:p>
      <w:pPr>
        <w:pStyle w:val="Heading1"/>
        <w:pBdr>
          <w:bottom w:val="single" w:color="C4621A" w:sz="4" w:space="6"/>
        </w:pBdr>
        <w:spacing w:after="160" w:before="400"/>
      </w:pPr>
      <w:r>
        <w:rPr>
          <w:rFonts w:ascii="Arial" w:cs="Arial" w:eastAsia="Arial" w:hAnsi="Arial"/>
          <w:b/>
          <w:bCs/>
          <w:color w:val="C4621A"/>
          <w:sz w:val="30"/>
          <w:szCs w:val="30"/>
        </w:rPr>
        <w:t xml:space="preserve">6.  </w:t>
      </w:r>
      <w:r>
        <w:rPr>
          <w:rFonts w:ascii="Arial" w:cs="Arial" w:eastAsia="Arial" w:hAnsi="Arial"/>
          <w:b/>
          <w:bCs/>
          <w:color w:val="1A1A2E"/>
          <w:sz w:val="30"/>
          <w:szCs w:val="30"/>
        </w:rPr>
        <w:t xml:space="preserve">Storage Requirements</w:t>
      </w:r>
    </w:p>
    <w:p>
      <w:pPr>
        <w:spacing w:after="80" w:before="80"/>
      </w:pPr>
      <w:r>
        <w:rPr>
          <w:rFonts w:ascii="Arial" w:cs="Arial" w:eastAsia="Arial" w:hAnsi="Arial"/>
          <w:color w:val="2D3748"/>
          <w:sz w:val="23"/>
          <w:szCs w:val="23"/>
        </w:rPr>
        <w:t xml:space="preserve">All persistent data lives on a separate data volume mounted at /data. This allows the data disk to be resized independently of the OS disk.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600"/>
        <w:gridCol w:w="3360"/>
      </w:tblGrid>
      <w:tr>
        <w:trPr>
          <w:tblHeader/>
        </w:trPr>
        <w:tc>
          <w:tcPr>
            <w:tcW w:type="dxa" w:w="2400"/>
            <w:tcBorders>
              <w:top w:val="single" w:color="1F3450" w:sz="1"/>
              <w:left w:val="single" w:color="1F3450" w:sz="1"/>
              <w:bottom w:val="single" w:color="1F3450" w:sz="1"/>
              <w:right w:val="single" w:color="1F3450" w:sz="1"/>
            </w:tcBorders>
            <w:shd w:fill="1F3450" w:val="clear"/>
            <w:tcMar>
              <w:top w:type="dxa" w:w="80"/>
              <w:left w:type="dxa" w:w="140"/>
              <w:bottom w:type="dxa" w:w="80"/>
              <w:right w:type="dxa" w:w="140"/>
            </w:tcMar>
            <w:vAlign w:val="center"/>
          </w:tcPr>
          <w:p>
            <w:r>
              <w:rPr>
                <w:rFonts w:ascii="Arial" w:cs="Arial" w:eastAsia="Arial" w:hAnsi="Arial"/>
                <w:b/>
                <w:bCs/>
                <w:color w:val="FFFFFF"/>
                <w:sz w:val="22"/>
                <w:szCs w:val="22"/>
              </w:rPr>
              <w:t xml:space="preserve">Data</w:t>
            </w:r>
          </w:p>
        </w:tc>
        <w:tc>
          <w:tcPr>
            <w:tcW w:type="dxa" w:w="2000"/>
            <w:tcBorders>
              <w:top w:val="single" w:color="1F3450" w:sz="1"/>
              <w:left w:val="single" w:color="1F3450" w:sz="1"/>
              <w:bottom w:val="single" w:color="1F3450" w:sz="1"/>
              <w:right w:val="single" w:color="1F3450" w:sz="1"/>
            </w:tcBorders>
            <w:shd w:fill="1F3450" w:val="clear"/>
            <w:tcMar>
              <w:top w:type="dxa" w:w="80"/>
              <w:left w:type="dxa" w:w="140"/>
              <w:bottom w:type="dxa" w:w="80"/>
              <w:right w:type="dxa" w:w="140"/>
            </w:tcMar>
            <w:vAlign w:val="center"/>
          </w:tcPr>
          <w:p>
            <w:r>
              <w:rPr>
                <w:rFonts w:ascii="Arial" w:cs="Arial" w:eastAsia="Arial" w:hAnsi="Arial"/>
                <w:b/>
                <w:bCs/>
                <w:color w:val="FFFFFF"/>
                <w:sz w:val="22"/>
                <w:szCs w:val="22"/>
              </w:rPr>
              <w:t xml:space="preserve">Location</w:t>
            </w:r>
          </w:p>
        </w:tc>
        <w:tc>
          <w:tcPr>
            <w:tcW w:type="dxa" w:w="1600"/>
            <w:tcBorders>
              <w:top w:val="single" w:color="1F3450" w:sz="1"/>
              <w:left w:val="single" w:color="1F3450" w:sz="1"/>
              <w:bottom w:val="single" w:color="1F3450" w:sz="1"/>
              <w:right w:val="single" w:color="1F3450" w:sz="1"/>
            </w:tcBorders>
            <w:shd w:fill="1F3450" w:val="clear"/>
            <w:tcMar>
              <w:top w:type="dxa" w:w="80"/>
              <w:left w:type="dxa" w:w="140"/>
              <w:bottom w:type="dxa" w:w="80"/>
              <w:right w:type="dxa" w:w="140"/>
            </w:tcMar>
            <w:vAlign w:val="center"/>
          </w:tcPr>
          <w:p>
            <w:r>
              <w:rPr>
                <w:rFonts w:ascii="Arial" w:cs="Arial" w:eastAsia="Arial" w:hAnsi="Arial"/>
                <w:b/>
                <w:bCs/>
                <w:color w:val="FFFFFF"/>
                <w:sz w:val="22"/>
                <w:szCs w:val="22"/>
              </w:rPr>
              <w:t xml:space="preserve">Pilot Size</w:t>
            </w:r>
          </w:p>
        </w:tc>
        <w:tc>
          <w:tcPr>
            <w:tcW w:type="dxa" w:w="3360"/>
            <w:tcBorders>
              <w:top w:val="single" w:color="1F3450" w:sz="1"/>
              <w:left w:val="single" w:color="1F3450" w:sz="1"/>
              <w:bottom w:val="single" w:color="1F3450" w:sz="1"/>
              <w:right w:val="single" w:color="1F3450" w:sz="1"/>
            </w:tcBorders>
            <w:shd w:fill="1F3450" w:val="clear"/>
            <w:tcMar>
              <w:top w:type="dxa" w:w="80"/>
              <w:left w:type="dxa" w:w="140"/>
              <w:bottom w:type="dxa" w:w="80"/>
              <w:right w:type="dxa" w:w="140"/>
            </w:tcMar>
            <w:vAlign w:val="center"/>
          </w:tcPr>
          <w:p>
            <w:r>
              <w:rPr>
                <w:rFonts w:ascii="Arial" w:cs="Arial" w:eastAsia="Arial" w:hAnsi="Arial"/>
                <w:b/>
                <w:bCs/>
                <w:color w:val="FFFFFF"/>
                <w:sz w:val="22"/>
                <w:szCs w:val="22"/>
              </w:rPr>
              <w:t xml:space="preserve">Growth Rate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Call logs &amp; transcripts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PostgreSQL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5–10 GB</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~3–5 GB per month (depends on call volume)</w:t>
            </w:r>
          </w:p>
        </w:tc>
      </w:tr>
      <w:tr>
        <w:tc>
          <w:tcPr>
            <w:tcW w:type="dxa" w:w="240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Call summaries &amp; settings</w:t>
            </w:r>
          </w:p>
        </w:tc>
        <w:tc>
          <w:tcPr>
            <w:tcW w:type="dxa" w:w="200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PostgreSQL</w:t>
            </w:r>
          </w:p>
        </w:tc>
        <w:tc>
          <w:tcPr>
            <w:tcW w:type="dxa" w:w="160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&lt; 1 GB</w:t>
            </w:r>
          </w:p>
        </w:tc>
        <w:tc>
          <w:tcPr>
            <w:tcW w:type="dxa" w:w="336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Slow growth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Knowledge base vectors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ChromaDB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1–5 GB</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~500 MB per 1000 uploaded documents</w:t>
            </w:r>
          </w:p>
        </w:tc>
      </w:tr>
      <w:tr>
        <w:tc>
          <w:tcPr>
            <w:tcW w:type="dxa" w:w="240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Raw uploaded files</w:t>
            </w:r>
          </w:p>
        </w:tc>
        <w:tc>
          <w:tcPr>
            <w:tcW w:type="dxa" w:w="200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/data/uploads</w:t>
            </w:r>
          </w:p>
        </w:tc>
        <w:tc>
          <w:tcPr>
            <w:tcW w:type="dxa" w:w="160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5–20 GB</w:t>
            </w:r>
          </w:p>
        </w:tc>
        <w:tc>
          <w:tcPr>
            <w:tcW w:type="dxa" w:w="336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PDF, DOCX, TXT; archive after processing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LiveKit state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/data/livekit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&lt; 1 GB</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Config only; audio is not recorded or stored</w:t>
            </w:r>
          </w:p>
        </w:tc>
      </w:tr>
      <w:tr>
        <w:tc>
          <w:tcPr>
            <w:tcW w:type="dxa" w:w="240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OS + application code</w:t>
            </w:r>
          </w:p>
        </w:tc>
        <w:tc>
          <w:tcPr>
            <w:tcW w:type="dxa" w:w="200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OS disk</w:t>
            </w:r>
          </w:p>
        </w:tc>
        <w:tc>
          <w:tcPr>
            <w:tcW w:type="dxa" w:w="160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8–12 GB</w:t>
            </w:r>
          </w:p>
        </w:tc>
        <w:tc>
          <w:tcPr>
            <w:tcW w:type="dxa" w:w="336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Static</w:t>
            </w:r>
          </w:p>
        </w:tc>
      </w:tr>
    </w:tbl>
    <w:p>
      <w:pPr>
        <w:spacing w:after="0" w:before="120"/>
      </w:pPr>
      <w:r>
        <w:t xml:space="preserve"/>
      </w:r>
    </w:p>
    <w:p>
      <w:pPr>
        <w:spacing w:after="60" w:before="80"/>
      </w:pPr>
      <w:r>
        <w:rPr>
          <w:rFonts w:ascii="Arial" w:cs="Arial" w:eastAsia="Arial" w:hAnsi="Arial"/>
          <w:b/>
          <w:bCs/>
          <w:color w:val="1A1A2E"/>
          <w:sz w:val="23"/>
          <w:szCs w:val="23"/>
        </w:rPr>
        <w:t xml:space="preserve">Recommended disk layout:</w:t>
      </w:r>
    </w:p>
    <w:p>
      <w:pPr>
        <w:pStyle w:val="ListParagraph"/>
        <w:numPr>
          <w:ilvl w:val="0"/>
          <w:numId w:val="2"/>
        </w:numPr>
        <w:spacing w:after="40" w:before="40"/>
      </w:pPr>
      <w:r>
        <w:rPr>
          <w:rFonts w:ascii="Arial" w:cs="Arial" w:eastAsia="Arial" w:hAnsi="Arial"/>
          <w:color w:val="2D3748"/>
          <w:sz w:val="23"/>
          <w:szCs w:val="23"/>
        </w:rPr>
        <w:t xml:space="preserve">OS disk: 80 GB SSD — Ubuntu OS, Docker images, application code</w:t>
      </w:r>
    </w:p>
    <w:p>
      <w:pPr>
        <w:pStyle w:val="ListParagraph"/>
        <w:numPr>
          <w:ilvl w:val="0"/>
          <w:numId w:val="2"/>
        </w:numPr>
        <w:spacing w:after="40" w:before="40"/>
      </w:pPr>
      <w:r>
        <w:rPr>
          <w:rFonts w:ascii="Arial" w:cs="Arial" w:eastAsia="Arial" w:hAnsi="Arial"/>
          <w:color w:val="2D3748"/>
          <w:sz w:val="23"/>
          <w:szCs w:val="23"/>
        </w:rPr>
        <w:t xml:space="preserve">Data volume: 50 GB separate persistent volume mounted at /data — PostgreSQL, ChromaDB, file uploads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621A" w:sz="8"/>
              <w:left w:val="single" w:color="C4621A" w:sz="24"/>
              <w:bottom w:val="single" w:color="E0C070" w:sz="1"/>
              <w:right w:val="single" w:color="E0C070" w:sz="1"/>
            </w:tcBorders>
            <w:shd w:fill="FFF8E1" w:val="clear"/>
            <w:tcMar>
              <w:top w:type="dxa" w:w="120"/>
              <w:left w:type="dxa" w:w="200"/>
              <w:bottom w:type="dxa" w:w="120"/>
              <w:right w:type="dxa" w:w="200"/>
            </w:tcMar>
          </w:tcPr>
          <w:p>
            <w:r>
              <w:rPr>
                <w:rFonts w:ascii="Arial" w:cs="Arial" w:eastAsia="Arial" w:hAnsi="Arial"/>
                <w:b/>
                <w:bCs/>
                <w:color w:val="7D5B00"/>
                <w:sz w:val="22"/>
                <w:szCs w:val="22"/>
              </w:rPr>
              <w:t xml:space="preserve">Backup policy</w:t>
            </w:r>
          </w:p>
          <w:p>
            <w:pPr>
              <w:spacing w:before="40"/>
            </w:pPr>
            <w:r>
              <w:rPr>
                <w:rFonts w:ascii="Arial" w:cs="Arial" w:eastAsia="Arial" w:hAnsi="Arial"/>
                <w:color w:val="3D3D3D"/>
                <w:sz w:val="22"/>
                <w:szCs w:val="22"/>
              </w:rPr>
              <w:t xml:space="preserve">Run pg_dump daily to a separate location (object storage such as Backblaze B2 or Cloudflare R2). Snapshot /data/chroma periodically via the VM snapshot feature. The uploads directory should be mirrored to object storage in real time.</w:t>
            </w:r>
          </w:p>
        </w:tc>
      </w:tr>
    </w:tbl>
    <w:p>
      <w:pPr>
        <w:spacing w:after="0" w:before="200"/>
      </w:pPr>
      <w:r>
        <w:t xml:space="preserve"/>
      </w:r>
    </w:p>
    <w:p>
      <w:pPr>
        <w:pStyle w:val="Heading1"/>
        <w:pBdr>
          <w:bottom w:val="single" w:color="C4621A" w:sz="4" w:space="6"/>
        </w:pBdr>
        <w:spacing w:after="160" w:before="400"/>
      </w:pPr>
      <w:r>
        <w:rPr>
          <w:rFonts w:ascii="Arial" w:cs="Arial" w:eastAsia="Arial" w:hAnsi="Arial"/>
          <w:b/>
          <w:bCs/>
          <w:color w:val="C4621A"/>
          <w:sz w:val="30"/>
          <w:szCs w:val="30"/>
        </w:rPr>
        <w:t xml:space="preserve">7.  </w:t>
      </w:r>
      <w:r>
        <w:rPr>
          <w:rFonts w:ascii="Arial" w:cs="Arial" w:eastAsia="Arial" w:hAnsi="Arial"/>
          <w:b/>
          <w:bCs/>
          <w:color w:val="1A1A2E"/>
          <w:sz w:val="30"/>
          <w:szCs w:val="30"/>
        </w:rPr>
        <w:t xml:space="preserve">Network &amp; Firewall Rules</w:t>
      </w:r>
    </w:p>
    <w:p>
      <w:pPr>
        <w:spacing w:after="80" w:before="80"/>
      </w:pPr>
      <w:r>
        <w:rPr>
          <w:rFonts w:ascii="Arial" w:cs="Arial" w:eastAsia="Arial" w:hAnsi="Arial"/>
          <w:color w:val="2D3748"/>
          <w:sz w:val="23"/>
          <w:szCs w:val="23"/>
        </w:rPr>
        <w:t xml:space="preserve">Only the ports listed as Public should be open in the VM’s firewall. All other ports must be blocked from external access.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760"/>
        <w:gridCol w:w="4800"/>
      </w:tblGrid>
      <w:tr>
        <w:trPr>
          <w:tblHeader/>
        </w:trPr>
        <w:tc>
          <w:tcPr>
            <w:tcW w:type="dxa" w:w="1400"/>
            <w:tcBorders>
              <w:top w:val="single" w:color="1F3450" w:sz="1"/>
              <w:left w:val="single" w:color="1F3450" w:sz="1"/>
              <w:bottom w:val="single" w:color="1F3450" w:sz="1"/>
              <w:right w:val="single" w:color="1F3450" w:sz="1"/>
            </w:tcBorders>
            <w:shd w:fill="1F3450" w:val="clear"/>
            <w:tcMar>
              <w:top w:type="dxa" w:w="80"/>
              <w:left w:type="dxa" w:w="140"/>
              <w:bottom w:type="dxa" w:w="80"/>
              <w:right w:type="dxa" w:w="140"/>
            </w:tcMar>
            <w:vAlign w:val="center"/>
          </w:tcPr>
          <w:p>
            <w:r>
              <w:rPr>
                <w:rFonts w:ascii="Arial" w:cs="Arial" w:eastAsia="Arial" w:hAnsi="Arial"/>
                <w:b/>
                <w:bCs/>
                <w:color w:val="FFFFFF"/>
                <w:sz w:val="22"/>
                <w:szCs w:val="22"/>
              </w:rPr>
              <w:t xml:space="preserve">Port</w:t>
            </w:r>
          </w:p>
        </w:tc>
        <w:tc>
          <w:tcPr>
            <w:tcW w:type="dxa" w:w="1400"/>
            <w:tcBorders>
              <w:top w:val="single" w:color="1F3450" w:sz="1"/>
              <w:left w:val="single" w:color="1F3450" w:sz="1"/>
              <w:bottom w:val="single" w:color="1F3450" w:sz="1"/>
              <w:right w:val="single" w:color="1F3450" w:sz="1"/>
            </w:tcBorders>
            <w:shd w:fill="1F3450" w:val="clear"/>
            <w:tcMar>
              <w:top w:type="dxa" w:w="80"/>
              <w:left w:type="dxa" w:w="140"/>
              <w:bottom w:type="dxa" w:w="80"/>
              <w:right w:type="dxa" w:w="140"/>
            </w:tcMar>
            <w:vAlign w:val="center"/>
          </w:tcPr>
          <w:p>
            <w:r>
              <w:rPr>
                <w:rFonts w:ascii="Arial" w:cs="Arial" w:eastAsia="Arial" w:hAnsi="Arial"/>
                <w:b/>
                <w:bCs/>
                <w:color w:val="FFFFFF"/>
                <w:sz w:val="22"/>
                <w:szCs w:val="22"/>
              </w:rPr>
              <w:t xml:space="preserve">Protocol</w:t>
            </w:r>
          </w:p>
        </w:tc>
        <w:tc>
          <w:tcPr>
            <w:tcW w:type="dxa" w:w="1760"/>
            <w:tcBorders>
              <w:top w:val="single" w:color="1F3450" w:sz="1"/>
              <w:left w:val="single" w:color="1F3450" w:sz="1"/>
              <w:bottom w:val="single" w:color="1F3450" w:sz="1"/>
              <w:right w:val="single" w:color="1F3450" w:sz="1"/>
            </w:tcBorders>
            <w:shd w:fill="1F3450" w:val="clear"/>
            <w:tcMar>
              <w:top w:type="dxa" w:w="80"/>
              <w:left w:type="dxa" w:w="140"/>
              <w:bottom w:type="dxa" w:w="80"/>
              <w:right w:type="dxa" w:w="140"/>
            </w:tcMar>
            <w:vAlign w:val="center"/>
          </w:tcPr>
          <w:p>
            <w:r>
              <w:rPr>
                <w:rFonts w:ascii="Arial" w:cs="Arial" w:eastAsia="Arial" w:hAnsi="Arial"/>
                <w:b/>
                <w:bCs/>
                <w:color w:val="FFFFFF"/>
                <w:sz w:val="22"/>
                <w:szCs w:val="22"/>
              </w:rPr>
              <w:t xml:space="preserve">Open to</w:t>
            </w:r>
          </w:p>
        </w:tc>
        <w:tc>
          <w:tcPr>
            <w:tcW w:type="dxa" w:w="4800"/>
            <w:tcBorders>
              <w:top w:val="single" w:color="1F3450" w:sz="1"/>
              <w:left w:val="single" w:color="1F3450" w:sz="1"/>
              <w:bottom w:val="single" w:color="1F3450" w:sz="1"/>
              <w:right w:val="single" w:color="1F3450" w:sz="1"/>
            </w:tcBorders>
            <w:shd w:fill="1F3450" w:val="clear"/>
            <w:tcMar>
              <w:top w:type="dxa" w:w="80"/>
              <w:left w:type="dxa" w:w="140"/>
              <w:bottom w:type="dxa" w:w="80"/>
              <w:right w:type="dxa" w:w="140"/>
            </w:tcMar>
            <w:vAlign w:val="center"/>
          </w:tcPr>
          <w:p>
            <w:r>
              <w:rPr>
                <w:rFonts w:ascii="Arial" w:cs="Arial" w:eastAsia="Arial" w:hAnsi="Arial"/>
                <w:b/>
                <w:bCs/>
                <w:color w:val="FFFFFF"/>
                <w:sz w:val="22"/>
                <w:szCs w:val="22"/>
              </w:rPr>
              <w:t xml:space="preserve">Purpose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3748"/>
                <w:sz w:val="22"/>
                <w:szCs w:val="22"/>
              </w:rPr>
              <w:t xml:space="preserve">80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3748"/>
                <w:sz w:val="22"/>
                <w:szCs w:val="22"/>
              </w:rPr>
              <w:t xml:space="preserve">TCP</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3748"/>
                <w:sz w:val="22"/>
                <w:szCs w:val="22"/>
              </w:rPr>
              <w:t xml:space="preserve">Public</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3748"/>
                <w:sz w:val="22"/>
                <w:szCs w:val="22"/>
              </w:rPr>
              <w:t xml:space="preserve">HTTP — redirects to HTTPS</w:t>
            </w:r>
          </w:p>
        </w:tc>
      </w:tr>
      <w:tr>
        <w:tc>
          <w:tcPr>
            <w:tcW w:type="dxa" w:w="140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2D3748"/>
                <w:sz w:val="22"/>
                <w:szCs w:val="22"/>
              </w:rPr>
              <w:t xml:space="preserve">443</w:t>
            </w:r>
          </w:p>
        </w:tc>
        <w:tc>
          <w:tcPr>
            <w:tcW w:type="dxa" w:w="140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2D3748"/>
                <w:sz w:val="22"/>
                <w:szCs w:val="22"/>
              </w:rPr>
              <w:t xml:space="preserve">TCP</w:t>
            </w:r>
          </w:p>
        </w:tc>
        <w:tc>
          <w:tcPr>
            <w:tcW w:type="dxa" w:w="176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2D3748"/>
                <w:sz w:val="22"/>
                <w:szCs w:val="22"/>
              </w:rPr>
              <w:t xml:space="preserve">Public</w:t>
            </w:r>
          </w:p>
        </w:tc>
        <w:tc>
          <w:tcPr>
            <w:tcW w:type="dxa" w:w="480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2D3748"/>
                <w:sz w:val="22"/>
                <w:szCs w:val="22"/>
              </w:rPr>
              <w:t xml:space="preserve">HTTPS — all web traffic entry point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3748"/>
                <w:sz w:val="22"/>
                <w:szCs w:val="22"/>
              </w:rPr>
              <w:t xml:space="preserve">7881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3748"/>
                <w:sz w:val="22"/>
                <w:szCs w:val="22"/>
              </w:rPr>
              <w:t xml:space="preserve">TCP</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3748"/>
                <w:sz w:val="22"/>
                <w:szCs w:val="22"/>
              </w:rPr>
              <w:t xml:space="preserve">Public</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3748"/>
                <w:sz w:val="22"/>
                <w:szCs w:val="22"/>
              </w:rPr>
              <w:t xml:space="preserve">LiveKit WebRTC TCP fallback</w:t>
            </w:r>
          </w:p>
        </w:tc>
      </w:tr>
      <w:tr>
        <w:tc>
          <w:tcPr>
            <w:tcW w:type="dxa" w:w="140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2D3748"/>
                <w:sz w:val="22"/>
                <w:szCs w:val="22"/>
              </w:rPr>
              <w:t xml:space="preserve">50000–60000</w:t>
            </w:r>
          </w:p>
        </w:tc>
        <w:tc>
          <w:tcPr>
            <w:tcW w:type="dxa" w:w="140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2D3748"/>
                <w:sz w:val="22"/>
                <w:szCs w:val="22"/>
              </w:rPr>
              <w:t xml:space="preserve">UDP</w:t>
            </w:r>
          </w:p>
        </w:tc>
        <w:tc>
          <w:tcPr>
            <w:tcW w:type="dxa" w:w="176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2D3748"/>
                <w:sz w:val="22"/>
                <w:szCs w:val="22"/>
              </w:rPr>
              <w:t xml:space="preserve">Public</w:t>
            </w:r>
          </w:p>
        </w:tc>
        <w:tc>
          <w:tcPr>
            <w:tcW w:type="dxa" w:w="480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2D3748"/>
                <w:sz w:val="22"/>
                <w:szCs w:val="22"/>
              </w:rPr>
              <w:t xml:space="preserve">LiveKit RTP audio — CRITICAL: must be open or calls fail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3748"/>
                <w:sz w:val="22"/>
                <w:szCs w:val="22"/>
              </w:rPr>
              <w:t xml:space="preserve">5060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3748"/>
                <w:sz w:val="22"/>
                <w:szCs w:val="22"/>
              </w:rPr>
              <w:t xml:space="preserve">UDP + TCP</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3748"/>
                <w:sz w:val="22"/>
                <w:szCs w:val="22"/>
              </w:rPr>
              <w:t xml:space="preserve">Public</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3748"/>
                <w:sz w:val="22"/>
                <w:szCs w:val="22"/>
              </w:rPr>
              <w:t xml:space="preserve">SIP signalling from SIP trunk provider</w:t>
            </w:r>
          </w:p>
        </w:tc>
      </w:tr>
      <w:tr>
        <w:tc>
          <w:tcPr>
            <w:tcW w:type="dxa" w:w="140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2D3748"/>
                <w:sz w:val="22"/>
                <w:szCs w:val="22"/>
              </w:rPr>
              <w:t xml:space="preserve">8001</w:t>
            </w:r>
          </w:p>
        </w:tc>
        <w:tc>
          <w:tcPr>
            <w:tcW w:type="dxa" w:w="140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2D3748"/>
                <w:sz w:val="22"/>
                <w:szCs w:val="22"/>
              </w:rPr>
              <w:t xml:space="preserve">TCP</w:t>
            </w:r>
          </w:p>
        </w:tc>
        <w:tc>
          <w:tcPr>
            <w:tcW w:type="dxa" w:w="176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2D3748"/>
                <w:sz w:val="22"/>
                <w:szCs w:val="22"/>
              </w:rPr>
              <w:t xml:space="preserve">Internal only</w:t>
            </w:r>
          </w:p>
        </w:tc>
        <w:tc>
          <w:tcPr>
            <w:tcW w:type="dxa" w:w="480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2D3748"/>
                <w:sz w:val="22"/>
                <w:szCs w:val="22"/>
              </w:rPr>
              <w:t xml:space="preserve">FastAPI — proxied by Caddy, not directly accessible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3748"/>
                <w:sz w:val="22"/>
                <w:szCs w:val="22"/>
              </w:rPr>
              <w:t xml:space="preserve">3002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3748"/>
                <w:sz w:val="22"/>
                <w:szCs w:val="22"/>
              </w:rPr>
              <w:t xml:space="preserve">TCP</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3748"/>
                <w:sz w:val="22"/>
                <w:szCs w:val="22"/>
              </w:rPr>
              <w:t xml:space="preserve">Internal only</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3748"/>
                <w:sz w:val="22"/>
                <w:szCs w:val="22"/>
              </w:rPr>
              <w:t xml:space="preserve">Next.js dashboard — proxied by Caddy</w:t>
            </w:r>
          </w:p>
        </w:tc>
      </w:tr>
      <w:tr>
        <w:tc>
          <w:tcPr>
            <w:tcW w:type="dxa" w:w="1400"/>
            <w:tcBorders>
              <w:top w:val="single" w:color="CCCCCC" w:sz="1"/>
              <w:left w:val="single" w:color="CCCCCC" w:sz="1"/>
              <w:bottom w:val="single" w:color="CCCCCC" w:sz="1"/>
              <w:right w:val="single" w:color="CCCCCC" w:sz="1"/>
            </w:tcBorders>
            <w:shd w:fill="FDE8E8" w:val="clear"/>
            <w:tcMar>
              <w:top w:type="dxa" w:w="80"/>
              <w:left w:type="dxa" w:w="140"/>
              <w:bottom w:type="dxa" w:w="80"/>
              <w:right w:type="dxa" w:w="140"/>
            </w:tcMar>
            <w:vAlign w:val="center"/>
          </w:tcPr>
          <w:p>
            <w:r>
              <w:rPr>
                <w:rFonts w:ascii="Arial" w:cs="Arial" w:eastAsia="Arial" w:hAnsi="Arial"/>
                <w:b w:val="false"/>
                <w:bCs w:val="false"/>
                <w:color w:val="8B0000"/>
                <w:sz w:val="22"/>
                <w:szCs w:val="22"/>
              </w:rPr>
              <w:t xml:space="preserve">5432</w:t>
            </w:r>
          </w:p>
        </w:tc>
        <w:tc>
          <w:tcPr>
            <w:tcW w:type="dxa" w:w="1400"/>
            <w:tcBorders>
              <w:top w:val="single" w:color="CCCCCC" w:sz="1"/>
              <w:left w:val="single" w:color="CCCCCC" w:sz="1"/>
              <w:bottom w:val="single" w:color="CCCCCC" w:sz="1"/>
              <w:right w:val="single" w:color="CCCCCC" w:sz="1"/>
            </w:tcBorders>
            <w:shd w:fill="FDE8E8" w:val="clear"/>
            <w:tcMar>
              <w:top w:type="dxa" w:w="80"/>
              <w:left w:type="dxa" w:w="140"/>
              <w:bottom w:type="dxa" w:w="80"/>
              <w:right w:type="dxa" w:w="140"/>
            </w:tcMar>
            <w:vAlign w:val="center"/>
          </w:tcPr>
          <w:p>
            <w:r>
              <w:rPr>
                <w:rFonts w:ascii="Arial" w:cs="Arial" w:eastAsia="Arial" w:hAnsi="Arial"/>
                <w:b w:val="false"/>
                <w:bCs w:val="false"/>
                <w:color w:val="8B0000"/>
                <w:sz w:val="22"/>
                <w:szCs w:val="22"/>
              </w:rPr>
              <w:t xml:space="preserve">TCP</w:t>
            </w:r>
          </w:p>
        </w:tc>
        <w:tc>
          <w:tcPr>
            <w:tcW w:type="dxa" w:w="1760"/>
            <w:tcBorders>
              <w:top w:val="single" w:color="CCCCCC" w:sz="1"/>
              <w:left w:val="single" w:color="CCCCCC" w:sz="1"/>
              <w:bottom w:val="single" w:color="CCCCCC" w:sz="1"/>
              <w:right w:val="single" w:color="CCCCCC" w:sz="1"/>
            </w:tcBorders>
            <w:shd w:fill="FDE8E8" w:val="clear"/>
            <w:tcMar>
              <w:top w:type="dxa" w:w="80"/>
              <w:left w:type="dxa" w:w="140"/>
              <w:bottom w:type="dxa" w:w="80"/>
              <w:right w:type="dxa" w:w="140"/>
            </w:tcMar>
            <w:vAlign w:val="center"/>
          </w:tcPr>
          <w:p>
            <w:r>
              <w:rPr>
                <w:rFonts w:ascii="Arial" w:cs="Arial" w:eastAsia="Arial" w:hAnsi="Arial"/>
                <w:b/>
                <w:bCs/>
                <w:color w:val="8B0000"/>
                <w:sz w:val="22"/>
                <w:szCs w:val="22"/>
              </w:rPr>
              <w:t xml:space="preserve">BLOCK</w:t>
            </w:r>
          </w:p>
        </w:tc>
        <w:tc>
          <w:tcPr>
            <w:tcW w:type="dxa" w:w="4800"/>
            <w:tcBorders>
              <w:top w:val="single" w:color="CCCCCC" w:sz="1"/>
              <w:left w:val="single" w:color="CCCCCC" w:sz="1"/>
              <w:bottom w:val="single" w:color="CCCCCC" w:sz="1"/>
              <w:right w:val="single" w:color="CCCCCC" w:sz="1"/>
            </w:tcBorders>
            <w:shd w:fill="FDE8E8" w:val="clear"/>
            <w:tcMar>
              <w:top w:type="dxa" w:w="80"/>
              <w:left w:type="dxa" w:w="140"/>
              <w:bottom w:type="dxa" w:w="80"/>
              <w:right w:type="dxa" w:w="140"/>
            </w:tcMar>
            <w:vAlign w:val="center"/>
          </w:tcPr>
          <w:p>
            <w:r>
              <w:rPr>
                <w:rFonts w:ascii="Arial" w:cs="Arial" w:eastAsia="Arial" w:hAnsi="Arial"/>
                <w:b w:val="false"/>
                <w:bCs w:val="false"/>
                <w:color w:val="8B0000"/>
                <w:sz w:val="22"/>
                <w:szCs w:val="22"/>
              </w:rPr>
              <w:t xml:space="preserve">PostgreSQL — never expose to internet</w:t>
            </w:r>
          </w:p>
        </w:tc>
      </w:tr>
      <w:tr>
        <w:tc>
          <w:tcPr>
            <w:tcW w:type="dxa" w:w="1400"/>
            <w:tcBorders>
              <w:top w:val="single" w:color="CCCCCC" w:sz="1"/>
              <w:left w:val="single" w:color="CCCCCC" w:sz="1"/>
              <w:bottom w:val="single" w:color="CCCCCC" w:sz="1"/>
              <w:right w:val="single" w:color="CCCCCC" w:sz="1"/>
            </w:tcBorders>
            <w:shd w:fill="FDE8E8" w:val="clear"/>
            <w:tcMar>
              <w:top w:type="dxa" w:w="80"/>
              <w:left w:type="dxa" w:w="140"/>
              <w:bottom w:type="dxa" w:w="80"/>
              <w:right w:type="dxa" w:w="140"/>
            </w:tcMar>
            <w:vAlign w:val="center"/>
          </w:tcPr>
          <w:p>
            <w:r>
              <w:rPr>
                <w:rFonts w:ascii="Arial" w:cs="Arial" w:eastAsia="Arial" w:hAnsi="Arial"/>
                <w:b w:val="false"/>
                <w:bCs w:val="false"/>
                <w:color w:val="8B0000"/>
                <w:sz w:val="22"/>
                <w:szCs w:val="22"/>
              </w:rPr>
              <w:t xml:space="preserve">8000</w:t>
            </w:r>
          </w:p>
        </w:tc>
        <w:tc>
          <w:tcPr>
            <w:tcW w:type="dxa" w:w="1400"/>
            <w:tcBorders>
              <w:top w:val="single" w:color="CCCCCC" w:sz="1"/>
              <w:left w:val="single" w:color="CCCCCC" w:sz="1"/>
              <w:bottom w:val="single" w:color="CCCCCC" w:sz="1"/>
              <w:right w:val="single" w:color="CCCCCC" w:sz="1"/>
            </w:tcBorders>
            <w:shd w:fill="FDE8E8" w:val="clear"/>
            <w:tcMar>
              <w:top w:type="dxa" w:w="80"/>
              <w:left w:type="dxa" w:w="140"/>
              <w:bottom w:type="dxa" w:w="80"/>
              <w:right w:type="dxa" w:w="140"/>
            </w:tcMar>
            <w:vAlign w:val="center"/>
          </w:tcPr>
          <w:p>
            <w:r>
              <w:rPr>
                <w:rFonts w:ascii="Arial" w:cs="Arial" w:eastAsia="Arial" w:hAnsi="Arial"/>
                <w:b w:val="false"/>
                <w:bCs w:val="false"/>
                <w:color w:val="8B0000"/>
                <w:sz w:val="22"/>
                <w:szCs w:val="22"/>
              </w:rPr>
              <w:t xml:space="preserve">TCP</w:t>
            </w:r>
          </w:p>
        </w:tc>
        <w:tc>
          <w:tcPr>
            <w:tcW w:type="dxa" w:w="1760"/>
            <w:tcBorders>
              <w:top w:val="single" w:color="CCCCCC" w:sz="1"/>
              <w:left w:val="single" w:color="CCCCCC" w:sz="1"/>
              <w:bottom w:val="single" w:color="CCCCCC" w:sz="1"/>
              <w:right w:val="single" w:color="CCCCCC" w:sz="1"/>
            </w:tcBorders>
            <w:shd w:fill="FDE8E8" w:val="clear"/>
            <w:tcMar>
              <w:top w:type="dxa" w:w="80"/>
              <w:left w:type="dxa" w:w="140"/>
              <w:bottom w:type="dxa" w:w="80"/>
              <w:right w:type="dxa" w:w="140"/>
            </w:tcMar>
            <w:vAlign w:val="center"/>
          </w:tcPr>
          <w:p>
            <w:r>
              <w:rPr>
                <w:rFonts w:ascii="Arial" w:cs="Arial" w:eastAsia="Arial" w:hAnsi="Arial"/>
                <w:b/>
                <w:bCs/>
                <w:color w:val="8B0000"/>
                <w:sz w:val="22"/>
                <w:szCs w:val="22"/>
              </w:rPr>
              <w:t xml:space="preserve">BLOCK</w:t>
            </w:r>
          </w:p>
        </w:tc>
        <w:tc>
          <w:tcPr>
            <w:tcW w:type="dxa" w:w="4800"/>
            <w:tcBorders>
              <w:top w:val="single" w:color="CCCCCC" w:sz="1"/>
              <w:left w:val="single" w:color="CCCCCC" w:sz="1"/>
              <w:bottom w:val="single" w:color="CCCCCC" w:sz="1"/>
              <w:right w:val="single" w:color="CCCCCC" w:sz="1"/>
            </w:tcBorders>
            <w:shd w:fill="FDE8E8" w:val="clear"/>
            <w:tcMar>
              <w:top w:type="dxa" w:w="80"/>
              <w:left w:type="dxa" w:w="140"/>
              <w:bottom w:type="dxa" w:w="80"/>
              <w:right w:type="dxa" w:w="140"/>
            </w:tcMar>
            <w:vAlign w:val="center"/>
          </w:tcPr>
          <w:p>
            <w:r>
              <w:rPr>
                <w:rFonts w:ascii="Arial" w:cs="Arial" w:eastAsia="Arial" w:hAnsi="Arial"/>
                <w:b w:val="false"/>
                <w:bCs w:val="false"/>
                <w:color w:val="8B0000"/>
                <w:sz w:val="22"/>
                <w:szCs w:val="22"/>
              </w:rPr>
              <w:t xml:space="preserve">ChromaDB — never expose to internet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8"/>
              <w:left w:val="single" w:color="CC0000" w:sz="24"/>
              <w:bottom w:val="single" w:color="F8B0B0" w:sz="1"/>
              <w:right w:val="single" w:color="F8B0B0" w:sz="1"/>
            </w:tcBorders>
            <w:shd w:fill="FDE8E8" w:val="clear"/>
            <w:tcMar>
              <w:top w:type="dxa" w:w="120"/>
              <w:left w:type="dxa" w:w="200"/>
              <w:bottom w:type="dxa" w:w="120"/>
              <w:right w:type="dxa" w:w="200"/>
            </w:tcMar>
          </w:tcPr>
          <w:p>
            <w:r>
              <w:rPr>
                <w:rFonts w:ascii="Arial" w:cs="Arial" w:eastAsia="Arial" w:hAnsi="Arial"/>
                <w:b/>
                <w:bCs/>
                <w:color w:val="8B0000"/>
                <w:sz w:val="22"/>
                <w:szCs w:val="22"/>
              </w:rPr>
              <w:t xml:space="preserve">CRITICAL — UDP port range 50000–60000</w:t>
            </w:r>
          </w:p>
          <w:p>
            <w:pPr>
              <w:spacing w:before="40"/>
            </w:pPr>
            <w:r>
              <w:rPr>
                <w:rFonts w:ascii="Arial" w:cs="Arial" w:eastAsia="Arial" w:hAnsi="Arial"/>
                <w:color w:val="3D3D3D"/>
                <w:sz w:val="22"/>
                <w:szCs w:val="22"/>
              </w:rPr>
              <w:t xml:space="preserve">This UDP range is used by LiveKit for all real-time audio (RTP). If this range is blocked in your firewall or VPS network ACL, voice calls will fail or fall back to TCP with severe latency. This is the most common deployment mistake. Verify this range is open before testing.</w:t>
            </w:r>
          </w:p>
        </w:tc>
      </w:tr>
    </w:tbl>
    <w:p>
      <w:pPr>
        <w:spacing w:after="0" w:before="200"/>
      </w:pPr>
      <w:r>
        <w:t xml:space="preserve"/>
      </w:r>
    </w:p>
    <w:p>
      <w:pPr>
        <w:pStyle w:val="Heading1"/>
        <w:pBdr>
          <w:bottom w:val="single" w:color="C4621A" w:sz="4" w:space="6"/>
        </w:pBdr>
        <w:spacing w:after="160" w:before="400"/>
      </w:pPr>
      <w:r>
        <w:rPr>
          <w:rFonts w:ascii="Arial" w:cs="Arial" w:eastAsia="Arial" w:hAnsi="Arial"/>
          <w:b/>
          <w:bCs/>
          <w:color w:val="C4621A"/>
          <w:sz w:val="30"/>
          <w:szCs w:val="30"/>
        </w:rPr>
        <w:t xml:space="preserve">8.  </w:t>
      </w:r>
      <w:r>
        <w:rPr>
          <w:rFonts w:ascii="Arial" w:cs="Arial" w:eastAsia="Arial" w:hAnsi="Arial"/>
          <w:b/>
          <w:bCs/>
          <w:color w:val="1A1A2E"/>
          <w:sz w:val="30"/>
          <w:szCs w:val="30"/>
        </w:rPr>
        <w:t xml:space="preserve">VM Specification</w:t>
      </w:r>
    </w:p>
    <w:p>
      <w:pPr>
        <w:pStyle w:val="Heading2"/>
      </w:pPr>
      <w:r>
        <w:rPr>
          <w:rFonts w:ascii="Arial" w:cs="Arial" w:eastAsia="Arial" w:hAnsi="Arial"/>
          <w:b/>
          <w:bCs/>
          <w:color w:val="1A1A2E"/>
          <w:sz w:val="25"/>
          <w:szCs w:val="25"/>
        </w:rPr>
        <w:t xml:space="preserve">Pilot — Single client, up to 10 concurrent calls</w:t>
      </w:r>
    </w:p>
    <w:p>
      <w:pPr>
        <w:spacing w:after="0" w:before="60"/>
      </w:pPr>
      <w:r>
        <w:t xml:space="preserve"/>
      </w:r>
    </w:p>
    <w:p>
      <w:pPr>
        <w:spacing w:after="40" w:before="40"/>
      </w:pPr>
      <w:r>
        <w:rPr>
          <w:rFonts w:ascii="Arial" w:cs="Arial" w:eastAsia="Arial" w:hAnsi="Arial"/>
          <w:b/>
          <w:bCs/>
          <w:color w:val="1A1A2E"/>
          <w:sz w:val="23"/>
          <w:szCs w:val="23"/>
        </w:rPr>
        <w:t xml:space="preserve">Provider:  </w:t>
      </w:r>
      <w:r>
        <w:rPr>
          <w:rFonts w:ascii="Arial" w:cs="Arial" w:eastAsia="Arial" w:hAnsi="Arial"/>
          <w:color w:val="2D3748"/>
          <w:sz w:val="23"/>
          <w:szCs w:val="23"/>
        </w:rPr>
        <w:t xml:space="preserve">Vultr Mumbai (or any VPS with India region)</w:t>
      </w:r>
    </w:p>
    <w:p>
      <w:pPr>
        <w:spacing w:after="40" w:before="40"/>
      </w:pPr>
      <w:r>
        <w:rPr>
          <w:rFonts w:ascii="Arial" w:cs="Arial" w:eastAsia="Arial" w:hAnsi="Arial"/>
          <w:b/>
          <w:bCs/>
          <w:color w:val="1A1A2E"/>
          <w:sz w:val="23"/>
          <w:szCs w:val="23"/>
        </w:rPr>
        <w:t xml:space="preserve">CPU:  </w:t>
      </w:r>
      <w:r>
        <w:rPr>
          <w:rFonts w:ascii="Arial" w:cs="Arial" w:eastAsia="Arial" w:hAnsi="Arial"/>
          <w:color w:val="2D3748"/>
          <w:sz w:val="23"/>
          <w:szCs w:val="23"/>
        </w:rPr>
        <w:t xml:space="preserve">4 vCPU</w:t>
      </w:r>
    </w:p>
    <w:p>
      <w:pPr>
        <w:spacing w:after="40" w:before="40"/>
      </w:pPr>
      <w:r>
        <w:rPr>
          <w:rFonts w:ascii="Arial" w:cs="Arial" w:eastAsia="Arial" w:hAnsi="Arial"/>
          <w:b/>
          <w:bCs/>
          <w:color w:val="1A1A2E"/>
          <w:sz w:val="23"/>
          <w:szCs w:val="23"/>
        </w:rPr>
        <w:t xml:space="preserve">RAM:  </w:t>
      </w:r>
      <w:r>
        <w:rPr>
          <w:rFonts w:ascii="Arial" w:cs="Arial" w:eastAsia="Arial" w:hAnsi="Arial"/>
          <w:color w:val="2D3748"/>
          <w:sz w:val="23"/>
          <w:szCs w:val="23"/>
        </w:rPr>
        <w:t xml:space="preserve">8 GB</w:t>
      </w:r>
    </w:p>
    <w:p>
      <w:pPr>
        <w:spacing w:after="40" w:before="40"/>
      </w:pPr>
      <w:r>
        <w:rPr>
          <w:rFonts w:ascii="Arial" w:cs="Arial" w:eastAsia="Arial" w:hAnsi="Arial"/>
          <w:b/>
          <w:bCs/>
          <w:color w:val="1A1A2E"/>
          <w:sz w:val="23"/>
          <w:szCs w:val="23"/>
        </w:rPr>
        <w:t xml:space="preserve">OS Disk:  </w:t>
      </w:r>
      <w:r>
        <w:rPr>
          <w:rFonts w:ascii="Arial" w:cs="Arial" w:eastAsia="Arial" w:hAnsi="Arial"/>
          <w:color w:val="2D3748"/>
          <w:sz w:val="23"/>
          <w:szCs w:val="23"/>
        </w:rPr>
        <w:t xml:space="preserve">80 GB SSD</w:t>
      </w:r>
    </w:p>
    <w:p>
      <w:pPr>
        <w:spacing w:after="40" w:before="40"/>
      </w:pPr>
      <w:r>
        <w:rPr>
          <w:rFonts w:ascii="Arial" w:cs="Arial" w:eastAsia="Arial" w:hAnsi="Arial"/>
          <w:b/>
          <w:bCs/>
          <w:color w:val="1A1A2E"/>
          <w:sz w:val="23"/>
          <w:szCs w:val="23"/>
        </w:rPr>
        <w:t xml:space="preserve">Data Volume:  </w:t>
      </w:r>
      <w:r>
        <w:rPr>
          <w:rFonts w:ascii="Arial" w:cs="Arial" w:eastAsia="Arial" w:hAnsi="Arial"/>
          <w:color w:val="2D3748"/>
          <w:sz w:val="23"/>
          <w:szCs w:val="23"/>
        </w:rPr>
        <w:t xml:space="preserve">50 GB separate persistent volume</w:t>
      </w:r>
    </w:p>
    <w:p>
      <w:pPr>
        <w:spacing w:after="40" w:before="40"/>
      </w:pPr>
      <w:r>
        <w:rPr>
          <w:rFonts w:ascii="Arial" w:cs="Arial" w:eastAsia="Arial" w:hAnsi="Arial"/>
          <w:b/>
          <w:bCs/>
          <w:color w:val="1A1A2E"/>
          <w:sz w:val="23"/>
          <w:szCs w:val="23"/>
        </w:rPr>
        <w:t xml:space="preserve">Bandwidth:  </w:t>
      </w:r>
      <w:r>
        <w:rPr>
          <w:rFonts w:ascii="Arial" w:cs="Arial" w:eastAsia="Arial" w:hAnsi="Arial"/>
          <w:color w:val="2D3748"/>
          <w:sz w:val="23"/>
          <w:szCs w:val="23"/>
        </w:rPr>
        <w:t xml:space="preserve">5 TB / month (included)</w:t>
      </w:r>
    </w:p>
    <w:p>
      <w:pPr>
        <w:spacing w:after="40" w:before="40"/>
      </w:pPr>
      <w:r>
        <w:rPr>
          <w:rFonts w:ascii="Arial" w:cs="Arial" w:eastAsia="Arial" w:hAnsi="Arial"/>
          <w:b/>
          <w:bCs/>
          <w:color w:val="1A1A2E"/>
          <w:sz w:val="23"/>
          <w:szCs w:val="23"/>
        </w:rPr>
        <w:t xml:space="preserve">Estimated cost:  </w:t>
      </w:r>
      <w:r>
        <w:rPr>
          <w:rFonts w:ascii="Arial" w:cs="Arial" w:eastAsia="Arial" w:hAnsi="Arial"/>
          <w:color w:val="2D3748"/>
          <w:sz w:val="23"/>
          <w:szCs w:val="23"/>
        </w:rPr>
        <w:t xml:space="preserve">$40–$50 per month</w:t>
      </w:r>
    </w:p>
    <w:p>
      <w:pPr>
        <w:spacing w:after="40" w:before="40"/>
      </w:pPr>
      <w:r>
        <w:rPr>
          <w:rFonts w:ascii="Arial" w:cs="Arial" w:eastAsia="Arial" w:hAnsi="Arial"/>
          <w:b/>
          <w:bCs/>
          <w:color w:val="1A1A2E"/>
          <w:sz w:val="23"/>
          <w:szCs w:val="23"/>
        </w:rPr>
        <w:t xml:space="preserve">Concurrent calls:  </w:t>
      </w:r>
      <w:r>
        <w:rPr>
          <w:rFonts w:ascii="Arial" w:cs="Arial" w:eastAsia="Arial" w:hAnsi="Arial"/>
          <w:color w:val="2D3748"/>
          <w:sz w:val="23"/>
          <w:szCs w:val="23"/>
        </w:rPr>
        <w:t xml:space="preserve">Up to 10 comfortably</w:t>
      </w:r>
    </w:p>
    <w:p>
      <w:pPr>
        <w:spacing w:after="0" w:before="120"/>
      </w:pPr>
      <w:r>
        <w:t xml:space="preserve"/>
      </w:r>
    </w:p>
    <w:p>
      <w:pPr>
        <w:pStyle w:val="Heading2"/>
      </w:pPr>
      <w:r>
        <w:rPr>
          <w:rFonts w:ascii="Arial" w:cs="Arial" w:eastAsia="Arial" w:hAnsi="Arial"/>
          <w:b/>
          <w:bCs/>
          <w:color w:val="1A1A2E"/>
          <w:sz w:val="25"/>
          <w:szCs w:val="25"/>
        </w:rPr>
        <w:t xml:space="preserve">When to upgrade</w:t>
      </w:r>
    </w:p>
    <w:p>
      <w:pPr>
        <w:spacing w:after="80" w:before="80"/>
      </w:pPr>
      <w:r>
        <w:rPr>
          <w:rFonts w:ascii="Arial" w:cs="Arial" w:eastAsia="Arial" w:hAnsi="Arial"/>
          <w:color w:val="2D3748"/>
          <w:sz w:val="23"/>
          <w:szCs w:val="23"/>
        </w:rPr>
        <w:t xml:space="preserve">Upgrade to 8 vCPU / 16 GB RAM (~$90–$110/mo) when consistently hitting 10+ concurrent calls or when total storage on the data volume exceeds 40 GB.</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621A" w:sz="8"/>
              <w:left w:val="single" w:color="C4621A" w:sz="24"/>
              <w:bottom w:val="single" w:color="E0C070" w:sz="1"/>
              <w:right w:val="single" w:color="E0C070" w:sz="1"/>
            </w:tcBorders>
            <w:shd w:fill="FFF8E1" w:val="clear"/>
            <w:tcMar>
              <w:top w:type="dxa" w:w="120"/>
              <w:left w:type="dxa" w:w="200"/>
              <w:bottom w:type="dxa" w:w="120"/>
              <w:right w:type="dxa" w:w="200"/>
            </w:tcMar>
          </w:tcPr>
          <w:p>
            <w:r>
              <w:rPr>
                <w:rFonts w:ascii="Arial" w:cs="Arial" w:eastAsia="Arial" w:hAnsi="Arial"/>
                <w:b/>
                <w:bCs/>
                <w:color w:val="7D5B00"/>
                <w:sz w:val="22"/>
                <w:szCs w:val="22"/>
              </w:rPr>
              <w:t xml:space="preserve">Audio bandwidth is not a concern</w:t>
            </w:r>
          </w:p>
          <w:p>
            <w:pPr>
              <w:spacing w:before="40"/>
            </w:pPr>
            <w:r>
              <w:rPr>
                <w:rFonts w:ascii="Arial" w:cs="Arial" w:eastAsia="Arial" w:hAnsi="Arial"/>
                <w:color w:val="3D3D3D"/>
                <w:sz w:val="22"/>
                <w:szCs w:val="22"/>
              </w:rPr>
              <w:t xml:space="preserve">LiveKit streams audio at 50–80 kbps per call leg. At 10 concurrent calls that is approximately 1.5 Mbps sustained. The 5 TB/month included on Vultr is far more than sufficient.</w:t>
            </w:r>
          </w:p>
        </w:tc>
      </w:tr>
    </w:tbl>
    <w:p>
      <w:pPr>
        <w:spacing w:after="0" w:before="200"/>
      </w:pPr>
      <w:r>
        <w:t xml:space="preserve"/>
      </w:r>
    </w:p>
    <w:p>
      <w:pPr>
        <w:pStyle w:val="Heading1"/>
        <w:pBdr>
          <w:bottom w:val="single" w:color="C4621A" w:sz="4" w:space="6"/>
        </w:pBdr>
        <w:spacing w:after="160" w:before="400"/>
      </w:pPr>
      <w:r>
        <w:rPr>
          <w:rFonts w:ascii="Arial" w:cs="Arial" w:eastAsia="Arial" w:hAnsi="Arial"/>
          <w:b/>
          <w:bCs/>
          <w:color w:val="C4621A"/>
          <w:sz w:val="30"/>
          <w:szCs w:val="30"/>
        </w:rPr>
        <w:t xml:space="preserve">9.  </w:t>
      </w:r>
      <w:r>
        <w:rPr>
          <w:rFonts w:ascii="Arial" w:cs="Arial" w:eastAsia="Arial" w:hAnsi="Arial"/>
          <w:b/>
          <w:bCs/>
          <w:color w:val="1A1A2E"/>
          <w:sz w:val="30"/>
          <w:szCs w:val="30"/>
        </w:rPr>
        <w:t xml:space="preserve">Technology Stack</w:t>
      </w:r>
    </w:p>
    <w:p>
      <w:pPr>
        <w:spacing w:after="80" w:before="80"/>
      </w:pPr>
      <w:r>
        <w:rPr>
          <w:rFonts w:ascii="Arial" w:cs="Arial" w:eastAsia="Arial" w:hAnsi="Arial"/>
          <w:color w:val="2D3748"/>
          <w:sz w:val="23"/>
          <w:szCs w:val="23"/>
        </w:rPr>
        <w:t xml:space="preserve">The full technology stack for the self-hosted single deployment: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1F3450" w:sz="1"/>
              <w:left w:val="single" w:color="1F3450" w:sz="1"/>
              <w:bottom w:val="single" w:color="1F3450" w:sz="1"/>
              <w:right w:val="single" w:color="1F3450" w:sz="1"/>
            </w:tcBorders>
            <w:shd w:fill="1F3450" w:val="clear"/>
            <w:tcMar>
              <w:top w:type="dxa" w:w="80"/>
              <w:left w:type="dxa" w:w="140"/>
              <w:bottom w:type="dxa" w:w="80"/>
              <w:right w:type="dxa" w:w="140"/>
            </w:tcMar>
            <w:vAlign w:val="center"/>
          </w:tcPr>
          <w:p>
            <w:r>
              <w:rPr>
                <w:rFonts w:ascii="Arial" w:cs="Arial" w:eastAsia="Arial" w:hAnsi="Arial"/>
                <w:b/>
                <w:bCs/>
                <w:color w:val="FFFFFF"/>
                <w:sz w:val="22"/>
                <w:szCs w:val="22"/>
              </w:rPr>
              <w:t xml:space="preserve">Layer</w:t>
            </w:r>
          </w:p>
        </w:tc>
        <w:tc>
          <w:tcPr>
            <w:tcW w:type="dxa" w:w="3360"/>
            <w:tcBorders>
              <w:top w:val="single" w:color="1F3450" w:sz="1"/>
              <w:left w:val="single" w:color="1F3450" w:sz="1"/>
              <w:bottom w:val="single" w:color="1F3450" w:sz="1"/>
              <w:right w:val="single" w:color="1F3450" w:sz="1"/>
            </w:tcBorders>
            <w:shd w:fill="1F3450" w:val="clear"/>
            <w:tcMar>
              <w:top w:type="dxa" w:w="80"/>
              <w:left w:type="dxa" w:w="140"/>
              <w:bottom w:type="dxa" w:w="80"/>
              <w:right w:type="dxa" w:w="140"/>
            </w:tcMar>
            <w:vAlign w:val="center"/>
          </w:tcPr>
          <w:p>
            <w:r>
              <w:rPr>
                <w:rFonts w:ascii="Arial" w:cs="Arial" w:eastAsia="Arial" w:hAnsi="Arial"/>
                <w:b/>
                <w:bCs/>
                <w:color w:val="FFFFFF"/>
                <w:sz w:val="22"/>
                <w:szCs w:val="22"/>
              </w:rPr>
              <w:t xml:space="preserve">Technology</w:t>
            </w:r>
          </w:p>
        </w:tc>
        <w:tc>
          <w:tcPr>
            <w:tcW w:type="dxa" w:w="3600"/>
            <w:tcBorders>
              <w:top w:val="single" w:color="1F3450" w:sz="1"/>
              <w:left w:val="single" w:color="1F3450" w:sz="1"/>
              <w:bottom w:val="single" w:color="1F3450" w:sz="1"/>
              <w:right w:val="single" w:color="1F3450" w:sz="1"/>
            </w:tcBorders>
            <w:shd w:fill="1F3450" w:val="clear"/>
            <w:tcMar>
              <w:top w:type="dxa" w:w="80"/>
              <w:left w:type="dxa" w:w="140"/>
              <w:bottom w:type="dxa" w:w="80"/>
              <w:right w:type="dxa" w:w="140"/>
            </w:tcMar>
            <w:vAlign w:val="center"/>
          </w:tcPr>
          <w:p>
            <w:r>
              <w:rPr>
                <w:rFonts w:ascii="Arial" w:cs="Arial" w:eastAsia="Arial" w:hAnsi="Arial"/>
                <w:b/>
                <w:bCs/>
                <w:color w:val="FFFFFF"/>
                <w:sz w:val="22"/>
                <w:szCs w:val="22"/>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Media server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LiveKit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Self-hosted binary. Apache 2.0 license, free to self-host.</w:t>
            </w:r>
          </w:p>
        </w:tc>
      </w:tr>
      <w:tr>
        <w:tc>
          <w:tcPr>
            <w:tcW w:type="dxa" w:w="240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Agent framework</w:t>
            </w:r>
          </w:p>
        </w:tc>
        <w:tc>
          <w:tcPr>
            <w:tcW w:type="dxa" w:w="336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LiveKit Agents SDK</w:t>
            </w:r>
          </w:p>
        </w:tc>
        <w:tc>
          <w:tcPr>
            <w:tcW w:type="dxa" w:w="360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Python library for building real-time voice agents.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Speech-to-text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Sarvam AI</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External API. 6 Indian languages. Per-deployment API key.</w:t>
            </w:r>
          </w:p>
        </w:tc>
      </w:tr>
      <w:tr>
        <w:tc>
          <w:tcPr>
            <w:tcW w:type="dxa" w:w="240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LLM</w:t>
            </w:r>
          </w:p>
        </w:tc>
        <w:tc>
          <w:tcPr>
            <w:tcW w:type="dxa" w:w="336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Google Gemini 2.0 Flash / OpenAI GPT-4o</w:t>
            </w:r>
          </w:p>
        </w:tc>
        <w:tc>
          <w:tcPr>
            <w:tcW w:type="dxa" w:w="360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Configurable. Gemini recommended for cost efficiency.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Text-to-speech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Cartesia / ElevenLabs / Sarvam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Configurable per deployment.</w:t>
            </w:r>
          </w:p>
        </w:tc>
      </w:tr>
      <w:tr>
        <w:tc>
          <w:tcPr>
            <w:tcW w:type="dxa" w:w="240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REST API</w:t>
            </w:r>
          </w:p>
        </w:tc>
        <w:tc>
          <w:tcPr>
            <w:tcW w:type="dxa" w:w="336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FastAPI + SQLAlchemy</w:t>
            </w:r>
          </w:p>
        </w:tc>
        <w:tc>
          <w:tcPr>
            <w:tcW w:type="dxa" w:w="360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Python, async. Uvicorn ASGI server.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Database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PostgreSQL 15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Docker container with persistent volume.</w:t>
            </w:r>
          </w:p>
        </w:tc>
      </w:tr>
      <w:tr>
        <w:tc>
          <w:tcPr>
            <w:tcW w:type="dxa" w:w="240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Vector store</w:t>
            </w:r>
          </w:p>
        </w:tc>
        <w:tc>
          <w:tcPr>
            <w:tcW w:type="dxa" w:w="336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ChromaDB</w:t>
            </w:r>
          </w:p>
        </w:tc>
        <w:tc>
          <w:tcPr>
            <w:tcW w:type="dxa" w:w="360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Docker container with persistent volume.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Web dashboard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Next.js 14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TypeScript. App Router. Port 3002.</w:t>
            </w:r>
          </w:p>
        </w:tc>
      </w:tr>
      <w:tr>
        <w:tc>
          <w:tcPr>
            <w:tcW w:type="dxa" w:w="240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Reverse proxy</w:t>
            </w:r>
          </w:p>
        </w:tc>
        <w:tc>
          <w:tcPr>
            <w:tcW w:type="dxa" w:w="336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Caddy 2</w:t>
            </w:r>
          </w:p>
        </w:tc>
        <w:tc>
          <w:tcPr>
            <w:tcW w:type="dxa" w:w="360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Auto TLS via Let’s Encrypt. Subdomain routing.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Containerisation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Docker + Docker Compose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PostgreSQL and ChromaDB run as Docker containers.</w:t>
            </w:r>
          </w:p>
        </w:tc>
      </w:tr>
      <w:tr>
        <w:tc>
          <w:tcPr>
            <w:tcW w:type="dxa" w:w="240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OS</w:t>
            </w:r>
          </w:p>
        </w:tc>
        <w:tc>
          <w:tcPr>
            <w:tcW w:type="dxa" w:w="336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Ubuntu 22.04 LTS</w:t>
            </w:r>
          </w:p>
        </w:tc>
        <w:tc>
          <w:tcPr>
            <w:tcW w:type="dxa" w:w="3600"/>
            <w:tcBorders>
              <w:top w:val="single" w:color="CCCCCC" w:sz="1"/>
              <w:left w:val="single" w:color="CCCCCC" w:sz="1"/>
              <w:bottom w:val="single" w:color="CCCCCC" w:sz="1"/>
              <w:right w:val="single" w:color="CCCCCC" w:sz="1"/>
            </w:tcBorders>
            <w:shd w:fill="F0F3F6" w:val="clear"/>
            <w:tcMar>
              <w:top w:type="dxa" w:w="80"/>
              <w:left w:type="dxa" w:w="140"/>
              <w:bottom w:type="dxa" w:w="80"/>
              <w:right w:type="dxa" w:w="140"/>
            </w:tcMar>
            <w:vAlign w:val="center"/>
          </w:tcPr>
          <w:p>
            <w:r>
              <w:rPr>
                <w:rFonts w:ascii="Arial" w:cs="Arial" w:eastAsia="Arial" w:hAnsi="Arial"/>
                <w:b w:val="false"/>
                <w:bCs w:val="false"/>
                <w:color w:val="1A1A2E"/>
                <w:sz w:val="22"/>
                <w:szCs w:val="22"/>
              </w:rPr>
              <w:t xml:space="preserve">Supported until 2027.</w:t>
            </w:r>
          </w:p>
        </w:tc>
      </w:tr>
    </w:tbl>
    <w:p>
      <w:pPr>
        <w:spacing w:after="0" w:before="200"/>
      </w:pPr>
      <w:r>
        <w:t xml:space="preserve"/>
      </w:r>
    </w:p>
    <w:p>
      <w:pPr>
        <w:pStyle w:val="Heading1"/>
        <w:pBdr>
          <w:bottom w:val="single" w:color="C4621A" w:sz="4" w:space="6"/>
        </w:pBdr>
        <w:spacing w:after="160" w:before="400"/>
      </w:pPr>
      <w:r>
        <w:rPr>
          <w:rFonts w:ascii="Arial" w:cs="Arial" w:eastAsia="Arial" w:hAnsi="Arial"/>
          <w:b/>
          <w:bCs/>
          <w:color w:val="C4621A"/>
          <w:sz w:val="30"/>
          <w:szCs w:val="30"/>
        </w:rPr>
        <w:t xml:space="preserve">10.  </w:t>
      </w:r>
      <w:r>
        <w:rPr>
          <w:rFonts w:ascii="Arial" w:cs="Arial" w:eastAsia="Arial" w:hAnsi="Arial"/>
          <w:b/>
          <w:bCs/>
          <w:color w:val="1A1A2E"/>
          <w:sz w:val="30"/>
          <w:szCs w:val="30"/>
        </w:rPr>
        <w:t xml:space="preserve">Deployment Steps</w:t>
      </w:r>
    </w:p>
    <w:p>
      <w:pPr>
        <w:spacing w:after="80" w:before="80"/>
      </w:pPr>
      <w:r>
        <w:rPr>
          <w:rFonts w:ascii="Arial" w:cs="Arial" w:eastAsia="Arial" w:hAnsi="Arial"/>
          <w:color w:val="2D3748"/>
          <w:sz w:val="23"/>
          <w:szCs w:val="23"/>
        </w:rPr>
        <w:t xml:space="preserve">Follow these steps in order to bring up a fresh AIRA deployment on a new VM.</w:t>
      </w:r>
    </w:p>
    <w:p>
      <w:pPr>
        <w:spacing w:after="0" w:before="80"/>
      </w:pPr>
      <w:r>
        <w:t xml:space="preserve"/>
      </w:r>
    </w:p>
    <w:p>
      <w:pPr>
        <w:pStyle w:val="ListParagraph"/>
        <w:numPr>
          <w:ilvl w:val="0"/>
          <w:numId w:val="3"/>
        </w:numPr>
        <w:spacing w:after="60" w:before="60"/>
      </w:pPr>
      <w:r>
        <w:rPr>
          <w:rFonts w:ascii="Arial" w:cs="Arial" w:eastAsia="Arial" w:hAnsi="Arial"/>
          <w:color w:val="2D3748"/>
          <w:sz w:val="23"/>
          <w:szCs w:val="23"/>
        </w:rPr>
        <w:t xml:space="preserve">Provision the VM — 4 vCPU / 8 GB RAM, Ubuntu 22.04 LTS. Attach a 50 GB data volume and mount it at /data.</w:t>
      </w:r>
    </w:p>
    <w:p>
      <w:pPr>
        <w:pStyle w:val="ListParagraph"/>
        <w:numPr>
          <w:ilvl w:val="0"/>
          <w:numId w:val="3"/>
        </w:numPr>
        <w:spacing w:after="60" w:before="60"/>
      </w:pPr>
      <w:r>
        <w:rPr>
          <w:rFonts w:ascii="Arial" w:cs="Arial" w:eastAsia="Arial" w:hAnsi="Arial"/>
          <w:color w:val="2D3748"/>
          <w:sz w:val="23"/>
          <w:szCs w:val="23"/>
        </w:rPr>
        <w:t xml:space="preserve">Configure the firewall — open ports 80, 443, 7881 TCP; 50000–60000 UDP; 5060 UDP+TCP. Block all other ports including 5432 and 8000.</w:t>
      </w:r>
    </w:p>
    <w:p>
      <w:pPr>
        <w:pStyle w:val="ListParagraph"/>
        <w:numPr>
          <w:ilvl w:val="0"/>
          <w:numId w:val="3"/>
        </w:numPr>
        <w:spacing w:after="60" w:before="60"/>
      </w:pPr>
      <w:r>
        <w:rPr>
          <w:rFonts w:ascii="Arial" w:cs="Arial" w:eastAsia="Arial" w:hAnsi="Arial"/>
          <w:color w:val="2D3748"/>
          <w:sz w:val="23"/>
          <w:szCs w:val="23"/>
        </w:rPr>
        <w:t xml:space="preserve">Install Docker Engine and Docker Compose v2. Add the deploy user to the docker group.</w:t>
      </w:r>
    </w:p>
    <w:p>
      <w:pPr>
        <w:pStyle w:val="ListParagraph"/>
        <w:numPr>
          <w:ilvl w:val="0"/>
          <w:numId w:val="3"/>
        </w:numPr>
        <w:spacing w:after="60" w:before="60"/>
      </w:pPr>
      <w:r>
        <w:rPr>
          <w:rFonts w:ascii="Arial" w:cs="Arial" w:eastAsia="Arial" w:hAnsi="Arial"/>
          <w:color w:val="2D3748"/>
          <w:sz w:val="23"/>
          <w:szCs w:val="23"/>
        </w:rPr>
        <w:t xml:space="preserve">Install the LiveKit server binary. Configure livekit.yaml with the VM’s public IP, API key/secret, and SIP trunk settings.</w:t>
      </w:r>
    </w:p>
    <w:p>
      <w:pPr>
        <w:pStyle w:val="ListParagraph"/>
        <w:numPr>
          <w:ilvl w:val="0"/>
          <w:numId w:val="3"/>
        </w:numPr>
        <w:spacing w:after="60" w:before="60"/>
      </w:pPr>
      <w:r>
        <w:rPr>
          <w:rFonts w:ascii="Arial" w:cs="Arial" w:eastAsia="Arial" w:hAnsi="Arial"/>
          <w:color w:val="2D3748"/>
          <w:sz w:val="23"/>
          <w:szCs w:val="23"/>
        </w:rPr>
        <w:t xml:space="preserve">Start PostgreSQL with docker compose up -d postgres. Run Alembic migrations to create the database schema.</w:t>
      </w:r>
    </w:p>
    <w:p>
      <w:pPr>
        <w:pStyle w:val="ListParagraph"/>
        <w:numPr>
          <w:ilvl w:val="0"/>
          <w:numId w:val="3"/>
        </w:numPr>
        <w:spacing w:after="60" w:before="60"/>
      </w:pPr>
      <w:r>
        <w:rPr>
          <w:rFonts w:ascii="Arial" w:cs="Arial" w:eastAsia="Arial" w:hAnsi="Arial"/>
          <w:color w:val="2D3748"/>
          <w:sz w:val="23"/>
          <w:szCs w:val="23"/>
        </w:rPr>
        <w:t xml:space="preserve">Start ChromaDB with docker compose up -d chromadb. Verify it responds at localhost:8000.</w:t>
      </w:r>
    </w:p>
    <w:p>
      <w:pPr>
        <w:pStyle w:val="ListParagraph"/>
        <w:numPr>
          <w:ilvl w:val="0"/>
          <w:numId w:val="3"/>
        </w:numPr>
        <w:spacing w:after="60" w:before="60"/>
      </w:pPr>
      <w:r>
        <w:rPr>
          <w:rFonts w:ascii="Arial" w:cs="Arial" w:eastAsia="Arial" w:hAnsi="Arial"/>
          <w:color w:val="2D3748"/>
          <w:sz w:val="23"/>
          <w:szCs w:val="23"/>
        </w:rPr>
        <w:t xml:space="preserve">Deploy FastAPI — install Python dependencies, populate the .env file (DATABASE_URL, LIVEKIT_URL, LIVEKIT_API_KEY, API keys), and start uvicorn with 2–4 workers.</w:t>
      </w:r>
    </w:p>
    <w:p>
      <w:pPr>
        <w:pStyle w:val="ListParagraph"/>
        <w:numPr>
          <w:ilvl w:val="0"/>
          <w:numId w:val="3"/>
        </w:numPr>
        <w:spacing w:after="60" w:before="60"/>
      </w:pPr>
      <w:r>
        <w:rPr>
          <w:rFonts w:ascii="Arial" w:cs="Arial" w:eastAsia="Arial" w:hAnsi="Arial"/>
          <w:color w:val="2D3748"/>
          <w:sz w:val="23"/>
          <w:szCs w:val="23"/>
        </w:rPr>
        <w:t xml:space="preserve">Deploy the voice agent worker — install Python dependencies, populate .env, start 2 worker processes. Verify they appear as connected agents in the LiveKit admin panel.</w:t>
      </w:r>
    </w:p>
    <w:p>
      <w:pPr>
        <w:pStyle w:val="ListParagraph"/>
        <w:numPr>
          <w:ilvl w:val="0"/>
          <w:numId w:val="3"/>
        </w:numPr>
        <w:spacing w:after="60" w:before="60"/>
      </w:pPr>
      <w:r>
        <w:rPr>
          <w:rFonts w:ascii="Arial" w:cs="Arial" w:eastAsia="Arial" w:hAnsi="Arial"/>
          <w:color w:val="2D3748"/>
          <w:sz w:val="23"/>
          <w:szCs w:val="23"/>
        </w:rPr>
        <w:t xml:space="preserve">Build and start the Next.js dashboard: npm run build then npm start (or use PM2 for process management).</w:t>
      </w:r>
    </w:p>
    <w:p>
      <w:pPr>
        <w:pStyle w:val="ListParagraph"/>
        <w:numPr>
          <w:ilvl w:val="0"/>
          <w:numId w:val="3"/>
        </w:numPr>
        <w:spacing w:after="60" w:before="60"/>
      </w:pPr>
      <w:r>
        <w:rPr>
          <w:rFonts w:ascii="Arial" w:cs="Arial" w:eastAsia="Arial" w:hAnsi="Arial"/>
          <w:color w:val="2D3748"/>
          <w:sz w:val="23"/>
          <w:szCs w:val="23"/>
        </w:rPr>
        <w:t xml:space="preserve">Configure Caddy with subdomain routing: api.domain.com → FastAPI, app.domain.com → Dashboard, livekit.domain.com → LiveKit. Caddy auto-provisions TLS via Let’s Encrypt.</w:t>
      </w:r>
    </w:p>
    <w:p>
      <w:pPr>
        <w:pStyle w:val="ListParagraph"/>
        <w:numPr>
          <w:ilvl w:val="0"/>
          <w:numId w:val="3"/>
        </w:numPr>
        <w:spacing w:after="60" w:before="60"/>
      </w:pPr>
      <w:r>
        <w:rPr>
          <w:rFonts w:ascii="Arial" w:cs="Arial" w:eastAsia="Arial" w:hAnsi="Arial"/>
          <w:color w:val="2D3748"/>
          <w:sz w:val="23"/>
          <w:szCs w:val="23"/>
        </w:rPr>
        <w:t xml:space="preserve">Point DNS A records for all subdomains to the VM’s public IP address.</w:t>
      </w:r>
    </w:p>
    <w:p>
      <w:pPr>
        <w:pStyle w:val="ListParagraph"/>
        <w:numPr>
          <w:ilvl w:val="0"/>
          <w:numId w:val="3"/>
        </w:numPr>
        <w:spacing w:after="60" w:before="60"/>
      </w:pPr>
      <w:r>
        <w:rPr>
          <w:rFonts w:ascii="Arial" w:cs="Arial" w:eastAsia="Arial" w:hAnsi="Arial"/>
          <w:color w:val="2D3748"/>
          <w:sz w:val="23"/>
          <w:szCs w:val="23"/>
        </w:rPr>
        <w:t xml:space="preserve">Configure the SIP trunk provider (Twilio / Exotel / any SIP provider) to route inbound calls to the VM’s public IP on port 5060.</w:t>
      </w:r>
    </w:p>
    <w:p>
      <w:pPr>
        <w:pStyle w:val="ListParagraph"/>
        <w:numPr>
          <w:ilvl w:val="0"/>
          <w:numId w:val="3"/>
        </w:numPr>
        <w:spacing w:after="60" w:before="60"/>
      </w:pPr>
      <w:r>
        <w:rPr>
          <w:rFonts w:ascii="Arial" w:cs="Arial" w:eastAsia="Arial" w:hAnsi="Arial"/>
          <w:color w:val="2D3748"/>
          <w:sz w:val="23"/>
          <w:szCs w:val="23"/>
        </w:rPr>
        <w:t xml:space="preserve">Make a test call via the browser widget and via the phone number. Verify the transcript appears in the dashboard.</w:t>
      </w:r>
    </w:p>
    <w:p>
      <w:pPr>
        <w:pStyle w:val="ListParagraph"/>
        <w:numPr>
          <w:ilvl w:val="0"/>
          <w:numId w:val="3"/>
        </w:numPr>
        <w:spacing w:after="60" w:before="60"/>
      </w:pPr>
      <w:r>
        <w:rPr>
          <w:rFonts w:ascii="Arial" w:cs="Arial" w:eastAsia="Arial" w:hAnsi="Arial"/>
          <w:color w:val="2D3748"/>
          <w:sz w:val="23"/>
          <w:szCs w:val="23"/>
        </w:rPr>
        <w:t xml:space="preserve">Set up a daily pg_dump cron job to back up PostgreSQL to object storage.</w:t>
      </w:r>
    </w:p>
    <w:p>
      <w:pPr>
        <w:spacing w:after="0" w:before="200"/>
      </w:pPr>
      <w:r>
        <w:t xml:space="preserve"/>
      </w:r>
    </w:p>
    <w:p>
      <w:pPr>
        <w:pStyle w:val="Heading1"/>
        <w:pBdr>
          <w:bottom w:val="single" w:color="C4621A" w:sz="4" w:space="6"/>
        </w:pBdr>
        <w:spacing w:after="160" w:before="400"/>
      </w:pPr>
      <w:r>
        <w:rPr>
          <w:rFonts w:ascii="Arial" w:cs="Arial" w:eastAsia="Arial" w:hAnsi="Arial"/>
          <w:b/>
          <w:bCs/>
          <w:color w:val="C4621A"/>
          <w:sz w:val="30"/>
          <w:szCs w:val="30"/>
        </w:rPr>
        <w:t xml:space="preserve">11.  </w:t>
      </w:r>
      <w:r>
        <w:rPr>
          <w:rFonts w:ascii="Arial" w:cs="Arial" w:eastAsia="Arial" w:hAnsi="Arial"/>
          <w:b/>
          <w:bCs/>
          <w:color w:val="1A1A2E"/>
          <w:sz w:val="30"/>
          <w:szCs w:val="30"/>
        </w:rPr>
        <w:t xml:space="preserve">What the Dashboard Provides</w:t>
      </w:r>
    </w:p>
    <w:p>
      <w:pPr>
        <w:spacing w:after="80" w:before="80"/>
      </w:pPr>
      <w:r>
        <w:rPr>
          <w:rFonts w:ascii="Arial" w:cs="Arial" w:eastAsia="Arial" w:hAnsi="Arial"/>
          <w:color w:val="2D3748"/>
          <w:sz w:val="23"/>
          <w:szCs w:val="23"/>
        </w:rPr>
        <w:t xml:space="preserve">The Next.js web dashboard is the client’s interface to AIRA. It provides the following capabilities:</w:t>
      </w:r>
    </w:p>
    <w:p>
      <w:pPr>
        <w:spacing w:after="0" w:before="80"/>
      </w:pPr>
      <w:r>
        <w:t xml:space="preserve"/>
      </w:r>
    </w:p>
    <w:p>
      <w:pPr>
        <w:pStyle w:val="ListParagraph"/>
        <w:numPr>
          <w:ilvl w:val="0"/>
          <w:numId w:val="2"/>
        </w:numPr>
        <w:spacing w:after="40" w:before="40"/>
      </w:pPr>
      <w:r>
        <w:rPr>
          <w:rFonts w:ascii="Arial" w:cs="Arial" w:eastAsia="Arial" w:hAnsi="Arial"/>
          <w:color w:val="2D3748"/>
          <w:sz w:val="23"/>
          <w:szCs w:val="23"/>
        </w:rPr>
        <w:t xml:space="preserve">Live call monitor — see active calls in real time with live status indicators</w:t>
      </w:r>
    </w:p>
    <w:p>
      <w:pPr>
        <w:pStyle w:val="ListParagraph"/>
        <w:numPr>
          <w:ilvl w:val="0"/>
          <w:numId w:val="2"/>
        </w:numPr>
        <w:spacing w:after="40" w:before="40"/>
      </w:pPr>
      <w:r>
        <w:rPr>
          <w:rFonts w:ascii="Arial" w:cs="Arial" w:eastAsia="Arial" w:hAnsi="Arial"/>
          <w:color w:val="2D3748"/>
          <w:sz w:val="23"/>
          <w:szCs w:val="23"/>
        </w:rPr>
        <w:t xml:space="preserve">Call log — full history of all calls with caller details, duration, and status</w:t>
      </w:r>
    </w:p>
    <w:p>
      <w:pPr>
        <w:pStyle w:val="ListParagraph"/>
        <w:numPr>
          <w:ilvl w:val="0"/>
          <w:numId w:val="2"/>
        </w:numPr>
        <w:spacing w:after="40" w:before="40"/>
      </w:pPr>
      <w:r>
        <w:rPr>
          <w:rFonts w:ascii="Arial" w:cs="Arial" w:eastAsia="Arial" w:hAnsi="Arial"/>
          <w:color w:val="2D3748"/>
          <w:sz w:val="23"/>
          <w:szCs w:val="23"/>
        </w:rPr>
        <w:t xml:space="preserve">Transcripts — full conversation text for every call, speaker-attributed</w:t>
      </w:r>
    </w:p>
    <w:p>
      <w:pPr>
        <w:pStyle w:val="ListParagraph"/>
        <w:numPr>
          <w:ilvl w:val="0"/>
          <w:numId w:val="2"/>
        </w:numPr>
        <w:spacing w:after="40" w:before="40"/>
      </w:pPr>
      <w:r>
        <w:rPr>
          <w:rFonts w:ascii="Arial" w:cs="Arial" w:eastAsia="Arial" w:hAnsi="Arial"/>
          <w:color w:val="2D3748"/>
          <w:sz w:val="23"/>
          <w:szCs w:val="23"/>
        </w:rPr>
        <w:t xml:space="preserve">Call summaries — AI-generated summary, call category (Sales / Support / Appointment / etc.), and action items</w:t>
      </w:r>
    </w:p>
    <w:p>
      <w:pPr>
        <w:pStyle w:val="ListParagraph"/>
        <w:numPr>
          <w:ilvl w:val="0"/>
          <w:numId w:val="2"/>
        </w:numPr>
        <w:spacing w:after="40" w:before="40"/>
      </w:pPr>
      <w:r>
        <w:rPr>
          <w:rFonts w:ascii="Arial" w:cs="Arial" w:eastAsia="Arial" w:hAnsi="Arial"/>
          <w:color w:val="2D3748"/>
          <w:sz w:val="23"/>
          <w:szCs w:val="23"/>
        </w:rPr>
        <w:t xml:space="preserve">Knowledge base management — upload PDF, DOCX, or TXT files; the system embeds them into ChromaDB for RAG</w:t>
      </w:r>
    </w:p>
    <w:p>
      <w:pPr>
        <w:pStyle w:val="ListParagraph"/>
        <w:numPr>
          <w:ilvl w:val="0"/>
          <w:numId w:val="2"/>
        </w:numPr>
        <w:spacing w:after="40" w:before="40"/>
      </w:pPr>
      <w:r>
        <w:rPr>
          <w:rFonts w:ascii="Arial" w:cs="Arial" w:eastAsia="Arial" w:hAnsi="Arial"/>
          <w:color w:val="2D3748"/>
          <w:sz w:val="23"/>
          <w:szCs w:val="23"/>
        </w:rPr>
        <w:t xml:space="preserve">Agent settings — configure the agent’s name, language, voice, persona, and greeting</w:t>
      </w:r>
    </w:p>
    <w:p>
      <w:pPr>
        <w:pStyle w:val="ListParagraph"/>
        <w:numPr>
          <w:ilvl w:val="0"/>
          <w:numId w:val="2"/>
        </w:numPr>
        <w:spacing w:after="40" w:before="40"/>
      </w:pPr>
      <w:r>
        <w:rPr>
          <w:rFonts w:ascii="Arial" w:cs="Arial" w:eastAsia="Arial" w:hAnsi="Arial"/>
          <w:color w:val="2D3748"/>
          <w:sz w:val="23"/>
          <w:szCs w:val="23"/>
        </w:rPr>
        <w:t xml:space="preserve">Call metrics — LLM token usage, STT audio duration, TTS characters billed per call</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8"/>
      </w:pBdr>
      <w:jc w:val="center"/>
    </w:pPr>
    <w:r>
      <w:rPr>
        <w:rFonts w:ascii="Arial" w:cs="Arial" w:eastAsia="Arial" w:hAnsi="Arial"/>
        <w:color w:val="999999"/>
        <w:sz w:val="18"/>
        <w:szCs w:val="18"/>
      </w:rPr>
      <w:t xml:space="preserve">AIRA — System Architecture — Confidential     |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1A1A2E"/>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57a31aeb2b73b40d7780f412c9bf5495a184239.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2026-06-29T09:13:59.545Z</dcterms:created>
  <dcterms:modified xsi:type="dcterms:W3CDTF">2026-06-29T09:13:59.546Z</dcterms:modified>
</cp:coreProperties>
</file>

<file path=docProps/custom.xml><?xml version="1.0" encoding="utf-8"?>
<Properties xmlns="http://schemas.openxmlformats.org/officeDocument/2006/custom-properties" xmlns:vt="http://schemas.openxmlformats.org/officeDocument/2006/docPropsVTypes"/>
</file>