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3A9" w:rsidRPr="001053F9" w:rsidRDefault="003513A9" w:rsidP="00EF3E82">
      <w:pPr>
        <w:pStyle w:val="TOCHeading"/>
        <w:rPr>
          <w:rFonts w:ascii="Times New Roman" w:hAnsi="Times New Roman" w:cs="Times New Roman"/>
        </w:rPr>
      </w:pPr>
    </w:p>
    <w:p w:rsidR="00EF4A91" w:rsidRPr="001053F9" w:rsidRDefault="00FB2DE3" w:rsidP="005013C6">
      <w:pPr>
        <w:pStyle w:val="Heading1"/>
        <w:numPr>
          <w:ilvl w:val="0"/>
          <w:numId w:val="6"/>
        </w:numPr>
        <w:spacing w:line="360" w:lineRule="auto"/>
        <w:jc w:val="center"/>
        <w:rPr>
          <w:rFonts w:ascii="Times New Roman" w:hAnsi="Times New Roman" w:cs="Times New Roman"/>
          <w:color w:val="000000" w:themeColor="text1"/>
          <w:sz w:val="16"/>
          <w:szCs w:val="24"/>
        </w:rPr>
      </w:pPr>
      <w:bookmarkStart w:id="0" w:name="_Toc427313545"/>
      <w:r w:rsidRPr="001053F9">
        <w:rPr>
          <w:rFonts w:ascii="Times New Roman" w:hAnsi="Times New Roman" w:cs="Times New Roman"/>
          <w:color w:val="000000" w:themeColor="text1"/>
          <w:sz w:val="20"/>
          <w:szCs w:val="24"/>
        </w:rPr>
        <w:t>A</w:t>
      </w:r>
      <w:r w:rsidRPr="001053F9">
        <w:rPr>
          <w:rFonts w:ascii="Times New Roman" w:hAnsi="Times New Roman" w:cs="Times New Roman"/>
          <w:color w:val="000000" w:themeColor="text1"/>
          <w:sz w:val="16"/>
          <w:szCs w:val="24"/>
        </w:rPr>
        <w:t>BSTRACT</w:t>
      </w:r>
      <w:bookmarkEnd w:id="0"/>
    </w:p>
    <w:p w:rsidR="00FD13D3" w:rsidRPr="001053F9" w:rsidRDefault="00FB2DE3" w:rsidP="005013C6">
      <w:pPr>
        <w:pStyle w:val="Heading1"/>
        <w:numPr>
          <w:ilvl w:val="0"/>
          <w:numId w:val="6"/>
        </w:numPr>
        <w:spacing w:line="360" w:lineRule="auto"/>
        <w:jc w:val="center"/>
        <w:rPr>
          <w:rFonts w:ascii="Times New Roman" w:hAnsi="Times New Roman" w:cs="Times New Roman"/>
          <w:color w:val="000000" w:themeColor="text1"/>
          <w:sz w:val="16"/>
          <w:szCs w:val="24"/>
        </w:rPr>
      </w:pPr>
      <w:bookmarkStart w:id="1" w:name="_Toc427313546"/>
      <w:r w:rsidRPr="001053F9">
        <w:rPr>
          <w:rFonts w:ascii="Times New Roman" w:hAnsi="Times New Roman" w:cs="Times New Roman"/>
          <w:color w:val="000000" w:themeColor="text1"/>
          <w:sz w:val="20"/>
          <w:szCs w:val="24"/>
        </w:rPr>
        <w:t>I</w:t>
      </w:r>
      <w:r w:rsidRPr="001053F9">
        <w:rPr>
          <w:rFonts w:ascii="Times New Roman" w:hAnsi="Times New Roman" w:cs="Times New Roman"/>
          <w:color w:val="000000" w:themeColor="text1"/>
          <w:sz w:val="16"/>
          <w:szCs w:val="24"/>
        </w:rPr>
        <w:t>NTRODUCTION</w:t>
      </w:r>
      <w:bookmarkEnd w:id="1"/>
    </w:p>
    <w:p w:rsidR="004E795D" w:rsidRPr="001053F9" w:rsidRDefault="00FB2DE3" w:rsidP="005013C6">
      <w:pPr>
        <w:pStyle w:val="Heading1"/>
        <w:numPr>
          <w:ilvl w:val="0"/>
          <w:numId w:val="6"/>
        </w:numPr>
        <w:spacing w:line="360" w:lineRule="auto"/>
        <w:jc w:val="center"/>
        <w:rPr>
          <w:rFonts w:ascii="Times New Roman" w:hAnsi="Times New Roman" w:cs="Times New Roman"/>
          <w:color w:val="000000" w:themeColor="text1"/>
          <w:sz w:val="16"/>
          <w:szCs w:val="24"/>
        </w:rPr>
      </w:pPr>
      <w:bookmarkStart w:id="2" w:name="_Toc427313547"/>
      <w:r w:rsidRPr="001053F9">
        <w:rPr>
          <w:rFonts w:ascii="Times New Roman" w:hAnsi="Times New Roman" w:cs="Times New Roman"/>
          <w:color w:val="000000" w:themeColor="text1"/>
          <w:sz w:val="20"/>
          <w:szCs w:val="24"/>
        </w:rPr>
        <w:t>P</w:t>
      </w:r>
      <w:r w:rsidRPr="001053F9">
        <w:rPr>
          <w:rFonts w:ascii="Times New Roman" w:hAnsi="Times New Roman" w:cs="Times New Roman"/>
          <w:color w:val="000000" w:themeColor="text1"/>
          <w:sz w:val="16"/>
          <w:szCs w:val="24"/>
        </w:rPr>
        <w:t xml:space="preserve">AST </w:t>
      </w:r>
      <w:r w:rsidRPr="001053F9">
        <w:rPr>
          <w:rFonts w:ascii="Times New Roman" w:hAnsi="Times New Roman" w:cs="Times New Roman"/>
          <w:color w:val="000000" w:themeColor="text1"/>
          <w:sz w:val="20"/>
          <w:szCs w:val="24"/>
        </w:rPr>
        <w:t>W</w:t>
      </w:r>
      <w:r w:rsidRPr="001053F9">
        <w:rPr>
          <w:rFonts w:ascii="Times New Roman" w:hAnsi="Times New Roman" w:cs="Times New Roman"/>
          <w:color w:val="000000" w:themeColor="text1"/>
          <w:sz w:val="16"/>
          <w:szCs w:val="24"/>
        </w:rPr>
        <w:t>ORK</w:t>
      </w:r>
      <w:bookmarkEnd w:id="2"/>
    </w:p>
    <w:p w:rsidR="00553C9F" w:rsidRPr="001053F9" w:rsidRDefault="00D1283B" w:rsidP="005013C6">
      <w:pPr>
        <w:pStyle w:val="Heading1"/>
        <w:numPr>
          <w:ilvl w:val="0"/>
          <w:numId w:val="6"/>
        </w:numPr>
        <w:spacing w:line="360" w:lineRule="auto"/>
        <w:jc w:val="center"/>
        <w:rPr>
          <w:rFonts w:ascii="Times New Roman" w:hAnsi="Times New Roman" w:cs="Times New Roman"/>
          <w:color w:val="000000" w:themeColor="text1"/>
          <w:sz w:val="16"/>
          <w:szCs w:val="24"/>
        </w:rPr>
      </w:pPr>
      <w:bookmarkStart w:id="3" w:name="_Toc427313548"/>
      <w:r w:rsidRPr="001053F9">
        <w:rPr>
          <w:rFonts w:ascii="Times New Roman" w:hAnsi="Times New Roman" w:cs="Times New Roman"/>
          <w:color w:val="000000" w:themeColor="text1"/>
          <w:sz w:val="20"/>
          <w:szCs w:val="24"/>
        </w:rPr>
        <w:t>P</w:t>
      </w:r>
      <w:r w:rsidRPr="001053F9">
        <w:rPr>
          <w:rFonts w:ascii="Times New Roman" w:hAnsi="Times New Roman" w:cs="Times New Roman"/>
          <w:color w:val="000000" w:themeColor="text1"/>
          <w:sz w:val="16"/>
          <w:szCs w:val="24"/>
        </w:rPr>
        <w:t>ROJECT</w:t>
      </w:r>
      <w:r w:rsidRPr="001053F9">
        <w:rPr>
          <w:rFonts w:ascii="Times New Roman" w:hAnsi="Times New Roman" w:cs="Times New Roman"/>
          <w:color w:val="000000" w:themeColor="text1"/>
          <w:sz w:val="20"/>
          <w:szCs w:val="24"/>
        </w:rPr>
        <w:t xml:space="preserve"> </w:t>
      </w:r>
      <w:r w:rsidR="00FB2DE3" w:rsidRPr="001053F9">
        <w:rPr>
          <w:rFonts w:ascii="Times New Roman" w:hAnsi="Times New Roman" w:cs="Times New Roman"/>
          <w:color w:val="000000" w:themeColor="text1"/>
          <w:sz w:val="20"/>
          <w:szCs w:val="24"/>
        </w:rPr>
        <w:t>D</w:t>
      </w:r>
      <w:r w:rsidR="00FB2DE3" w:rsidRPr="001053F9">
        <w:rPr>
          <w:rFonts w:ascii="Times New Roman" w:hAnsi="Times New Roman" w:cs="Times New Roman"/>
          <w:color w:val="000000" w:themeColor="text1"/>
          <w:sz w:val="16"/>
          <w:szCs w:val="24"/>
        </w:rPr>
        <w:t>ESIGN</w:t>
      </w:r>
      <w:bookmarkEnd w:id="3"/>
    </w:p>
    <w:p w:rsidR="004A63C6" w:rsidRPr="001053F9" w:rsidRDefault="004A63C6">
      <w:pPr>
        <w:rPr>
          <w:rFonts w:ascii="Times New Roman" w:hAnsi="Times New Roman" w:cs="Times New Roman"/>
          <w:sz w:val="20"/>
          <w:szCs w:val="20"/>
        </w:rPr>
      </w:pPr>
      <w:r w:rsidRPr="001053F9">
        <w:rPr>
          <w:rFonts w:ascii="Times New Roman" w:hAnsi="Times New Roman" w:cs="Times New Roman"/>
          <w:sz w:val="20"/>
          <w:szCs w:val="20"/>
        </w:rPr>
        <w:t xml:space="preserve">The main goal for this project was to extract some sort of meaning from a network of collaboration at a conference. </w:t>
      </w:r>
      <w:r w:rsidR="001B1159" w:rsidRPr="001053F9">
        <w:rPr>
          <w:rFonts w:ascii="Times New Roman" w:hAnsi="Times New Roman" w:cs="Times New Roman"/>
          <w:sz w:val="20"/>
          <w:szCs w:val="20"/>
        </w:rPr>
        <w:t>At each stage of the project, there was a smaller sub-goal. A chronology of these sub-goals and an explanation for each follows.</w:t>
      </w:r>
    </w:p>
    <w:p w:rsidR="00020E6E" w:rsidRPr="001053F9" w:rsidRDefault="001B1159" w:rsidP="001B1159">
      <w:pPr>
        <w:pStyle w:val="ListParagraph"/>
        <w:numPr>
          <w:ilvl w:val="0"/>
          <w:numId w:val="1"/>
        </w:numPr>
        <w:rPr>
          <w:rFonts w:ascii="Times New Roman" w:hAnsi="Times New Roman" w:cs="Times New Roman"/>
          <w:sz w:val="20"/>
          <w:szCs w:val="20"/>
        </w:rPr>
      </w:pPr>
      <w:r w:rsidRPr="001053F9">
        <w:rPr>
          <w:rFonts w:ascii="Times New Roman" w:hAnsi="Times New Roman" w:cs="Times New Roman"/>
          <w:sz w:val="20"/>
          <w:szCs w:val="20"/>
        </w:rPr>
        <w:t xml:space="preserve">The first sub-goal was </w:t>
      </w:r>
      <w:r w:rsidR="00C14B04" w:rsidRPr="001053F9">
        <w:rPr>
          <w:rFonts w:ascii="Times New Roman" w:hAnsi="Times New Roman" w:cs="Times New Roman"/>
          <w:sz w:val="20"/>
          <w:szCs w:val="20"/>
        </w:rPr>
        <w:t xml:space="preserve">to determine if there was any meaningful information about </w:t>
      </w:r>
      <w:r w:rsidR="00F9134A" w:rsidRPr="001053F9">
        <w:rPr>
          <w:rFonts w:ascii="Times New Roman" w:hAnsi="Times New Roman" w:cs="Times New Roman"/>
          <w:sz w:val="20"/>
          <w:szCs w:val="20"/>
        </w:rPr>
        <w:t>the communities about co</w:t>
      </w:r>
      <w:r w:rsidR="0087239B" w:rsidRPr="001053F9">
        <w:rPr>
          <w:rFonts w:ascii="Times New Roman" w:hAnsi="Times New Roman" w:cs="Times New Roman"/>
          <w:sz w:val="20"/>
          <w:szCs w:val="20"/>
        </w:rPr>
        <w:t>-</w:t>
      </w:r>
      <w:r w:rsidR="00F9134A" w:rsidRPr="001053F9">
        <w:rPr>
          <w:rFonts w:ascii="Times New Roman" w:hAnsi="Times New Roman" w:cs="Times New Roman"/>
          <w:sz w:val="20"/>
          <w:szCs w:val="20"/>
        </w:rPr>
        <w:t xml:space="preserve">authorship that could be obtained via network analysis. </w:t>
      </w:r>
      <w:r w:rsidR="00245AEA" w:rsidRPr="001053F9">
        <w:rPr>
          <w:rFonts w:ascii="Times New Roman" w:hAnsi="Times New Roman" w:cs="Times New Roman"/>
          <w:sz w:val="20"/>
          <w:szCs w:val="20"/>
        </w:rPr>
        <w:t>Ultimately</w:t>
      </w:r>
      <w:r w:rsidR="00F9134A" w:rsidRPr="001053F9">
        <w:rPr>
          <w:rFonts w:ascii="Times New Roman" w:hAnsi="Times New Roman" w:cs="Times New Roman"/>
          <w:sz w:val="20"/>
          <w:szCs w:val="20"/>
        </w:rPr>
        <w:t xml:space="preserve">, this proved to be inconclusive because </w:t>
      </w:r>
      <w:r w:rsidR="00A34431" w:rsidRPr="001053F9">
        <w:rPr>
          <w:rFonts w:ascii="Times New Roman" w:hAnsi="Times New Roman" w:cs="Times New Roman"/>
          <w:sz w:val="20"/>
          <w:szCs w:val="20"/>
        </w:rPr>
        <w:t>while raw collaboration data showed</w:t>
      </w:r>
      <w:r w:rsidR="00E51F87" w:rsidRPr="001053F9">
        <w:rPr>
          <w:rFonts w:ascii="Times New Roman" w:hAnsi="Times New Roman" w:cs="Times New Roman"/>
          <w:sz w:val="20"/>
          <w:szCs w:val="20"/>
        </w:rPr>
        <w:t xml:space="preserve"> the structure of the conference and communities, there was nothing showing why the structure was the way it was. </w:t>
      </w:r>
      <w:r w:rsidR="00020E6E" w:rsidRPr="001053F9">
        <w:rPr>
          <w:rFonts w:ascii="Times New Roman" w:hAnsi="Times New Roman" w:cs="Times New Roman"/>
          <w:sz w:val="20"/>
          <w:szCs w:val="20"/>
        </w:rPr>
        <w:t>This sub-goal was then dropped as the primary focus of the project.</w:t>
      </w:r>
      <w:r w:rsidR="002C075F" w:rsidRPr="001053F9">
        <w:rPr>
          <w:rFonts w:ascii="Times New Roman" w:hAnsi="Times New Roman" w:cs="Times New Roman"/>
          <w:sz w:val="20"/>
          <w:szCs w:val="20"/>
        </w:rPr>
        <w:t xml:space="preserve">  </w:t>
      </w:r>
    </w:p>
    <w:p w:rsidR="001B1159" w:rsidRPr="001053F9" w:rsidRDefault="00020E6E" w:rsidP="001B1159">
      <w:pPr>
        <w:pStyle w:val="ListParagraph"/>
        <w:numPr>
          <w:ilvl w:val="0"/>
          <w:numId w:val="1"/>
        </w:numPr>
        <w:rPr>
          <w:rFonts w:ascii="Times New Roman" w:hAnsi="Times New Roman" w:cs="Times New Roman"/>
          <w:sz w:val="20"/>
          <w:szCs w:val="20"/>
        </w:rPr>
      </w:pPr>
      <w:r w:rsidRPr="001053F9">
        <w:rPr>
          <w:rFonts w:ascii="Times New Roman" w:hAnsi="Times New Roman" w:cs="Times New Roman"/>
          <w:sz w:val="20"/>
          <w:szCs w:val="20"/>
        </w:rPr>
        <w:t xml:space="preserve">The next sub-goal was to measure “success” of someone in a </w:t>
      </w:r>
      <w:r w:rsidR="00CA76AF" w:rsidRPr="001053F9">
        <w:rPr>
          <w:rFonts w:ascii="Times New Roman" w:hAnsi="Times New Roman" w:cs="Times New Roman"/>
          <w:sz w:val="20"/>
          <w:szCs w:val="20"/>
        </w:rPr>
        <w:t>conference, using general and specific properties of the netw</w:t>
      </w:r>
      <w:r w:rsidR="0067490A" w:rsidRPr="001053F9">
        <w:rPr>
          <w:rFonts w:ascii="Times New Roman" w:hAnsi="Times New Roman" w:cs="Times New Roman"/>
          <w:sz w:val="20"/>
          <w:szCs w:val="20"/>
        </w:rPr>
        <w:t xml:space="preserve">ork itself and the nodes in it. The main issue with this goal was that defining “success” solely in terms of collaborative values </w:t>
      </w:r>
      <w:r w:rsidR="00DD416C" w:rsidRPr="001053F9">
        <w:rPr>
          <w:rFonts w:ascii="Times New Roman" w:hAnsi="Times New Roman" w:cs="Times New Roman"/>
          <w:sz w:val="20"/>
          <w:szCs w:val="20"/>
        </w:rPr>
        <w:t xml:space="preserve">proved to be difficult and not entirely accurate. </w:t>
      </w:r>
      <w:r w:rsidR="00E531A5" w:rsidRPr="001053F9">
        <w:rPr>
          <w:rFonts w:ascii="Times New Roman" w:hAnsi="Times New Roman" w:cs="Times New Roman"/>
          <w:sz w:val="20"/>
          <w:szCs w:val="20"/>
        </w:rPr>
        <w:t xml:space="preserve">Several conjectures were formed about a definition of success using purely these properties, but </w:t>
      </w:r>
      <w:r w:rsidR="004478DB" w:rsidRPr="001053F9">
        <w:rPr>
          <w:rFonts w:ascii="Times New Roman" w:hAnsi="Times New Roman" w:cs="Times New Roman"/>
          <w:sz w:val="20"/>
          <w:szCs w:val="20"/>
        </w:rPr>
        <w:t xml:space="preserve">they remained as conjectures. </w:t>
      </w:r>
      <w:r w:rsidRPr="001053F9">
        <w:rPr>
          <w:rFonts w:ascii="Times New Roman" w:hAnsi="Times New Roman" w:cs="Times New Roman"/>
          <w:sz w:val="20"/>
          <w:szCs w:val="20"/>
        </w:rPr>
        <w:t xml:space="preserve"> </w:t>
      </w:r>
      <w:r w:rsidR="00B3445E" w:rsidRPr="001053F9">
        <w:rPr>
          <w:rFonts w:ascii="Times New Roman" w:hAnsi="Times New Roman" w:cs="Times New Roman"/>
          <w:sz w:val="20"/>
          <w:szCs w:val="20"/>
        </w:rPr>
        <w:t>This sub-goal was also then dropped as the main focus of the project.</w:t>
      </w:r>
    </w:p>
    <w:p w:rsidR="00552518" w:rsidRPr="001053F9" w:rsidRDefault="00BE7C6F" w:rsidP="001B1159">
      <w:pPr>
        <w:pStyle w:val="ListParagraph"/>
        <w:numPr>
          <w:ilvl w:val="0"/>
          <w:numId w:val="1"/>
        </w:numPr>
        <w:rPr>
          <w:rFonts w:ascii="Times New Roman" w:hAnsi="Times New Roman" w:cs="Times New Roman"/>
          <w:sz w:val="20"/>
          <w:szCs w:val="20"/>
        </w:rPr>
      </w:pPr>
      <w:r w:rsidRPr="001053F9">
        <w:rPr>
          <w:rFonts w:ascii="Times New Roman" w:hAnsi="Times New Roman" w:cs="Times New Roman"/>
          <w:sz w:val="20"/>
          <w:szCs w:val="20"/>
        </w:rPr>
        <w:t xml:space="preserve">The next-sub goal was measuring “fairness” in the network. </w:t>
      </w:r>
      <w:r w:rsidR="00D8133B" w:rsidRPr="001053F9">
        <w:rPr>
          <w:rFonts w:ascii="Times New Roman" w:hAnsi="Times New Roman" w:cs="Times New Roman"/>
          <w:sz w:val="20"/>
          <w:szCs w:val="20"/>
        </w:rPr>
        <w:t xml:space="preserve">While the concepts “co-authorship communities” and “success” </w:t>
      </w:r>
      <w:r w:rsidR="00791723" w:rsidRPr="001053F9">
        <w:rPr>
          <w:rFonts w:ascii="Times New Roman" w:hAnsi="Times New Roman" w:cs="Times New Roman"/>
          <w:sz w:val="20"/>
          <w:szCs w:val="20"/>
        </w:rPr>
        <w:t xml:space="preserve">were not possible to determine by using solely collaboration data, fairness was something that was verifiable using network properties. </w:t>
      </w:r>
      <w:r w:rsidR="00D96C13" w:rsidRPr="001053F9">
        <w:rPr>
          <w:rFonts w:ascii="Times New Roman" w:hAnsi="Times New Roman" w:cs="Times New Roman"/>
          <w:sz w:val="20"/>
          <w:szCs w:val="20"/>
        </w:rPr>
        <w:t xml:space="preserve">The model used for determining fairness </w:t>
      </w:r>
      <w:r w:rsidR="00281FC2" w:rsidRPr="001053F9">
        <w:rPr>
          <w:rFonts w:ascii="Times New Roman" w:hAnsi="Times New Roman" w:cs="Times New Roman"/>
          <w:sz w:val="20"/>
          <w:szCs w:val="20"/>
        </w:rPr>
        <w:t xml:space="preserve">comprises analysis </w:t>
      </w:r>
      <w:r w:rsidR="003534C9" w:rsidRPr="001053F9">
        <w:rPr>
          <w:rFonts w:ascii="Times New Roman" w:hAnsi="Times New Roman" w:cs="Times New Roman"/>
          <w:sz w:val="20"/>
          <w:szCs w:val="20"/>
        </w:rPr>
        <w:t>of collaborative data, but focuses on the inter-level communication of</w:t>
      </w:r>
      <w:r w:rsidR="000B4BFE" w:rsidRPr="001053F9">
        <w:rPr>
          <w:rFonts w:ascii="Times New Roman" w:hAnsi="Times New Roman" w:cs="Times New Roman"/>
          <w:sz w:val="20"/>
          <w:szCs w:val="20"/>
        </w:rPr>
        <w:t xml:space="preserve"> multi-leveled collaboration</w:t>
      </w:r>
      <w:r w:rsidR="00196619" w:rsidRPr="001053F9">
        <w:rPr>
          <w:rFonts w:ascii="Times New Roman" w:hAnsi="Times New Roman" w:cs="Times New Roman"/>
          <w:sz w:val="20"/>
          <w:szCs w:val="20"/>
        </w:rPr>
        <w:t xml:space="preserve">. </w:t>
      </w:r>
    </w:p>
    <w:p w:rsidR="00B3445E" w:rsidRPr="001053F9" w:rsidRDefault="00D56202" w:rsidP="00552518">
      <w:pPr>
        <w:rPr>
          <w:rFonts w:ascii="Times New Roman" w:hAnsi="Times New Roman" w:cs="Times New Roman"/>
          <w:sz w:val="20"/>
          <w:szCs w:val="20"/>
        </w:rPr>
      </w:pPr>
      <w:r w:rsidRPr="001053F9">
        <w:rPr>
          <w:rFonts w:ascii="Times New Roman" w:hAnsi="Times New Roman" w:cs="Times New Roman"/>
          <w:sz w:val="20"/>
          <w:szCs w:val="20"/>
        </w:rPr>
        <w:lastRenderedPageBreak/>
        <w:t xml:space="preserve">The </w:t>
      </w:r>
      <w:r w:rsidR="004E19D4" w:rsidRPr="001053F9">
        <w:rPr>
          <w:rFonts w:ascii="Times New Roman" w:hAnsi="Times New Roman" w:cs="Times New Roman"/>
          <w:sz w:val="20"/>
          <w:szCs w:val="20"/>
        </w:rPr>
        <w:t>s</w:t>
      </w:r>
      <w:r w:rsidRPr="001053F9">
        <w:rPr>
          <w:rFonts w:ascii="Times New Roman" w:hAnsi="Times New Roman" w:cs="Times New Roman"/>
          <w:sz w:val="20"/>
          <w:szCs w:val="20"/>
        </w:rPr>
        <w:t xml:space="preserve">ub goal of “fairness” was ultimately </w:t>
      </w:r>
      <w:r w:rsidR="00737C0B" w:rsidRPr="001053F9">
        <w:rPr>
          <w:rFonts w:ascii="Times New Roman" w:hAnsi="Times New Roman" w:cs="Times New Roman"/>
          <w:sz w:val="20"/>
          <w:szCs w:val="20"/>
        </w:rPr>
        <w:t xml:space="preserve">the goal that was chosen for the final project because it proved to </w:t>
      </w:r>
      <w:r w:rsidR="00771831" w:rsidRPr="001053F9">
        <w:rPr>
          <w:rFonts w:ascii="Times New Roman" w:hAnsi="Times New Roman" w:cs="Times New Roman"/>
          <w:sz w:val="20"/>
          <w:szCs w:val="20"/>
        </w:rPr>
        <w:t xml:space="preserve">be the </w:t>
      </w:r>
      <w:r w:rsidR="0074073D" w:rsidRPr="001053F9">
        <w:rPr>
          <w:rFonts w:ascii="Times New Roman" w:hAnsi="Times New Roman" w:cs="Times New Roman"/>
          <w:sz w:val="20"/>
          <w:szCs w:val="20"/>
        </w:rPr>
        <w:t xml:space="preserve">only concept among the three that could be analyzed in a network using only collaborative data </w:t>
      </w:r>
      <w:r w:rsidR="00804539" w:rsidRPr="001053F9">
        <w:rPr>
          <w:rFonts w:ascii="Times New Roman" w:hAnsi="Times New Roman" w:cs="Times New Roman"/>
          <w:sz w:val="20"/>
          <w:szCs w:val="20"/>
        </w:rPr>
        <w:t xml:space="preserve">with meaningful </w:t>
      </w:r>
      <w:r w:rsidR="009879FD" w:rsidRPr="001053F9">
        <w:rPr>
          <w:rFonts w:ascii="Times New Roman" w:hAnsi="Times New Roman" w:cs="Times New Roman"/>
          <w:sz w:val="20"/>
          <w:szCs w:val="20"/>
        </w:rPr>
        <w:t>results.</w:t>
      </w:r>
      <w:r w:rsidR="00B8367B" w:rsidRPr="001053F9">
        <w:rPr>
          <w:rFonts w:ascii="Times New Roman" w:hAnsi="Times New Roman" w:cs="Times New Roman"/>
          <w:sz w:val="20"/>
          <w:szCs w:val="20"/>
        </w:rPr>
        <w:t xml:space="preserve"> The first analysis performed on all networks was manual, where </w:t>
      </w:r>
      <w:r w:rsidR="00C466E7" w:rsidRPr="001053F9">
        <w:rPr>
          <w:rFonts w:ascii="Times New Roman" w:hAnsi="Times New Roman" w:cs="Times New Roman"/>
          <w:sz w:val="20"/>
          <w:szCs w:val="20"/>
        </w:rPr>
        <w:t xml:space="preserve">numerical </w:t>
      </w:r>
      <w:r w:rsidR="000369E5" w:rsidRPr="001053F9">
        <w:rPr>
          <w:rFonts w:ascii="Times New Roman" w:hAnsi="Times New Roman" w:cs="Times New Roman"/>
          <w:sz w:val="20"/>
          <w:szCs w:val="20"/>
        </w:rPr>
        <w:t xml:space="preserve">properties of the network were examined in parallel with </w:t>
      </w:r>
      <w:r w:rsidR="00DA1144" w:rsidRPr="001053F9">
        <w:rPr>
          <w:rFonts w:ascii="Times New Roman" w:hAnsi="Times New Roman" w:cs="Times New Roman"/>
          <w:sz w:val="20"/>
          <w:szCs w:val="20"/>
        </w:rPr>
        <w:t xml:space="preserve">its visual properties. Ultimately, the latter proved to be more useful in </w:t>
      </w:r>
      <w:r w:rsidR="00042C5A" w:rsidRPr="001053F9">
        <w:rPr>
          <w:rFonts w:ascii="Times New Roman" w:hAnsi="Times New Roman" w:cs="Times New Roman"/>
          <w:sz w:val="20"/>
          <w:szCs w:val="20"/>
        </w:rPr>
        <w:t xml:space="preserve">manual analysis. </w:t>
      </w:r>
      <w:r w:rsidR="003F3755" w:rsidRPr="001053F9">
        <w:rPr>
          <w:rFonts w:ascii="Times New Roman" w:hAnsi="Times New Roman" w:cs="Times New Roman"/>
          <w:sz w:val="20"/>
          <w:szCs w:val="20"/>
        </w:rPr>
        <w:t xml:space="preserve">After conclusions were drawn based on manual analysis, a new sub-goal was developed. </w:t>
      </w:r>
    </w:p>
    <w:p w:rsidR="009B6EF9" w:rsidRPr="001053F9" w:rsidRDefault="005161AB" w:rsidP="009B6EF9">
      <w:pPr>
        <w:pStyle w:val="ListParagraph"/>
        <w:numPr>
          <w:ilvl w:val="0"/>
          <w:numId w:val="1"/>
        </w:numPr>
        <w:rPr>
          <w:rFonts w:ascii="Times New Roman" w:hAnsi="Times New Roman" w:cs="Times New Roman"/>
          <w:sz w:val="20"/>
          <w:szCs w:val="20"/>
        </w:rPr>
      </w:pPr>
      <w:r w:rsidRPr="001053F9">
        <w:rPr>
          <w:rFonts w:ascii="Times New Roman" w:hAnsi="Times New Roman" w:cs="Times New Roman"/>
          <w:sz w:val="20"/>
          <w:szCs w:val="20"/>
        </w:rPr>
        <w:t>The last</w:t>
      </w:r>
      <w:r w:rsidR="00633E8C" w:rsidRPr="001053F9">
        <w:rPr>
          <w:rFonts w:ascii="Times New Roman" w:hAnsi="Times New Roman" w:cs="Times New Roman"/>
          <w:sz w:val="20"/>
          <w:szCs w:val="20"/>
        </w:rPr>
        <w:t xml:space="preserve"> sub-goal was </w:t>
      </w:r>
      <w:r w:rsidR="00B94321" w:rsidRPr="001053F9">
        <w:rPr>
          <w:rFonts w:ascii="Times New Roman" w:hAnsi="Times New Roman" w:cs="Times New Roman"/>
          <w:sz w:val="20"/>
          <w:szCs w:val="20"/>
        </w:rPr>
        <w:t>to find numerical properties that could be combined to create a numerical value for “fairness”</w:t>
      </w:r>
      <w:r w:rsidR="005779F9" w:rsidRPr="001053F9">
        <w:rPr>
          <w:rFonts w:ascii="Times New Roman" w:hAnsi="Times New Roman" w:cs="Times New Roman"/>
          <w:sz w:val="20"/>
          <w:szCs w:val="20"/>
        </w:rPr>
        <w:t xml:space="preserve"> so that conferences could be rated for </w:t>
      </w:r>
      <w:r w:rsidR="00F4037A" w:rsidRPr="001053F9">
        <w:rPr>
          <w:rFonts w:ascii="Times New Roman" w:hAnsi="Times New Roman" w:cs="Times New Roman"/>
          <w:sz w:val="20"/>
          <w:szCs w:val="20"/>
        </w:rPr>
        <w:t>fairness witho</w:t>
      </w:r>
      <w:r w:rsidR="004E5F88" w:rsidRPr="001053F9">
        <w:rPr>
          <w:rFonts w:ascii="Times New Roman" w:hAnsi="Times New Roman" w:cs="Times New Roman"/>
          <w:sz w:val="20"/>
          <w:szCs w:val="20"/>
        </w:rPr>
        <w:t>ut the need for manual analysis</w:t>
      </w:r>
      <w:r w:rsidR="00B94321" w:rsidRPr="001053F9">
        <w:rPr>
          <w:rFonts w:ascii="Times New Roman" w:hAnsi="Times New Roman" w:cs="Times New Roman"/>
          <w:sz w:val="20"/>
          <w:szCs w:val="20"/>
        </w:rPr>
        <w:t xml:space="preserve">. </w:t>
      </w:r>
      <w:r w:rsidR="00401A3C" w:rsidRPr="001053F9">
        <w:rPr>
          <w:rFonts w:ascii="Times New Roman" w:hAnsi="Times New Roman" w:cs="Times New Roman"/>
          <w:sz w:val="20"/>
          <w:szCs w:val="20"/>
        </w:rPr>
        <w:t xml:space="preserve">This value would have to be size-agnostic, so that values would have consistent meaning across all conferences, large or small. </w:t>
      </w:r>
    </w:p>
    <w:p w:rsidR="008D7AEB" w:rsidRPr="001053F9" w:rsidRDefault="00F66EEA">
      <w:pPr>
        <w:rPr>
          <w:rFonts w:ascii="Times New Roman" w:hAnsi="Times New Roman" w:cs="Times New Roman"/>
          <w:sz w:val="20"/>
          <w:szCs w:val="20"/>
        </w:rPr>
      </w:pPr>
      <w:r w:rsidRPr="001053F9">
        <w:rPr>
          <w:rFonts w:ascii="Times New Roman" w:hAnsi="Times New Roman" w:cs="Times New Roman"/>
          <w:sz w:val="20"/>
          <w:szCs w:val="20"/>
        </w:rPr>
        <w:t xml:space="preserve">This goal of automatically determining </w:t>
      </w:r>
      <w:r w:rsidR="00D9545D" w:rsidRPr="001053F9">
        <w:rPr>
          <w:rFonts w:ascii="Times New Roman" w:hAnsi="Times New Roman" w:cs="Times New Roman"/>
          <w:sz w:val="20"/>
          <w:szCs w:val="20"/>
        </w:rPr>
        <w:t>fairness from numerical properties of a conference</w:t>
      </w:r>
      <w:r w:rsidR="00531EF3" w:rsidRPr="001053F9">
        <w:rPr>
          <w:rFonts w:ascii="Times New Roman" w:hAnsi="Times New Roman" w:cs="Times New Roman"/>
          <w:sz w:val="20"/>
          <w:szCs w:val="20"/>
        </w:rPr>
        <w:t xml:space="preserve"> </w:t>
      </w:r>
      <w:r w:rsidR="00F00C63" w:rsidRPr="001053F9">
        <w:rPr>
          <w:rFonts w:ascii="Times New Roman" w:hAnsi="Times New Roman" w:cs="Times New Roman"/>
          <w:sz w:val="20"/>
          <w:szCs w:val="20"/>
        </w:rPr>
        <w:t xml:space="preserve">was the final step in the project design. With the </w:t>
      </w:r>
      <w:r w:rsidR="00A43DED" w:rsidRPr="001053F9">
        <w:rPr>
          <w:rFonts w:ascii="Times New Roman" w:hAnsi="Times New Roman" w:cs="Times New Roman"/>
          <w:sz w:val="20"/>
          <w:szCs w:val="20"/>
        </w:rPr>
        <w:t xml:space="preserve">goals completely set in stone, </w:t>
      </w:r>
      <w:r w:rsidR="00C4140E" w:rsidRPr="001053F9">
        <w:rPr>
          <w:rFonts w:ascii="Times New Roman" w:hAnsi="Times New Roman" w:cs="Times New Roman"/>
          <w:sz w:val="20"/>
          <w:szCs w:val="20"/>
        </w:rPr>
        <w:t>the implementation was the next big step.</w:t>
      </w:r>
    </w:p>
    <w:p w:rsidR="00F106C6" w:rsidRPr="001053F9" w:rsidRDefault="003B6DA8" w:rsidP="00770575">
      <w:pPr>
        <w:pStyle w:val="Heading1"/>
        <w:numPr>
          <w:ilvl w:val="0"/>
          <w:numId w:val="6"/>
        </w:numPr>
        <w:spacing w:line="360" w:lineRule="auto"/>
        <w:jc w:val="center"/>
        <w:rPr>
          <w:rFonts w:ascii="Times New Roman" w:hAnsi="Times New Roman" w:cs="Times New Roman"/>
          <w:color w:val="000000" w:themeColor="text1"/>
          <w:sz w:val="16"/>
          <w:szCs w:val="20"/>
        </w:rPr>
      </w:pPr>
      <w:r w:rsidRPr="001053F9">
        <w:rPr>
          <w:rStyle w:val="SubtleReference"/>
          <w:rFonts w:ascii="Times New Roman" w:hAnsi="Times New Roman" w:cs="Times New Roman"/>
          <w:smallCaps w:val="0"/>
          <w:color w:val="000000" w:themeColor="text1"/>
          <w:sz w:val="20"/>
          <w:szCs w:val="20"/>
        </w:rPr>
        <w:t>M</w:t>
      </w:r>
      <w:r w:rsidRPr="001053F9">
        <w:rPr>
          <w:rStyle w:val="SubtleReference"/>
          <w:rFonts w:ascii="Times New Roman" w:hAnsi="Times New Roman" w:cs="Times New Roman"/>
          <w:smallCaps w:val="0"/>
          <w:color w:val="000000" w:themeColor="text1"/>
          <w:sz w:val="16"/>
          <w:szCs w:val="20"/>
        </w:rPr>
        <w:t xml:space="preserve">ETHODOLOGY </w:t>
      </w:r>
      <w:r w:rsidRPr="001053F9">
        <w:rPr>
          <w:rStyle w:val="SubtleReference"/>
          <w:rFonts w:ascii="Times New Roman" w:hAnsi="Times New Roman" w:cs="Times New Roman"/>
          <w:smallCaps w:val="0"/>
          <w:color w:val="000000" w:themeColor="text1"/>
          <w:sz w:val="20"/>
          <w:szCs w:val="20"/>
        </w:rPr>
        <w:t>&amp; I</w:t>
      </w:r>
      <w:r w:rsidRPr="001053F9">
        <w:rPr>
          <w:rStyle w:val="SubtleReference"/>
          <w:rFonts w:ascii="Times New Roman" w:hAnsi="Times New Roman" w:cs="Times New Roman"/>
          <w:smallCaps w:val="0"/>
          <w:color w:val="000000" w:themeColor="text1"/>
          <w:sz w:val="16"/>
          <w:szCs w:val="20"/>
        </w:rPr>
        <w:t>MPLEMENTATION</w:t>
      </w:r>
    </w:p>
    <w:p w:rsidR="00E1297F" w:rsidRPr="001053F9" w:rsidRDefault="000F0B73">
      <w:pPr>
        <w:rPr>
          <w:rFonts w:ascii="Times New Roman" w:hAnsi="Times New Roman" w:cs="Times New Roman"/>
          <w:sz w:val="20"/>
          <w:szCs w:val="20"/>
        </w:rPr>
      </w:pPr>
      <w:r w:rsidRPr="001053F9">
        <w:rPr>
          <w:rFonts w:ascii="Times New Roman" w:hAnsi="Times New Roman" w:cs="Times New Roman"/>
          <w:sz w:val="20"/>
          <w:szCs w:val="20"/>
        </w:rPr>
        <w:t xml:space="preserve">Before any methodology following the steps of project design, there was </w:t>
      </w:r>
      <w:r w:rsidR="00BE7F53" w:rsidRPr="001053F9">
        <w:rPr>
          <w:rFonts w:ascii="Times New Roman" w:hAnsi="Times New Roman" w:cs="Times New Roman"/>
          <w:sz w:val="20"/>
          <w:szCs w:val="20"/>
        </w:rPr>
        <w:t xml:space="preserve">the step of data procurement. </w:t>
      </w:r>
      <w:r w:rsidR="0069739F" w:rsidRPr="001053F9">
        <w:rPr>
          <w:rFonts w:ascii="Times New Roman" w:hAnsi="Times New Roman" w:cs="Times New Roman"/>
          <w:sz w:val="20"/>
          <w:szCs w:val="20"/>
        </w:rPr>
        <w:t>Several different conferences were selected (DAC, ICCAD, NOCS,</w:t>
      </w:r>
      <w:r w:rsidR="00D709F2" w:rsidRPr="001053F9">
        <w:rPr>
          <w:rFonts w:ascii="Times New Roman" w:hAnsi="Times New Roman" w:cs="Times New Roman"/>
          <w:sz w:val="20"/>
          <w:szCs w:val="20"/>
        </w:rPr>
        <w:t xml:space="preserve"> CODES, EMSOFT) for analysis over a time peri</w:t>
      </w:r>
      <w:r w:rsidR="00126319" w:rsidRPr="001053F9">
        <w:rPr>
          <w:rFonts w:ascii="Times New Roman" w:hAnsi="Times New Roman" w:cs="Times New Roman"/>
          <w:sz w:val="20"/>
          <w:szCs w:val="20"/>
        </w:rPr>
        <w:t>od of five years (2010 to 2014).</w:t>
      </w:r>
      <w:r w:rsidR="00322578" w:rsidRPr="001053F9">
        <w:rPr>
          <w:rFonts w:ascii="Times New Roman" w:hAnsi="Times New Roman" w:cs="Times New Roman"/>
          <w:sz w:val="20"/>
          <w:szCs w:val="20"/>
        </w:rPr>
        <w:t xml:space="preserve"> </w:t>
      </w:r>
      <w:r w:rsidR="00D31EEF" w:rsidRPr="001053F9">
        <w:rPr>
          <w:rFonts w:ascii="Times New Roman" w:hAnsi="Times New Roman" w:cs="Times New Roman"/>
          <w:sz w:val="20"/>
          <w:szCs w:val="20"/>
        </w:rPr>
        <w:t xml:space="preserve">The original plan for data procurement was to use the IEEE Xplore API to automatically download all the citations for each conference over this time frame. However, due to API limitations the data had to be gathered by manually </w:t>
      </w:r>
      <w:r w:rsidR="00D92706" w:rsidRPr="001053F9">
        <w:rPr>
          <w:rFonts w:ascii="Times New Roman" w:hAnsi="Times New Roman" w:cs="Times New Roman"/>
          <w:sz w:val="20"/>
          <w:szCs w:val="20"/>
        </w:rPr>
        <w:t xml:space="preserve">using the command search feature to narrow data to a subset for each year of each conference and using the CSV export feature. </w:t>
      </w:r>
      <w:r w:rsidR="005E2964" w:rsidRPr="001053F9">
        <w:rPr>
          <w:rFonts w:ascii="Times New Roman" w:hAnsi="Times New Roman" w:cs="Times New Roman"/>
          <w:sz w:val="20"/>
          <w:szCs w:val="20"/>
        </w:rPr>
        <w:t xml:space="preserve">After this, the information about </w:t>
      </w:r>
      <w:r w:rsidR="00FE50A0" w:rsidRPr="001053F9">
        <w:rPr>
          <w:rFonts w:ascii="Times New Roman" w:hAnsi="Times New Roman" w:cs="Times New Roman"/>
          <w:sz w:val="20"/>
          <w:szCs w:val="20"/>
        </w:rPr>
        <w:t xml:space="preserve">technical </w:t>
      </w:r>
      <w:r w:rsidR="00327BE6" w:rsidRPr="001053F9">
        <w:rPr>
          <w:rFonts w:ascii="Times New Roman" w:hAnsi="Times New Roman" w:cs="Times New Roman"/>
          <w:sz w:val="20"/>
          <w:szCs w:val="20"/>
        </w:rPr>
        <w:t>program committee (hereafter TPC</w:t>
      </w:r>
      <w:r w:rsidR="00225F98" w:rsidRPr="001053F9">
        <w:rPr>
          <w:rFonts w:ascii="Times New Roman" w:hAnsi="Times New Roman" w:cs="Times New Roman"/>
          <w:sz w:val="20"/>
          <w:szCs w:val="20"/>
        </w:rPr>
        <w:t>) members</w:t>
      </w:r>
      <w:r w:rsidR="005E2964" w:rsidRPr="001053F9">
        <w:rPr>
          <w:rFonts w:ascii="Times New Roman" w:hAnsi="Times New Roman" w:cs="Times New Roman"/>
          <w:sz w:val="20"/>
          <w:szCs w:val="20"/>
        </w:rPr>
        <w:t xml:space="preserve"> was obtained from the website of each individual conference and manually inserted into these CSV files.</w:t>
      </w:r>
    </w:p>
    <w:p w:rsidR="000F0B73" w:rsidRPr="001053F9" w:rsidRDefault="002C6579">
      <w:pPr>
        <w:rPr>
          <w:rFonts w:ascii="Times New Roman" w:hAnsi="Times New Roman" w:cs="Times New Roman"/>
          <w:sz w:val="20"/>
          <w:szCs w:val="20"/>
        </w:rPr>
      </w:pPr>
      <w:r w:rsidRPr="001053F9">
        <w:rPr>
          <w:rFonts w:ascii="Times New Roman" w:hAnsi="Times New Roman" w:cs="Times New Roman"/>
          <w:sz w:val="20"/>
          <w:szCs w:val="20"/>
        </w:rPr>
        <w:t xml:space="preserve">This data was then run through a Python program </w:t>
      </w:r>
      <w:r w:rsidR="008E0385" w:rsidRPr="001053F9">
        <w:rPr>
          <w:rFonts w:ascii="Times New Roman" w:hAnsi="Times New Roman" w:cs="Times New Roman"/>
          <w:sz w:val="20"/>
          <w:szCs w:val="20"/>
        </w:rPr>
        <w:t>that created a node for</w:t>
      </w:r>
      <w:r w:rsidR="000549D5" w:rsidRPr="001053F9">
        <w:rPr>
          <w:rFonts w:ascii="Times New Roman" w:hAnsi="Times New Roman" w:cs="Times New Roman"/>
          <w:sz w:val="20"/>
          <w:szCs w:val="20"/>
        </w:rPr>
        <w:t xml:space="preserve"> each person</w:t>
      </w:r>
      <w:r w:rsidR="004D1201" w:rsidRPr="001053F9">
        <w:rPr>
          <w:rFonts w:ascii="Times New Roman" w:hAnsi="Times New Roman" w:cs="Times New Roman"/>
          <w:sz w:val="20"/>
          <w:szCs w:val="20"/>
        </w:rPr>
        <w:t>, autom</w:t>
      </w:r>
      <w:r w:rsidR="0086093F" w:rsidRPr="001053F9">
        <w:rPr>
          <w:rFonts w:ascii="Times New Roman" w:hAnsi="Times New Roman" w:cs="Times New Roman"/>
          <w:sz w:val="20"/>
          <w:szCs w:val="20"/>
        </w:rPr>
        <w:t xml:space="preserve">atically tagged it with a role (TPC or author), </w:t>
      </w:r>
      <w:r w:rsidR="009A558C" w:rsidRPr="001053F9">
        <w:rPr>
          <w:rFonts w:ascii="Times New Roman" w:hAnsi="Times New Roman" w:cs="Times New Roman"/>
          <w:sz w:val="20"/>
          <w:szCs w:val="20"/>
        </w:rPr>
        <w:t xml:space="preserve">institution (university or company) and </w:t>
      </w:r>
      <w:r w:rsidR="006F0975" w:rsidRPr="001053F9">
        <w:rPr>
          <w:rFonts w:ascii="Times New Roman" w:hAnsi="Times New Roman" w:cs="Times New Roman"/>
          <w:sz w:val="20"/>
          <w:szCs w:val="20"/>
        </w:rPr>
        <w:t xml:space="preserve">name. </w:t>
      </w:r>
      <w:r w:rsidR="00B771B7" w:rsidRPr="001053F9">
        <w:rPr>
          <w:rFonts w:ascii="Times New Roman" w:hAnsi="Times New Roman" w:cs="Times New Roman"/>
          <w:sz w:val="20"/>
          <w:szCs w:val="20"/>
        </w:rPr>
        <w:t xml:space="preserve">Then, the program </w:t>
      </w:r>
      <w:r w:rsidR="00DC2DE8" w:rsidRPr="001053F9">
        <w:rPr>
          <w:rFonts w:ascii="Times New Roman" w:hAnsi="Times New Roman" w:cs="Times New Roman"/>
          <w:sz w:val="20"/>
          <w:szCs w:val="20"/>
        </w:rPr>
        <w:t xml:space="preserve">created edges between nodes connected via either co-authorship, institution, or even social groups (the last being </w:t>
      </w:r>
      <w:r w:rsidR="003604D6" w:rsidRPr="001053F9">
        <w:rPr>
          <w:rFonts w:ascii="Times New Roman" w:hAnsi="Times New Roman" w:cs="Times New Roman"/>
          <w:sz w:val="20"/>
          <w:szCs w:val="20"/>
        </w:rPr>
        <w:t xml:space="preserve">when people from different institutions co-authored). </w:t>
      </w:r>
    </w:p>
    <w:p w:rsidR="003563A9" w:rsidRPr="001053F9" w:rsidRDefault="001F0F47">
      <w:pPr>
        <w:rPr>
          <w:rFonts w:ascii="Times New Roman" w:hAnsi="Times New Roman" w:cs="Times New Roman"/>
          <w:noProof/>
          <w:sz w:val="20"/>
          <w:szCs w:val="20"/>
        </w:rPr>
      </w:pPr>
      <w:r w:rsidRPr="001053F9">
        <w:rPr>
          <w:rFonts w:ascii="Times New Roman" w:hAnsi="Times New Roman" w:cs="Times New Roman"/>
          <w:sz w:val="20"/>
          <w:szCs w:val="20"/>
        </w:rPr>
        <w:lastRenderedPageBreak/>
        <w:t>During the process of analysis and the work on the project, various different visualization methods were utilized to see and understand the network better.</w:t>
      </w:r>
      <w:r w:rsidR="00A22965" w:rsidRPr="001053F9">
        <w:rPr>
          <w:rFonts w:ascii="Times New Roman" w:hAnsi="Times New Roman" w:cs="Times New Roman"/>
          <w:sz w:val="20"/>
          <w:szCs w:val="20"/>
        </w:rPr>
        <w:t xml:space="preserve"> </w:t>
      </w:r>
      <w:r w:rsidR="00CD7D39" w:rsidRPr="001053F9">
        <w:rPr>
          <w:rFonts w:ascii="Times New Roman" w:hAnsi="Times New Roman" w:cs="Times New Roman"/>
          <w:sz w:val="20"/>
          <w:szCs w:val="20"/>
        </w:rPr>
        <w:t xml:space="preserve">The network itself was analyzed and visualized in Gephi, </w:t>
      </w:r>
      <w:r w:rsidR="004E176D" w:rsidRPr="001053F9">
        <w:rPr>
          <w:rFonts w:ascii="Times New Roman" w:hAnsi="Times New Roman" w:cs="Times New Roman"/>
          <w:sz w:val="20"/>
          <w:szCs w:val="20"/>
        </w:rPr>
        <w:t xml:space="preserve">an open-source graph visualization platform. </w:t>
      </w:r>
      <w:r w:rsidR="00FC5C41" w:rsidRPr="001053F9">
        <w:rPr>
          <w:rFonts w:ascii="Times New Roman" w:hAnsi="Times New Roman" w:cs="Times New Roman"/>
          <w:sz w:val="20"/>
          <w:szCs w:val="20"/>
        </w:rPr>
        <w:t xml:space="preserve">The nodes </w:t>
      </w:r>
      <w:r w:rsidR="006C4FE7" w:rsidRPr="001053F9">
        <w:rPr>
          <w:rFonts w:ascii="Times New Roman" w:hAnsi="Times New Roman" w:cs="Times New Roman"/>
          <w:sz w:val="20"/>
          <w:szCs w:val="20"/>
        </w:rPr>
        <w:t xml:space="preserve">and edges </w:t>
      </w:r>
      <w:r w:rsidR="00FC5C41" w:rsidRPr="001053F9">
        <w:rPr>
          <w:rFonts w:ascii="Times New Roman" w:hAnsi="Times New Roman" w:cs="Times New Roman"/>
          <w:sz w:val="20"/>
          <w:szCs w:val="20"/>
        </w:rPr>
        <w:t>in the network were colored according to their tag with a script.</w:t>
      </w:r>
      <w:r w:rsidR="002E257A" w:rsidRPr="001053F9">
        <w:rPr>
          <w:rFonts w:ascii="Times New Roman" w:hAnsi="Times New Roman" w:cs="Times New Roman"/>
          <w:noProof/>
          <w:sz w:val="20"/>
          <w:szCs w:val="20"/>
        </w:rPr>
        <w:t xml:space="preserve"> </w:t>
      </w:r>
    </w:p>
    <w:p w:rsidR="00513C23" w:rsidRPr="001053F9" w:rsidRDefault="003563A9" w:rsidP="00513C23">
      <w:pPr>
        <w:keepNext/>
        <w:rPr>
          <w:rFonts w:ascii="Times New Roman" w:hAnsi="Times New Roman" w:cs="Times New Roman"/>
        </w:rPr>
      </w:pPr>
      <w:r w:rsidRPr="001053F9">
        <w:rPr>
          <w:rFonts w:ascii="Times New Roman" w:hAnsi="Times New Roman" w:cs="Times New Roman"/>
          <w:noProof/>
          <w:sz w:val="20"/>
          <w:szCs w:val="20"/>
        </w:rPr>
        <mc:AlternateContent>
          <mc:Choice Requires="wps">
            <w:drawing>
              <wp:anchor distT="45720" distB="45720" distL="114300" distR="114300" simplePos="0" relativeHeight="251669504" behindDoc="0" locked="0" layoutInCell="1" allowOverlap="1" wp14:anchorId="755EAE40" wp14:editId="4C4FBB52">
                <wp:simplePos x="0" y="0"/>
                <wp:positionH relativeFrom="column">
                  <wp:align>right</wp:align>
                </wp:positionH>
                <wp:positionV relativeFrom="paragraph">
                  <wp:posOffset>2744278</wp:posOffset>
                </wp:positionV>
                <wp:extent cx="2011680" cy="429260"/>
                <wp:effectExtent l="0" t="0" r="7620" b="889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29260"/>
                        </a:xfrm>
                        <a:prstGeom prst="rect">
                          <a:avLst/>
                        </a:prstGeom>
                        <a:solidFill>
                          <a:srgbClr val="FFFFFF"/>
                        </a:solidFill>
                        <a:ln w="9525">
                          <a:noFill/>
                          <a:miter lim="800000"/>
                          <a:headEnd/>
                          <a:tailEnd/>
                        </a:ln>
                      </wps:spPr>
                      <wps:txbx>
                        <w:txbxContent>
                          <w:p w:rsidR="007D7275" w:rsidRPr="00BF7F74" w:rsidRDefault="00787A54" w:rsidP="007D7275">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An edge</w:t>
                            </w:r>
                            <w:r w:rsidR="007D7275"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between two co-authors from different institutions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EAE40" id="_x0000_t202" coordsize="21600,21600" o:spt="202" path="m,l,21600r21600,l21600,xe">
                <v:stroke joinstyle="miter"/>
                <v:path gradientshapeok="t" o:connecttype="rect"/>
              </v:shapetype>
              <v:shape id="Text Box 6" o:spid="_x0000_s1026" type="#_x0000_t202" style="position:absolute;margin-left:107.2pt;margin-top:216.1pt;width:158.4pt;height:33.8pt;z-index:25166950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" stroked="f">
                <v:textbox>
                  <w:txbxContent>
                    <w:p w:rsidR="007D7275" w:rsidRPr="00BF7F74" w:rsidRDefault="00787A54" w:rsidP="007D7275">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An edge</w:t>
                      </w:r>
                      <w:r w:rsidR="007D7275"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between two co-authors from different institutions</w:t>
                      </w:r>
                    </w:p>
                  </w:txbxContent>
                </v:textbox>
                <w10:wrap type="square"/>
              </v:shape>
            </w:pict>
          </mc:Fallback>
        </mc:AlternateContent>
      </w:r>
      <w:r w:rsidRPr="001053F9">
        <w:rPr>
          <w:rFonts w:ascii="Times New Roman" w:hAnsi="Times New Roman" w:cs="Times New Roman"/>
          <w:noProof/>
          <w:sz w:val="20"/>
          <w:szCs w:val="20"/>
        </w:rPr>
        <mc:AlternateContent>
          <mc:Choice Requires="wps">
            <w:drawing>
              <wp:anchor distT="45720" distB="45720" distL="114300" distR="114300" simplePos="0" relativeHeight="251667456" behindDoc="0" locked="0" layoutInCell="1" allowOverlap="1" wp14:anchorId="29D20C30" wp14:editId="7A2A4747">
                <wp:simplePos x="0" y="0"/>
                <wp:positionH relativeFrom="column">
                  <wp:posOffset>723265</wp:posOffset>
                </wp:positionH>
                <wp:positionV relativeFrom="paragraph">
                  <wp:posOffset>2185330</wp:posOffset>
                </wp:positionV>
                <wp:extent cx="2011680" cy="429260"/>
                <wp:effectExtent l="0" t="0" r="7620" b="889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29260"/>
                        </a:xfrm>
                        <a:prstGeom prst="rect">
                          <a:avLst/>
                        </a:prstGeom>
                        <a:solidFill>
                          <a:srgbClr val="FFFFFF"/>
                        </a:solidFill>
                        <a:ln w="9525">
                          <a:noFill/>
                          <a:miter lim="800000"/>
                          <a:headEnd/>
                          <a:tailEnd/>
                        </a:ln>
                      </wps:spPr>
                      <wps:txbx>
                        <w:txbxContent>
                          <w:p w:rsidR="002330AB" w:rsidRPr="00BF7F74" w:rsidRDefault="00C96B6F" w:rsidP="002330AB">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An edge </w:t>
                            </w:r>
                            <w:r w:rsidR="002330AB" w:rsidRPr="00BF7F74">
                              <w:rPr>
                                <w:rFonts w:ascii="Times New Roman" w:hAnsi="Times New Roman" w:cs="Times New Roman"/>
                                <w:i/>
                                <w:color w:val="000000" w:themeColor="text1"/>
                                <w:sz w:val="20"/>
                                <w:szCs w:val="20"/>
                                <w14:textOutline w14:w="0" w14:cap="flat" w14:cmpd="sng" w14:algn="ctr">
                                  <w14:noFill/>
                                  <w14:prstDash w14:val="solid"/>
                                  <w14:round/>
                                </w14:textOutline>
                              </w:rPr>
                              <w:t>between two nodes from the same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20C30" id="Text Box 5" o:spid="_x0000_s1027" type="#_x0000_t202" style="position:absolute;margin-left:56.95pt;margin-top:172.05pt;width:158.4pt;height:33.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" stroked="f">
                <v:textbox>
                  <w:txbxContent>
                    <w:p w:rsidR="002330AB" w:rsidRPr="00BF7F74" w:rsidRDefault="00C96B6F" w:rsidP="002330AB">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An edge </w:t>
                      </w:r>
                      <w:r w:rsidR="002330AB" w:rsidRPr="00BF7F74">
                        <w:rPr>
                          <w:rFonts w:ascii="Times New Roman" w:hAnsi="Times New Roman" w:cs="Times New Roman"/>
                          <w:i/>
                          <w:color w:val="000000" w:themeColor="text1"/>
                          <w:sz w:val="20"/>
                          <w:szCs w:val="20"/>
                          <w14:textOutline w14:w="0" w14:cap="flat" w14:cmpd="sng" w14:algn="ctr">
                            <w14:noFill/>
                            <w14:prstDash w14:val="solid"/>
                            <w14:round/>
                          </w14:textOutline>
                        </w:rPr>
                        <w:t>between two nodes from the same institution</w:t>
                      </w:r>
                    </w:p>
                  </w:txbxContent>
                </v:textbox>
                <w10:wrap type="square"/>
              </v:shape>
            </w:pict>
          </mc:Fallback>
        </mc:AlternateContent>
      </w:r>
      <w:r w:rsidRPr="001053F9">
        <w:rPr>
          <w:rFonts w:ascii="Times New Roman" w:hAnsi="Times New Roman" w:cs="Times New Roman"/>
          <w:noProof/>
          <w:sz w:val="20"/>
          <w:szCs w:val="20"/>
        </w:rPr>
        <mc:AlternateContent>
          <mc:Choice Requires="wps">
            <w:drawing>
              <wp:anchor distT="45720" distB="45720" distL="114300" distR="114300" simplePos="0" relativeHeight="251665408" behindDoc="0" locked="0" layoutInCell="1" allowOverlap="1" wp14:anchorId="42FD77B0" wp14:editId="10E56F63">
                <wp:simplePos x="0" y="0"/>
                <wp:positionH relativeFrom="column">
                  <wp:posOffset>723265</wp:posOffset>
                </wp:positionH>
                <wp:positionV relativeFrom="paragraph">
                  <wp:posOffset>1674495</wp:posOffset>
                </wp:positionV>
                <wp:extent cx="2011680" cy="429260"/>
                <wp:effectExtent l="0" t="0" r="7620"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29260"/>
                        </a:xfrm>
                        <a:prstGeom prst="rect">
                          <a:avLst/>
                        </a:prstGeom>
                        <a:solidFill>
                          <a:srgbClr val="FFFFFF"/>
                        </a:solidFill>
                        <a:ln w="9525">
                          <a:noFill/>
                          <a:miter lim="800000"/>
                          <a:headEnd/>
                          <a:tailEnd/>
                        </a:ln>
                      </wps:spPr>
                      <wps:txbx>
                        <w:txbxContent>
                          <w:p w:rsidR="00E3225A" w:rsidRPr="00BF7F74" w:rsidRDefault="00CD44FF" w:rsidP="00E3225A">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An edge </w:t>
                            </w:r>
                            <w:r w:rsidR="00E3225A"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between two co-authors </w:t>
                            </w:r>
                            <w:r w:rsidR="00F87D9B" w:rsidRPr="00BF7F74">
                              <w:rPr>
                                <w:rFonts w:ascii="Times New Roman" w:hAnsi="Times New Roman" w:cs="Times New Roman"/>
                                <w:i/>
                                <w:color w:val="000000" w:themeColor="text1"/>
                                <w:sz w:val="20"/>
                                <w:szCs w:val="20"/>
                                <w14:textOutline w14:w="0" w14:cap="flat" w14:cmpd="sng" w14:algn="ctr">
                                  <w14:noFill/>
                                  <w14:prstDash w14:val="solid"/>
                                  <w14:round/>
                                </w14:textOutline>
                              </w:rPr>
                              <w:t>(</w:t>
                            </w:r>
                            <w:r w:rsidR="00E3225A" w:rsidRPr="00BF7F74">
                              <w:rPr>
                                <w:rFonts w:ascii="Times New Roman" w:hAnsi="Times New Roman" w:cs="Times New Roman"/>
                                <w:i/>
                                <w:color w:val="000000" w:themeColor="text1"/>
                                <w:sz w:val="20"/>
                                <w:szCs w:val="20"/>
                                <w14:textOutline w14:w="0" w14:cap="flat" w14:cmpd="sng" w14:algn="ctr">
                                  <w14:noFill/>
                                  <w14:prstDash w14:val="solid"/>
                                  <w14:round/>
                                </w14:textOutline>
                              </w:rPr>
                              <w:t>from the same institution</w:t>
                            </w:r>
                            <w:r w:rsidR="00F87D9B" w:rsidRPr="00BF7F74">
                              <w:rPr>
                                <w:rFonts w:ascii="Times New Roman" w:hAnsi="Times New Roman" w:cs="Times New Roman"/>
                                <w:i/>
                                <w:color w:val="000000" w:themeColor="text1"/>
                                <w:sz w:val="20"/>
                                <w:szCs w:val="20"/>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D77B0" id="Text Box 4" o:spid="_x0000_s1028" type="#_x0000_t202" style="position:absolute;margin-left:56.95pt;margin-top:131.85pt;width:158.4pt;height:3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" stroked="f">
                <v:textbox>
                  <w:txbxContent>
                    <w:p w:rsidR="00E3225A" w:rsidRPr="00BF7F74" w:rsidRDefault="00CD44FF" w:rsidP="00E3225A">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An edge </w:t>
                      </w:r>
                      <w:r w:rsidR="00E3225A"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between two co-authors </w:t>
                      </w:r>
                      <w:r w:rsidR="00F87D9B" w:rsidRPr="00BF7F74">
                        <w:rPr>
                          <w:rFonts w:ascii="Times New Roman" w:hAnsi="Times New Roman" w:cs="Times New Roman"/>
                          <w:i/>
                          <w:color w:val="000000" w:themeColor="text1"/>
                          <w:sz w:val="20"/>
                          <w:szCs w:val="20"/>
                          <w14:textOutline w14:w="0" w14:cap="flat" w14:cmpd="sng" w14:algn="ctr">
                            <w14:noFill/>
                            <w14:prstDash w14:val="solid"/>
                            <w14:round/>
                          </w14:textOutline>
                        </w:rPr>
                        <w:t>(</w:t>
                      </w:r>
                      <w:r w:rsidR="00E3225A" w:rsidRPr="00BF7F74">
                        <w:rPr>
                          <w:rFonts w:ascii="Times New Roman" w:hAnsi="Times New Roman" w:cs="Times New Roman"/>
                          <w:i/>
                          <w:color w:val="000000" w:themeColor="text1"/>
                          <w:sz w:val="20"/>
                          <w:szCs w:val="20"/>
                          <w14:textOutline w14:w="0" w14:cap="flat" w14:cmpd="sng" w14:algn="ctr">
                            <w14:noFill/>
                            <w14:prstDash w14:val="solid"/>
                            <w14:round/>
                          </w14:textOutline>
                        </w:rPr>
                        <w:t>from the same institution</w:t>
                      </w:r>
                      <w:r w:rsidR="00F87D9B" w:rsidRPr="00BF7F74">
                        <w:rPr>
                          <w:rFonts w:ascii="Times New Roman" w:hAnsi="Times New Roman" w:cs="Times New Roman"/>
                          <w:i/>
                          <w:color w:val="000000" w:themeColor="text1"/>
                          <w:sz w:val="20"/>
                          <w:szCs w:val="20"/>
                          <w14:textOutline w14:w="0" w14:cap="flat" w14:cmpd="sng" w14:algn="ctr">
                            <w14:noFill/>
                            <w14:prstDash w14:val="solid"/>
                            <w14:round/>
                          </w14:textOutline>
                        </w:rPr>
                        <w:t>)</w:t>
                      </w:r>
                    </w:p>
                  </w:txbxContent>
                </v:textbox>
                <w10:wrap type="square"/>
              </v:shape>
            </w:pict>
          </mc:Fallback>
        </mc:AlternateContent>
      </w:r>
      <w:r w:rsidRPr="001053F9">
        <w:rPr>
          <w:rFonts w:ascii="Times New Roman" w:hAnsi="Times New Roman" w:cs="Times New Roman"/>
          <w:noProof/>
          <w:sz w:val="20"/>
          <w:szCs w:val="20"/>
        </w:rPr>
        <mc:AlternateContent>
          <mc:Choice Requires="wps">
            <w:drawing>
              <wp:anchor distT="45720" distB="45720" distL="114300" distR="114300" simplePos="0" relativeHeight="251663360" behindDoc="0" locked="0" layoutInCell="1" allowOverlap="1" wp14:anchorId="4CEED147" wp14:editId="00DF5FFF">
                <wp:simplePos x="0" y="0"/>
                <wp:positionH relativeFrom="column">
                  <wp:posOffset>723265</wp:posOffset>
                </wp:positionH>
                <wp:positionV relativeFrom="paragraph">
                  <wp:posOffset>1153795</wp:posOffset>
                </wp:positionV>
                <wp:extent cx="2011680" cy="429260"/>
                <wp:effectExtent l="0" t="0" r="762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29260"/>
                        </a:xfrm>
                        <a:prstGeom prst="rect">
                          <a:avLst/>
                        </a:prstGeom>
                        <a:solidFill>
                          <a:srgbClr val="FFFFFF"/>
                        </a:solidFill>
                        <a:ln w="9525">
                          <a:noFill/>
                          <a:miter lim="800000"/>
                          <a:headEnd/>
                          <a:tailEnd/>
                        </a:ln>
                      </wps:spPr>
                      <wps:txbx>
                        <w:txbxContent>
                          <w:p w:rsidR="00B109CF" w:rsidRPr="00BF7F74" w:rsidRDefault="002330AB" w:rsidP="00B109CF">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An </w:t>
                            </w:r>
                            <w:r w:rsidR="005F7581"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author whose paper was </w:t>
                            </w:r>
                            <w:r w:rsidR="00367EA6" w:rsidRPr="00BF7F74">
                              <w:rPr>
                                <w:rFonts w:ascii="Times New Roman" w:hAnsi="Times New Roman" w:cs="Times New Roman"/>
                                <w:i/>
                                <w:color w:val="000000" w:themeColor="text1"/>
                                <w:sz w:val="20"/>
                                <w:szCs w:val="20"/>
                                <w14:textOutline w14:w="0" w14:cap="flat" w14:cmpd="sng" w14:algn="ctr">
                                  <w14:noFill/>
                                  <w14:prstDash w14:val="solid"/>
                                  <w14:round/>
                                </w14:textOutline>
                              </w:rPr>
                              <w:t>a</w:t>
                            </w:r>
                            <w:r w:rsidR="005F7581" w:rsidRPr="00BF7F74">
                              <w:rPr>
                                <w:rFonts w:ascii="Times New Roman" w:hAnsi="Times New Roman" w:cs="Times New Roman"/>
                                <w:i/>
                                <w:color w:val="000000" w:themeColor="text1"/>
                                <w:sz w:val="20"/>
                                <w:szCs w:val="20"/>
                                <w14:textOutline w14:w="0" w14:cap="flat" w14:cmpd="sng" w14:algn="ctr">
                                  <w14:noFill/>
                                  <w14:prstDash w14:val="solid"/>
                                  <w14:round/>
                                </w14:textOutline>
                              </w:rPr>
                              <w:t>ccepted</w:t>
                            </w: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to the conference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ED147" id="Text Box 3" o:spid="_x0000_s1029" type="#_x0000_t202" style="position:absolute;margin-left:56.95pt;margin-top:90.85pt;width:158.4pt;height:3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STIQIAACIEAAAOAAAAZHJzL2Uyb0RvYy54bWysU9uO2yAQfa/Uf0C8N3a8SZp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" stroked="f">
                <v:textbox>
                  <w:txbxContent>
                    <w:p w:rsidR="00B109CF" w:rsidRPr="00BF7F74" w:rsidRDefault="002330AB" w:rsidP="00B109CF">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An </w:t>
                      </w:r>
                      <w:r w:rsidR="005F7581"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author whose paper was </w:t>
                      </w:r>
                      <w:r w:rsidR="00367EA6" w:rsidRPr="00BF7F74">
                        <w:rPr>
                          <w:rFonts w:ascii="Times New Roman" w:hAnsi="Times New Roman" w:cs="Times New Roman"/>
                          <w:i/>
                          <w:color w:val="000000" w:themeColor="text1"/>
                          <w:sz w:val="20"/>
                          <w:szCs w:val="20"/>
                          <w14:textOutline w14:w="0" w14:cap="flat" w14:cmpd="sng" w14:algn="ctr">
                            <w14:noFill/>
                            <w14:prstDash w14:val="solid"/>
                            <w14:round/>
                          </w14:textOutline>
                        </w:rPr>
                        <w:t>a</w:t>
                      </w:r>
                      <w:r w:rsidR="005F7581" w:rsidRPr="00BF7F74">
                        <w:rPr>
                          <w:rFonts w:ascii="Times New Roman" w:hAnsi="Times New Roman" w:cs="Times New Roman"/>
                          <w:i/>
                          <w:color w:val="000000" w:themeColor="text1"/>
                          <w:sz w:val="20"/>
                          <w:szCs w:val="20"/>
                          <w14:textOutline w14:w="0" w14:cap="flat" w14:cmpd="sng" w14:algn="ctr">
                            <w14:noFill/>
                            <w14:prstDash w14:val="solid"/>
                            <w14:round/>
                          </w14:textOutline>
                        </w:rPr>
                        <w:t>ccepted</w:t>
                      </w: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to the conference</w:t>
                      </w:r>
                    </w:p>
                  </w:txbxContent>
                </v:textbox>
                <w10:wrap type="square"/>
              </v:shape>
            </w:pict>
          </mc:Fallback>
        </mc:AlternateContent>
      </w:r>
      <w:r w:rsidRPr="001053F9">
        <w:rPr>
          <w:rFonts w:ascii="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14726CE4" wp14:editId="04C8239A">
                <wp:simplePos x="0" y="0"/>
                <wp:positionH relativeFrom="column">
                  <wp:align>right</wp:align>
                </wp:positionH>
                <wp:positionV relativeFrom="paragraph">
                  <wp:posOffset>571855</wp:posOffset>
                </wp:positionV>
                <wp:extent cx="2011680" cy="429768"/>
                <wp:effectExtent l="0" t="0" r="762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29768"/>
                        </a:xfrm>
                        <a:prstGeom prst="rect">
                          <a:avLst/>
                        </a:prstGeom>
                        <a:solidFill>
                          <a:srgbClr val="FFFFFF"/>
                        </a:solidFill>
                        <a:ln w="9525">
                          <a:noFill/>
                          <a:miter lim="800000"/>
                          <a:headEnd/>
                          <a:tailEnd/>
                        </a:ln>
                      </wps:spPr>
                      <wps:txbx>
                        <w:txbxContent>
                          <w:p w:rsidR="003C4B90" w:rsidRPr="00BF7F74" w:rsidRDefault="003C4B90" w:rsidP="003C4B90">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 </w:t>
                            </w:r>
                            <w:r w:rsidR="004832F5"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member of the conference’s technical program </w:t>
                            </w:r>
                            <w:r w:rsidR="00DF1B7C" w:rsidRPr="00BF7F74">
                              <w:rPr>
                                <w:rFonts w:ascii="Times New Roman" w:hAnsi="Times New Roman" w:cs="Times New Roman"/>
                                <w:i/>
                                <w:color w:val="000000" w:themeColor="text1"/>
                                <w:sz w:val="20"/>
                                <w:szCs w:val="20"/>
                                <w14:textOutline w14:w="0" w14:cap="flat" w14:cmpd="sng" w14:algn="ctr">
                                  <w14:noFill/>
                                  <w14:prstDash w14:val="solid"/>
                                  <w14:round/>
                                </w14:textOutline>
                              </w:rPr>
                              <w:t>committee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26CE4" id="Text Box 2" o:spid="_x0000_s1030" type="#_x0000_t202" style="position:absolute;margin-left:107.2pt;margin-top:45.05pt;width:158.4pt;height:33.85pt;z-index:25166131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" stroked="f">
                <v:textbox>
                  <w:txbxContent>
                    <w:p w:rsidR="003C4B90" w:rsidRPr="00BF7F74" w:rsidRDefault="003C4B90" w:rsidP="003C4B90">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A </w:t>
                      </w:r>
                      <w:r w:rsidR="004832F5"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member of the conference’s technical program </w:t>
                      </w:r>
                      <w:r w:rsidR="00DF1B7C" w:rsidRPr="00BF7F74">
                        <w:rPr>
                          <w:rFonts w:ascii="Times New Roman" w:hAnsi="Times New Roman" w:cs="Times New Roman"/>
                          <w:i/>
                          <w:color w:val="000000" w:themeColor="text1"/>
                          <w:sz w:val="20"/>
                          <w:szCs w:val="20"/>
                          <w14:textOutline w14:w="0" w14:cap="flat" w14:cmpd="sng" w14:algn="ctr">
                            <w14:noFill/>
                            <w14:prstDash w14:val="solid"/>
                            <w14:round/>
                          </w14:textOutline>
                        </w:rPr>
                        <w:t>committee</w:t>
                      </w:r>
                    </w:p>
                  </w:txbxContent>
                </v:textbox>
                <w10:wrap type="square"/>
              </v:shape>
            </w:pict>
          </mc:Fallback>
        </mc:AlternateContent>
      </w:r>
      <w:r w:rsidRPr="001053F9">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0D0A6F7A" wp14:editId="646350B4">
                <wp:simplePos x="0" y="0"/>
                <wp:positionH relativeFrom="column">
                  <wp:align>right</wp:align>
                </wp:positionH>
                <wp:positionV relativeFrom="paragraph">
                  <wp:posOffset>40640</wp:posOffset>
                </wp:positionV>
                <wp:extent cx="2011680" cy="429768"/>
                <wp:effectExtent l="0" t="0" r="762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29768"/>
                        </a:xfrm>
                        <a:prstGeom prst="rect">
                          <a:avLst/>
                        </a:prstGeom>
                        <a:solidFill>
                          <a:srgbClr val="FFFFFF"/>
                        </a:solidFill>
                        <a:ln w="9525">
                          <a:noFill/>
                          <a:miter lim="800000"/>
                          <a:headEnd/>
                          <a:tailEnd/>
                        </a:ln>
                      </wps:spPr>
                      <wps:txbx>
                        <w:txbxContent>
                          <w:p w:rsidR="00D83EB9" w:rsidRPr="00BF7F74" w:rsidRDefault="00D83EB9">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Someone who </w:t>
                            </w:r>
                            <w:r w:rsidR="00A96D64" w:rsidRPr="00BF7F74">
                              <w:rPr>
                                <w:rFonts w:ascii="Times New Roman" w:hAnsi="Times New Roman" w:cs="Times New Roman"/>
                                <w:i/>
                                <w:color w:val="000000" w:themeColor="text1"/>
                                <w:sz w:val="20"/>
                                <w:szCs w:val="20"/>
                                <w14:textOutline w14:w="0" w14:cap="flat" w14:cmpd="sng" w14:algn="ctr">
                                  <w14:noFill/>
                                  <w14:prstDash w14:val="solid"/>
                                  <w14:round/>
                                </w14:textOutline>
                              </w:rPr>
                              <w:t>serves as</w:t>
                            </w: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both</w:t>
                            </w:r>
                            <w:r w:rsidR="00A96D64"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a</w:t>
                            </w: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w:t>
                            </w:r>
                            <w:r w:rsidR="00DF1B7C" w:rsidRPr="00BF7F74">
                              <w:rPr>
                                <w:rFonts w:ascii="Times New Roman" w:hAnsi="Times New Roman" w:cs="Times New Roman"/>
                                <w:i/>
                                <w:color w:val="000000" w:themeColor="text1"/>
                                <w:sz w:val="20"/>
                                <w:szCs w:val="20"/>
                                <w14:textOutline w14:w="0" w14:cap="flat" w14:cmpd="sng" w14:algn="ctr">
                                  <w14:noFill/>
                                  <w14:prstDash w14:val="solid"/>
                                  <w14:round/>
                                </w14:textOutline>
                              </w:rPr>
                              <w:t>TPC member</w:t>
                            </w: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and an 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A6F7A" id="_x0000_s1031" type="#_x0000_t202" style="position:absolute;margin-left:107.2pt;margin-top:3.2pt;width:158.4pt;height:33.85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" stroked="f">
                <v:textbox>
                  <w:txbxContent>
                    <w:p w:rsidR="00D83EB9" w:rsidRPr="00BF7F74" w:rsidRDefault="00D83EB9">
                      <w:pPr>
                        <w:rPr>
                          <w:rFonts w:ascii="Times New Roman" w:hAnsi="Times New Roman" w:cs="Times New Roman"/>
                          <w:i/>
                          <w:color w:val="000000" w:themeColor="text1"/>
                          <w:sz w:val="20"/>
                          <w:szCs w:val="20"/>
                          <w14:textOutline w14:w="0" w14:cap="flat" w14:cmpd="sng" w14:algn="ctr">
                            <w14:noFill/>
                            <w14:prstDash w14:val="solid"/>
                            <w14:round/>
                          </w14:textOutline>
                        </w:rPr>
                      </w:pP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Someone who </w:t>
                      </w:r>
                      <w:r w:rsidR="00A96D64" w:rsidRPr="00BF7F74">
                        <w:rPr>
                          <w:rFonts w:ascii="Times New Roman" w:hAnsi="Times New Roman" w:cs="Times New Roman"/>
                          <w:i/>
                          <w:color w:val="000000" w:themeColor="text1"/>
                          <w:sz w:val="20"/>
                          <w:szCs w:val="20"/>
                          <w14:textOutline w14:w="0" w14:cap="flat" w14:cmpd="sng" w14:algn="ctr">
                            <w14:noFill/>
                            <w14:prstDash w14:val="solid"/>
                            <w14:round/>
                          </w14:textOutline>
                        </w:rPr>
                        <w:t>serves as</w:t>
                      </w: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both</w:t>
                      </w:r>
                      <w:r w:rsidR="00A96D64"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a</w:t>
                      </w: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w:t>
                      </w:r>
                      <w:r w:rsidR="00DF1B7C" w:rsidRPr="00BF7F74">
                        <w:rPr>
                          <w:rFonts w:ascii="Times New Roman" w:hAnsi="Times New Roman" w:cs="Times New Roman"/>
                          <w:i/>
                          <w:color w:val="000000" w:themeColor="text1"/>
                          <w:sz w:val="20"/>
                          <w:szCs w:val="20"/>
                          <w14:textOutline w14:w="0" w14:cap="flat" w14:cmpd="sng" w14:algn="ctr">
                            <w14:noFill/>
                            <w14:prstDash w14:val="solid"/>
                            <w14:round/>
                          </w14:textOutline>
                        </w:rPr>
                        <w:t>TPC member</w:t>
                      </w:r>
                      <w:r w:rsidRPr="00BF7F74">
                        <w:rPr>
                          <w:rFonts w:ascii="Times New Roman" w:hAnsi="Times New Roman" w:cs="Times New Roman"/>
                          <w:i/>
                          <w:color w:val="000000" w:themeColor="text1"/>
                          <w:sz w:val="20"/>
                          <w:szCs w:val="20"/>
                          <w14:textOutline w14:w="0" w14:cap="flat" w14:cmpd="sng" w14:algn="ctr">
                            <w14:noFill/>
                            <w14:prstDash w14:val="solid"/>
                            <w14:round/>
                          </w14:textOutline>
                        </w:rPr>
                        <w:t xml:space="preserve"> and an author</w:t>
                      </w:r>
                    </w:p>
                  </w:txbxContent>
                </v:textbox>
                <w10:wrap type="square"/>
              </v:shape>
            </w:pict>
          </mc:Fallback>
        </mc:AlternateContent>
      </w:r>
      <w:r w:rsidR="002E257A" w:rsidRPr="001053F9">
        <w:rPr>
          <w:rFonts w:ascii="Times New Roman" w:hAnsi="Times New Roman" w:cs="Times New Roman"/>
          <w:noProof/>
          <w:sz w:val="20"/>
          <w:szCs w:val="20"/>
        </w:rPr>
        <w:drawing>
          <wp:inline distT="0" distB="0" distL="0" distR="0" wp14:anchorId="511C067C" wp14:editId="3B319339">
            <wp:extent cx="576909" cy="31791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png"/>
                    <pic:cNvPicPr/>
                  </pic:nvPicPr>
                  <pic:blipFill>
                    <a:blip r:embed="rId6">
                      <a:extLst>
                        <a:ext uri="{28A0092B-C50C-407E-A947-70E740481C1C}">
                          <a14:useLocalDpi xmlns:a14="http://schemas.microsoft.com/office/drawing/2010/main" val="0"/>
                        </a:ext>
                      </a:extLst>
                    </a:blip>
                    <a:stretch>
                      <a:fillRect/>
                    </a:stretch>
                  </pic:blipFill>
                  <pic:spPr>
                    <a:xfrm flipH="1">
                      <a:off x="0" y="0"/>
                      <a:ext cx="645602" cy="3557678"/>
                    </a:xfrm>
                    <a:prstGeom prst="rect">
                      <a:avLst/>
                    </a:prstGeom>
                  </pic:spPr>
                </pic:pic>
              </a:graphicData>
            </a:graphic>
          </wp:inline>
        </w:drawing>
      </w:r>
    </w:p>
    <w:p w:rsidR="005416BB" w:rsidRPr="001053F9" w:rsidRDefault="00513C23" w:rsidP="00513C23">
      <w:pPr>
        <w:pStyle w:val="Caption"/>
        <w:jc w:val="center"/>
        <w:rPr>
          <w:rFonts w:ascii="Times New Roman" w:hAnsi="Times New Roman" w:cs="Times New Roman"/>
          <w:i w:val="0"/>
          <w:color w:val="auto"/>
          <w:szCs w:val="20"/>
        </w:rPr>
      </w:pPr>
      <w:r w:rsidRPr="001053F9">
        <w:rPr>
          <w:rFonts w:ascii="Times New Roman" w:hAnsi="Times New Roman" w:cs="Times New Roman"/>
          <w:i w:val="0"/>
          <w:color w:val="auto"/>
          <w:szCs w:val="20"/>
        </w:rPr>
        <w:t xml:space="preserve">Figure </w:t>
      </w:r>
      <w:r w:rsidRPr="001053F9">
        <w:rPr>
          <w:rFonts w:ascii="Times New Roman" w:hAnsi="Times New Roman" w:cs="Times New Roman"/>
          <w:i w:val="0"/>
          <w:color w:val="auto"/>
          <w:szCs w:val="20"/>
        </w:rPr>
        <w:fldChar w:fldCharType="begin"/>
      </w:r>
      <w:r w:rsidRPr="001053F9">
        <w:rPr>
          <w:rFonts w:ascii="Times New Roman" w:hAnsi="Times New Roman" w:cs="Times New Roman"/>
          <w:i w:val="0"/>
          <w:color w:val="auto"/>
          <w:szCs w:val="20"/>
        </w:rPr>
        <w:instrText xml:space="preserve"> SEQ Figure \* ARABIC </w:instrText>
      </w:r>
      <w:r w:rsidRPr="001053F9">
        <w:rPr>
          <w:rFonts w:ascii="Times New Roman" w:hAnsi="Times New Roman" w:cs="Times New Roman"/>
          <w:i w:val="0"/>
          <w:color w:val="auto"/>
          <w:szCs w:val="20"/>
        </w:rPr>
        <w:fldChar w:fldCharType="separate"/>
      </w:r>
      <w:r w:rsidR="00AA4B24">
        <w:rPr>
          <w:rFonts w:ascii="Times New Roman" w:hAnsi="Times New Roman" w:cs="Times New Roman"/>
          <w:i w:val="0"/>
          <w:noProof/>
          <w:color w:val="auto"/>
          <w:szCs w:val="20"/>
        </w:rPr>
        <w:t>1</w:t>
      </w:r>
      <w:r w:rsidRPr="001053F9">
        <w:rPr>
          <w:rFonts w:ascii="Times New Roman" w:hAnsi="Times New Roman" w:cs="Times New Roman"/>
          <w:i w:val="0"/>
          <w:color w:val="auto"/>
          <w:szCs w:val="20"/>
        </w:rPr>
        <w:fldChar w:fldCharType="end"/>
      </w:r>
      <w:r w:rsidRPr="001053F9">
        <w:rPr>
          <w:rFonts w:ascii="Times New Roman" w:hAnsi="Times New Roman" w:cs="Times New Roman"/>
          <w:i w:val="0"/>
          <w:color w:val="auto"/>
          <w:szCs w:val="20"/>
        </w:rPr>
        <w:t>: A key for the graph'</w:t>
      </w:r>
      <w:r w:rsidR="00137C23" w:rsidRPr="001053F9">
        <w:rPr>
          <w:rFonts w:ascii="Times New Roman" w:hAnsi="Times New Roman" w:cs="Times New Roman"/>
          <w:i w:val="0"/>
          <w:color w:val="auto"/>
          <w:szCs w:val="20"/>
        </w:rPr>
        <w:t>s color coding</w:t>
      </w:r>
    </w:p>
    <w:p w:rsidR="00D63A5E" w:rsidRPr="001053F9" w:rsidRDefault="006C0E15">
      <w:pPr>
        <w:rPr>
          <w:rFonts w:ascii="Times New Roman" w:hAnsi="Times New Roman" w:cs="Times New Roman"/>
          <w:sz w:val="20"/>
          <w:szCs w:val="20"/>
        </w:rPr>
      </w:pPr>
      <w:r w:rsidRPr="001053F9">
        <w:rPr>
          <w:rFonts w:ascii="Times New Roman" w:hAnsi="Times New Roman" w:cs="Times New Roman"/>
          <w:sz w:val="20"/>
          <w:szCs w:val="20"/>
        </w:rPr>
        <w:t xml:space="preserve">These colors served to help understand the network more easily at-a-glance. </w:t>
      </w:r>
      <w:r w:rsidR="00DC28DA" w:rsidRPr="001053F9">
        <w:rPr>
          <w:rFonts w:ascii="Times New Roman" w:hAnsi="Times New Roman" w:cs="Times New Roman"/>
          <w:sz w:val="20"/>
          <w:szCs w:val="20"/>
        </w:rPr>
        <w:t xml:space="preserve">However, simply coloring the network was not enough to </w:t>
      </w:r>
      <w:r w:rsidR="00401FD2" w:rsidRPr="001053F9">
        <w:rPr>
          <w:rFonts w:ascii="Times New Roman" w:hAnsi="Times New Roman" w:cs="Times New Roman"/>
          <w:sz w:val="20"/>
          <w:szCs w:val="20"/>
        </w:rPr>
        <w:t>clarify its meaning, as the issue of its layout still remained.</w:t>
      </w:r>
    </w:p>
    <w:p w:rsidR="001F0F47" w:rsidRPr="001053F9" w:rsidRDefault="001B2952">
      <w:pPr>
        <w:rPr>
          <w:rFonts w:ascii="Times New Roman" w:hAnsi="Times New Roman" w:cs="Times New Roman"/>
          <w:sz w:val="20"/>
          <w:szCs w:val="20"/>
        </w:rPr>
      </w:pPr>
      <w:r w:rsidRPr="001053F9">
        <w:rPr>
          <w:rFonts w:ascii="Times New Roman" w:hAnsi="Times New Roman" w:cs="Times New Roman"/>
          <w:sz w:val="20"/>
          <w:szCs w:val="20"/>
        </w:rPr>
        <w:t xml:space="preserve">At first, the default layout algorithms present in Gephi were used for force-directed layout of the graph. However, this did not </w:t>
      </w:r>
      <w:r w:rsidR="00C70173" w:rsidRPr="001053F9">
        <w:rPr>
          <w:rFonts w:ascii="Times New Roman" w:hAnsi="Times New Roman" w:cs="Times New Roman"/>
          <w:sz w:val="20"/>
          <w:szCs w:val="20"/>
        </w:rPr>
        <w:t xml:space="preserve">lead to </w:t>
      </w:r>
      <w:r w:rsidR="0080293D" w:rsidRPr="001053F9">
        <w:rPr>
          <w:rFonts w:ascii="Times New Roman" w:hAnsi="Times New Roman" w:cs="Times New Roman"/>
          <w:sz w:val="20"/>
          <w:szCs w:val="20"/>
        </w:rPr>
        <w:t xml:space="preserve">good results </w:t>
      </w:r>
      <w:r w:rsidR="00451B1B" w:rsidRPr="001053F9">
        <w:rPr>
          <w:rFonts w:ascii="Times New Roman" w:hAnsi="Times New Roman" w:cs="Times New Roman"/>
          <w:sz w:val="20"/>
          <w:szCs w:val="20"/>
        </w:rPr>
        <w:t xml:space="preserve">because the layout did not </w:t>
      </w:r>
      <w:r w:rsidR="00AC7BC1" w:rsidRPr="001053F9">
        <w:rPr>
          <w:rFonts w:ascii="Times New Roman" w:hAnsi="Times New Roman" w:cs="Times New Roman"/>
          <w:sz w:val="20"/>
          <w:szCs w:val="20"/>
        </w:rPr>
        <w:t xml:space="preserve">show a clear </w:t>
      </w:r>
      <w:r w:rsidR="00792BDD" w:rsidRPr="001053F9">
        <w:rPr>
          <w:rFonts w:ascii="Times New Roman" w:hAnsi="Times New Roman" w:cs="Times New Roman"/>
          <w:sz w:val="20"/>
          <w:szCs w:val="20"/>
        </w:rPr>
        <w:t xml:space="preserve">visualization of the connections and </w:t>
      </w:r>
      <w:r w:rsidR="009516F1" w:rsidRPr="001053F9">
        <w:rPr>
          <w:rFonts w:ascii="Times New Roman" w:hAnsi="Times New Roman" w:cs="Times New Roman"/>
          <w:sz w:val="20"/>
          <w:szCs w:val="20"/>
        </w:rPr>
        <w:t xml:space="preserve">relationships in the graph. </w:t>
      </w:r>
      <w:r w:rsidR="00896E43" w:rsidRPr="001053F9">
        <w:rPr>
          <w:rFonts w:ascii="Times New Roman" w:hAnsi="Times New Roman" w:cs="Times New Roman"/>
          <w:sz w:val="20"/>
          <w:szCs w:val="20"/>
        </w:rPr>
        <w:t xml:space="preserve">The nodes in the graph were far too compressed to allow any information to be gleaned from visual inspection. </w:t>
      </w:r>
      <w:r w:rsidR="007E234B" w:rsidRPr="001053F9">
        <w:rPr>
          <w:rFonts w:ascii="Times New Roman" w:hAnsi="Times New Roman" w:cs="Times New Roman"/>
          <w:sz w:val="20"/>
          <w:szCs w:val="20"/>
        </w:rPr>
        <w:t xml:space="preserve">The default algorithms used for layout were the ForceAtlas and </w:t>
      </w:r>
      <w:proofErr w:type="spellStart"/>
      <w:r w:rsidR="007E234B" w:rsidRPr="001053F9">
        <w:rPr>
          <w:rFonts w:ascii="Times New Roman" w:hAnsi="Times New Roman" w:cs="Times New Roman"/>
          <w:sz w:val="20"/>
          <w:szCs w:val="20"/>
        </w:rPr>
        <w:t>Yifan</w:t>
      </w:r>
      <w:proofErr w:type="spellEnd"/>
      <w:r w:rsidR="007E234B" w:rsidRPr="001053F9">
        <w:rPr>
          <w:rFonts w:ascii="Times New Roman" w:hAnsi="Times New Roman" w:cs="Times New Roman"/>
          <w:sz w:val="20"/>
          <w:szCs w:val="20"/>
        </w:rPr>
        <w:t xml:space="preserve"> Hu algorithms. Although neither ended up satisfying the requirements in the end, the former turned out to be better f</w:t>
      </w:r>
      <w:r w:rsidR="00153F59" w:rsidRPr="001053F9">
        <w:rPr>
          <w:rFonts w:ascii="Times New Roman" w:hAnsi="Times New Roman" w:cs="Times New Roman"/>
          <w:sz w:val="20"/>
          <w:szCs w:val="20"/>
        </w:rPr>
        <w:t xml:space="preserve">or our network than the latter. Figure 2 is a sample </w:t>
      </w:r>
      <w:r w:rsidR="006F3260" w:rsidRPr="001053F9">
        <w:rPr>
          <w:rFonts w:ascii="Times New Roman" w:hAnsi="Times New Roman" w:cs="Times New Roman"/>
          <w:sz w:val="20"/>
          <w:szCs w:val="20"/>
        </w:rPr>
        <w:t>layout</w:t>
      </w:r>
      <w:r w:rsidR="00153F59" w:rsidRPr="001053F9">
        <w:rPr>
          <w:rFonts w:ascii="Times New Roman" w:hAnsi="Times New Roman" w:cs="Times New Roman"/>
          <w:sz w:val="20"/>
          <w:szCs w:val="20"/>
        </w:rPr>
        <w:t xml:space="preserve"> using the ForceAtlas </w:t>
      </w:r>
      <w:r w:rsidR="000572A8" w:rsidRPr="001053F9">
        <w:rPr>
          <w:rFonts w:ascii="Times New Roman" w:hAnsi="Times New Roman" w:cs="Times New Roman"/>
          <w:sz w:val="20"/>
          <w:szCs w:val="20"/>
        </w:rPr>
        <w:t>algorithm</w:t>
      </w:r>
      <w:r w:rsidR="00423D3F" w:rsidRPr="001053F9">
        <w:rPr>
          <w:rFonts w:ascii="Times New Roman" w:hAnsi="Times New Roman" w:cs="Times New Roman"/>
          <w:sz w:val="20"/>
          <w:szCs w:val="20"/>
        </w:rPr>
        <w:t xml:space="preserve"> on the NOCS 2010 network.</w:t>
      </w:r>
    </w:p>
    <w:p w:rsidR="000445B8" w:rsidRPr="001053F9" w:rsidRDefault="004A217F" w:rsidP="000445B8">
      <w:pPr>
        <w:keepNext/>
        <w:jc w:val="center"/>
        <w:rPr>
          <w:rFonts w:ascii="Times New Roman" w:hAnsi="Times New Roman" w:cs="Times New Roman"/>
        </w:rPr>
      </w:pPr>
      <w:r w:rsidRPr="001053F9">
        <w:rPr>
          <w:rFonts w:ascii="Times New Roman" w:hAnsi="Times New Roman" w:cs="Times New Roman"/>
          <w:noProof/>
          <w:sz w:val="20"/>
          <w:szCs w:val="20"/>
        </w:rPr>
        <w:lastRenderedPageBreak/>
        <w:drawing>
          <wp:inline distT="0" distB="0" distL="0" distR="0" wp14:anchorId="384D4032" wp14:editId="06A48B45">
            <wp:extent cx="2468880" cy="2468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fault.png"/>
                    <pic:cNvPicPr/>
                  </pic:nvPicPr>
                  <pic:blipFill>
                    <a:blip r:embed="rId7">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rsidR="002D0236" w:rsidRPr="001053F9" w:rsidRDefault="000445B8" w:rsidP="000445B8">
      <w:pPr>
        <w:pStyle w:val="Caption"/>
        <w:jc w:val="center"/>
        <w:rPr>
          <w:rFonts w:ascii="Times New Roman" w:hAnsi="Times New Roman" w:cs="Times New Roman"/>
          <w:i w:val="0"/>
          <w:color w:val="auto"/>
          <w:szCs w:val="20"/>
        </w:rPr>
      </w:pPr>
      <w:r w:rsidRPr="001053F9">
        <w:rPr>
          <w:rFonts w:ascii="Times New Roman" w:hAnsi="Times New Roman" w:cs="Times New Roman"/>
          <w:i w:val="0"/>
          <w:color w:val="auto"/>
          <w:szCs w:val="20"/>
        </w:rPr>
        <w:t xml:space="preserve">Figure </w:t>
      </w:r>
      <w:r w:rsidRPr="001053F9">
        <w:rPr>
          <w:rFonts w:ascii="Times New Roman" w:hAnsi="Times New Roman" w:cs="Times New Roman"/>
          <w:i w:val="0"/>
          <w:color w:val="auto"/>
          <w:szCs w:val="20"/>
        </w:rPr>
        <w:fldChar w:fldCharType="begin"/>
      </w:r>
      <w:r w:rsidRPr="001053F9">
        <w:rPr>
          <w:rFonts w:ascii="Times New Roman" w:hAnsi="Times New Roman" w:cs="Times New Roman"/>
          <w:i w:val="0"/>
          <w:color w:val="auto"/>
          <w:szCs w:val="20"/>
        </w:rPr>
        <w:instrText xml:space="preserve"> SEQ Figure \* ARABIC </w:instrText>
      </w:r>
      <w:r w:rsidRPr="001053F9">
        <w:rPr>
          <w:rFonts w:ascii="Times New Roman" w:hAnsi="Times New Roman" w:cs="Times New Roman"/>
          <w:i w:val="0"/>
          <w:color w:val="auto"/>
          <w:szCs w:val="20"/>
        </w:rPr>
        <w:fldChar w:fldCharType="separate"/>
      </w:r>
      <w:r w:rsidR="00AA4B24">
        <w:rPr>
          <w:rFonts w:ascii="Times New Roman" w:hAnsi="Times New Roman" w:cs="Times New Roman"/>
          <w:i w:val="0"/>
          <w:noProof/>
          <w:color w:val="auto"/>
          <w:szCs w:val="20"/>
        </w:rPr>
        <w:t>2</w:t>
      </w:r>
      <w:r w:rsidRPr="001053F9">
        <w:rPr>
          <w:rFonts w:ascii="Times New Roman" w:hAnsi="Times New Roman" w:cs="Times New Roman"/>
          <w:i w:val="0"/>
          <w:color w:val="auto"/>
          <w:szCs w:val="20"/>
        </w:rPr>
        <w:fldChar w:fldCharType="end"/>
      </w:r>
      <w:r w:rsidRPr="001053F9">
        <w:rPr>
          <w:rFonts w:ascii="Times New Roman" w:hAnsi="Times New Roman" w:cs="Times New Roman"/>
          <w:i w:val="0"/>
          <w:color w:val="auto"/>
          <w:szCs w:val="20"/>
        </w:rPr>
        <w:t>: The ForceAtlas algorithm</w:t>
      </w:r>
    </w:p>
    <w:p w:rsidR="004E2088" w:rsidRPr="001053F9" w:rsidRDefault="004E2088">
      <w:pPr>
        <w:rPr>
          <w:rFonts w:ascii="Times New Roman" w:hAnsi="Times New Roman" w:cs="Times New Roman"/>
          <w:sz w:val="20"/>
          <w:szCs w:val="20"/>
        </w:rPr>
      </w:pPr>
      <w:r w:rsidRPr="001053F9">
        <w:rPr>
          <w:rFonts w:ascii="Times New Roman" w:hAnsi="Times New Roman" w:cs="Times New Roman"/>
          <w:sz w:val="20"/>
          <w:szCs w:val="20"/>
        </w:rPr>
        <w:t>After finding these algorithms unsuitable, a potential candidate was found on the internet – the OpenOrd algorithm</w:t>
      </w:r>
      <w:r w:rsidR="004726D8" w:rsidRPr="001053F9">
        <w:rPr>
          <w:rFonts w:ascii="Times New Roman" w:hAnsi="Times New Roman" w:cs="Times New Roman"/>
          <w:sz w:val="20"/>
          <w:szCs w:val="20"/>
        </w:rPr>
        <w:t>,</w:t>
      </w:r>
      <w:r w:rsidR="00DD2BED" w:rsidRPr="001053F9">
        <w:rPr>
          <w:rFonts w:ascii="Times New Roman" w:hAnsi="Times New Roman" w:cs="Times New Roman"/>
          <w:sz w:val="20"/>
          <w:szCs w:val="20"/>
        </w:rPr>
        <w:t xml:space="preserve"> a</w:t>
      </w:r>
      <w:r w:rsidR="00482BBA" w:rsidRPr="001053F9">
        <w:rPr>
          <w:rFonts w:ascii="Times New Roman" w:hAnsi="Times New Roman" w:cs="Times New Roman"/>
          <w:sz w:val="20"/>
          <w:szCs w:val="20"/>
        </w:rPr>
        <w:t>vailable as a plug-in for Gephi</w:t>
      </w:r>
      <w:r w:rsidR="00627CFA" w:rsidRPr="001053F9">
        <w:rPr>
          <w:rFonts w:ascii="Times New Roman" w:hAnsi="Times New Roman" w:cs="Times New Roman"/>
          <w:sz w:val="20"/>
          <w:szCs w:val="20"/>
        </w:rPr>
        <w:t xml:space="preserve">. </w:t>
      </w:r>
      <w:r w:rsidR="00F25F8E" w:rsidRPr="001053F9">
        <w:rPr>
          <w:rFonts w:ascii="Times New Roman" w:hAnsi="Times New Roman" w:cs="Times New Roman"/>
          <w:sz w:val="20"/>
          <w:szCs w:val="20"/>
        </w:rPr>
        <w:t xml:space="preserve">It uses a five-stage simulated annealing process </w:t>
      </w:r>
      <w:r w:rsidR="009A7516" w:rsidRPr="001053F9">
        <w:rPr>
          <w:rFonts w:ascii="Times New Roman" w:hAnsi="Times New Roman" w:cs="Times New Roman"/>
          <w:sz w:val="20"/>
          <w:szCs w:val="20"/>
        </w:rPr>
        <w:t xml:space="preserve">and an edge-cutting technique to generate </w:t>
      </w:r>
      <w:r w:rsidR="000B0798" w:rsidRPr="001053F9">
        <w:rPr>
          <w:rFonts w:ascii="Times New Roman" w:hAnsi="Times New Roman" w:cs="Times New Roman"/>
          <w:sz w:val="20"/>
          <w:szCs w:val="20"/>
        </w:rPr>
        <w:t xml:space="preserve">layouts that scale to large and complex networks. </w:t>
      </w:r>
      <w:r w:rsidR="00004F0D" w:rsidRPr="001053F9">
        <w:rPr>
          <w:rFonts w:ascii="Times New Roman" w:hAnsi="Times New Roman" w:cs="Times New Roman"/>
          <w:sz w:val="20"/>
          <w:szCs w:val="20"/>
        </w:rPr>
        <w:t xml:space="preserve">Despite being better than the default algorithms, the OpenOrd algorithm </w:t>
      </w:r>
      <w:r w:rsidR="005E7962" w:rsidRPr="001053F9">
        <w:rPr>
          <w:rFonts w:ascii="Times New Roman" w:hAnsi="Times New Roman" w:cs="Times New Roman"/>
          <w:sz w:val="20"/>
          <w:szCs w:val="20"/>
        </w:rPr>
        <w:t xml:space="preserve">still did not quite meet the requirements due to its </w:t>
      </w:r>
      <w:r w:rsidR="00B93E4F" w:rsidRPr="001053F9">
        <w:rPr>
          <w:rFonts w:ascii="Times New Roman" w:hAnsi="Times New Roman" w:cs="Times New Roman"/>
          <w:sz w:val="20"/>
          <w:szCs w:val="20"/>
        </w:rPr>
        <w:t>visual clutter</w:t>
      </w:r>
      <w:r w:rsidR="00D1688E" w:rsidRPr="001053F9">
        <w:rPr>
          <w:rFonts w:ascii="Times New Roman" w:hAnsi="Times New Roman" w:cs="Times New Roman"/>
          <w:sz w:val="20"/>
          <w:szCs w:val="20"/>
        </w:rPr>
        <w:t xml:space="preserve">. </w:t>
      </w:r>
      <w:r w:rsidR="00361108" w:rsidRPr="001053F9">
        <w:rPr>
          <w:rFonts w:ascii="Times New Roman" w:hAnsi="Times New Roman" w:cs="Times New Roman"/>
          <w:sz w:val="20"/>
          <w:szCs w:val="20"/>
        </w:rPr>
        <w:t xml:space="preserve">Figure 3 is a sample layout using the OpenOrd algorithm on the NOCS 2010 network. </w:t>
      </w:r>
    </w:p>
    <w:p w:rsidR="00137C23" w:rsidRPr="001053F9" w:rsidRDefault="00B93E4F" w:rsidP="00137C23">
      <w:pPr>
        <w:keepNext/>
        <w:jc w:val="center"/>
        <w:rPr>
          <w:rFonts w:ascii="Times New Roman" w:hAnsi="Times New Roman" w:cs="Times New Roman"/>
        </w:rPr>
      </w:pPr>
      <w:r w:rsidRPr="001053F9">
        <w:rPr>
          <w:rFonts w:ascii="Times New Roman" w:hAnsi="Times New Roman" w:cs="Times New Roman"/>
          <w:noProof/>
          <w:sz w:val="20"/>
          <w:szCs w:val="20"/>
        </w:rPr>
        <w:drawing>
          <wp:inline distT="0" distB="0" distL="0" distR="0" wp14:anchorId="5480A5E3" wp14:editId="6668CA35">
            <wp:extent cx="2468880" cy="2468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Ord.png"/>
                    <pic:cNvPicPr/>
                  </pic:nvPicPr>
                  <pic:blipFill>
                    <a:blip r:embed="rId8">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rsidR="0057504F" w:rsidRPr="001053F9" w:rsidRDefault="00137C23" w:rsidP="00966323">
      <w:pPr>
        <w:pStyle w:val="Caption"/>
        <w:jc w:val="center"/>
        <w:rPr>
          <w:rFonts w:ascii="Times New Roman" w:hAnsi="Times New Roman" w:cs="Times New Roman"/>
          <w:i w:val="0"/>
          <w:color w:val="auto"/>
          <w:szCs w:val="20"/>
        </w:rPr>
      </w:pPr>
      <w:r w:rsidRPr="001053F9">
        <w:rPr>
          <w:rFonts w:ascii="Times New Roman" w:hAnsi="Times New Roman" w:cs="Times New Roman"/>
          <w:i w:val="0"/>
          <w:color w:val="auto"/>
          <w:szCs w:val="20"/>
        </w:rPr>
        <w:t xml:space="preserve">Figure </w:t>
      </w:r>
      <w:r w:rsidRPr="001053F9">
        <w:rPr>
          <w:rFonts w:ascii="Times New Roman" w:hAnsi="Times New Roman" w:cs="Times New Roman"/>
          <w:i w:val="0"/>
          <w:color w:val="auto"/>
          <w:szCs w:val="20"/>
        </w:rPr>
        <w:fldChar w:fldCharType="begin"/>
      </w:r>
      <w:r w:rsidRPr="001053F9">
        <w:rPr>
          <w:rFonts w:ascii="Times New Roman" w:hAnsi="Times New Roman" w:cs="Times New Roman"/>
          <w:i w:val="0"/>
          <w:color w:val="auto"/>
          <w:szCs w:val="20"/>
        </w:rPr>
        <w:instrText xml:space="preserve"> SEQ Figure \* ARABIC </w:instrText>
      </w:r>
      <w:r w:rsidRPr="001053F9">
        <w:rPr>
          <w:rFonts w:ascii="Times New Roman" w:hAnsi="Times New Roman" w:cs="Times New Roman"/>
          <w:i w:val="0"/>
          <w:color w:val="auto"/>
          <w:szCs w:val="20"/>
        </w:rPr>
        <w:fldChar w:fldCharType="separate"/>
      </w:r>
      <w:r w:rsidR="00AA4B24">
        <w:rPr>
          <w:rFonts w:ascii="Times New Roman" w:hAnsi="Times New Roman" w:cs="Times New Roman"/>
          <w:i w:val="0"/>
          <w:noProof/>
          <w:color w:val="auto"/>
          <w:szCs w:val="20"/>
        </w:rPr>
        <w:t>3</w:t>
      </w:r>
      <w:r w:rsidRPr="001053F9">
        <w:rPr>
          <w:rFonts w:ascii="Times New Roman" w:hAnsi="Times New Roman" w:cs="Times New Roman"/>
          <w:i w:val="0"/>
          <w:color w:val="auto"/>
          <w:szCs w:val="20"/>
        </w:rPr>
        <w:fldChar w:fldCharType="end"/>
      </w:r>
      <w:r w:rsidRPr="001053F9">
        <w:rPr>
          <w:rFonts w:ascii="Times New Roman" w:hAnsi="Times New Roman" w:cs="Times New Roman"/>
          <w:i w:val="0"/>
          <w:color w:val="auto"/>
          <w:szCs w:val="20"/>
        </w:rPr>
        <w:t>: The OpenOrd algorithm</w:t>
      </w:r>
    </w:p>
    <w:p w:rsidR="0057504F" w:rsidRPr="001053F9" w:rsidRDefault="002C5531">
      <w:pPr>
        <w:rPr>
          <w:rFonts w:ascii="Times New Roman" w:hAnsi="Times New Roman" w:cs="Times New Roman"/>
          <w:sz w:val="20"/>
          <w:szCs w:val="20"/>
        </w:rPr>
      </w:pPr>
      <w:r w:rsidRPr="001053F9">
        <w:rPr>
          <w:rFonts w:ascii="Times New Roman" w:hAnsi="Times New Roman" w:cs="Times New Roman"/>
          <w:sz w:val="20"/>
          <w:szCs w:val="20"/>
        </w:rPr>
        <w:t xml:space="preserve">In terms of the layout, the OpenOrd algorithm provided almost everything we wanted. </w:t>
      </w:r>
      <w:r w:rsidR="00273179" w:rsidRPr="001053F9">
        <w:rPr>
          <w:rFonts w:ascii="Times New Roman" w:hAnsi="Times New Roman" w:cs="Times New Roman"/>
          <w:sz w:val="20"/>
          <w:szCs w:val="20"/>
        </w:rPr>
        <w:t xml:space="preserve">Aside from its visual clutter, it provided a good visualization about the connections in the network and how </w:t>
      </w:r>
      <w:r w:rsidR="003156B4" w:rsidRPr="001053F9">
        <w:rPr>
          <w:rFonts w:ascii="Times New Roman" w:hAnsi="Times New Roman" w:cs="Times New Roman"/>
          <w:sz w:val="20"/>
          <w:szCs w:val="20"/>
        </w:rPr>
        <w:t>“central” and “important” nodes were.</w:t>
      </w:r>
      <w:r w:rsidR="0024402B" w:rsidRPr="001053F9">
        <w:rPr>
          <w:rFonts w:ascii="Times New Roman" w:hAnsi="Times New Roman" w:cs="Times New Roman"/>
          <w:sz w:val="20"/>
          <w:szCs w:val="20"/>
        </w:rPr>
        <w:t xml:space="preserve"> One of the </w:t>
      </w:r>
      <w:r w:rsidR="0024402B" w:rsidRPr="001053F9">
        <w:rPr>
          <w:rFonts w:ascii="Times New Roman" w:hAnsi="Times New Roman" w:cs="Times New Roman"/>
          <w:sz w:val="20"/>
          <w:szCs w:val="20"/>
        </w:rPr>
        <w:lastRenderedPageBreak/>
        <w:t>other default algorithms in Gephi was the Fruchterman-Reingold algorithm,</w:t>
      </w:r>
      <w:r w:rsidR="00217902" w:rsidRPr="001053F9">
        <w:rPr>
          <w:rFonts w:ascii="Times New Roman" w:hAnsi="Times New Roman" w:cs="Times New Roman"/>
          <w:sz w:val="20"/>
          <w:szCs w:val="20"/>
        </w:rPr>
        <w:t xml:space="preserve"> one of the first algorithms for force directed drawing. Unfortunately, it did not satisfy our</w:t>
      </w:r>
      <w:r w:rsidR="003D0A4A" w:rsidRPr="001053F9">
        <w:rPr>
          <w:rFonts w:ascii="Times New Roman" w:hAnsi="Times New Roman" w:cs="Times New Roman"/>
          <w:sz w:val="20"/>
          <w:szCs w:val="20"/>
        </w:rPr>
        <w:t xml:space="preserve"> requirements when acting alone. It created layouts that were visually easy to understand, but</w:t>
      </w:r>
      <w:r w:rsidR="00E51F7C" w:rsidRPr="001053F9">
        <w:rPr>
          <w:rFonts w:ascii="Times New Roman" w:hAnsi="Times New Roman" w:cs="Times New Roman"/>
          <w:sz w:val="20"/>
          <w:szCs w:val="20"/>
        </w:rPr>
        <w:t xml:space="preserve"> the important factor of </w:t>
      </w:r>
      <w:r w:rsidR="00805969" w:rsidRPr="001053F9">
        <w:rPr>
          <w:rFonts w:ascii="Times New Roman" w:hAnsi="Times New Roman" w:cs="Times New Roman"/>
          <w:sz w:val="20"/>
          <w:szCs w:val="20"/>
        </w:rPr>
        <w:t>understanding node relationships was missing.</w:t>
      </w:r>
      <w:r w:rsidR="00217902" w:rsidRPr="001053F9">
        <w:rPr>
          <w:rFonts w:ascii="Times New Roman" w:hAnsi="Times New Roman" w:cs="Times New Roman"/>
          <w:sz w:val="20"/>
          <w:szCs w:val="20"/>
        </w:rPr>
        <w:t xml:space="preserve"> </w:t>
      </w:r>
      <w:r w:rsidR="00E3788B" w:rsidRPr="001053F9">
        <w:rPr>
          <w:rFonts w:ascii="Times New Roman" w:hAnsi="Times New Roman" w:cs="Times New Roman"/>
          <w:sz w:val="20"/>
          <w:szCs w:val="20"/>
        </w:rPr>
        <w:t xml:space="preserve">Fortunately, when applied to the graph after </w:t>
      </w:r>
      <w:r w:rsidR="0023312E" w:rsidRPr="001053F9">
        <w:rPr>
          <w:rFonts w:ascii="Times New Roman" w:hAnsi="Times New Roman" w:cs="Times New Roman"/>
          <w:sz w:val="20"/>
          <w:szCs w:val="20"/>
        </w:rPr>
        <w:t xml:space="preserve">the OpenOrd algorithm, it pulled </w:t>
      </w:r>
      <w:r w:rsidR="00C145B2" w:rsidRPr="001053F9">
        <w:rPr>
          <w:rFonts w:ascii="Times New Roman" w:hAnsi="Times New Roman" w:cs="Times New Roman"/>
          <w:sz w:val="20"/>
          <w:szCs w:val="20"/>
        </w:rPr>
        <w:t xml:space="preserve">the clutter into an easily understood layout that still retained the important properties. </w:t>
      </w:r>
      <w:r w:rsidR="00901959" w:rsidRPr="001053F9">
        <w:rPr>
          <w:rFonts w:ascii="Times New Roman" w:hAnsi="Times New Roman" w:cs="Times New Roman"/>
          <w:sz w:val="20"/>
          <w:szCs w:val="20"/>
        </w:rPr>
        <w:t xml:space="preserve">Figure 4 is a sample </w:t>
      </w:r>
      <w:r w:rsidR="006E0DF1" w:rsidRPr="001053F9">
        <w:rPr>
          <w:rFonts w:ascii="Times New Roman" w:hAnsi="Times New Roman" w:cs="Times New Roman"/>
          <w:sz w:val="20"/>
          <w:szCs w:val="20"/>
        </w:rPr>
        <w:t>layout using</w:t>
      </w:r>
      <w:r w:rsidR="00901959" w:rsidRPr="001053F9">
        <w:rPr>
          <w:rFonts w:ascii="Times New Roman" w:hAnsi="Times New Roman" w:cs="Times New Roman"/>
          <w:sz w:val="20"/>
          <w:szCs w:val="20"/>
        </w:rPr>
        <w:t xml:space="preserve"> the Fruchterman-Reingold </w:t>
      </w:r>
      <w:r w:rsidR="000434D0" w:rsidRPr="001053F9">
        <w:rPr>
          <w:rFonts w:ascii="Times New Roman" w:hAnsi="Times New Roman" w:cs="Times New Roman"/>
          <w:sz w:val="20"/>
          <w:szCs w:val="20"/>
        </w:rPr>
        <w:t xml:space="preserve">algorithm </w:t>
      </w:r>
      <w:r w:rsidR="006E0DF1" w:rsidRPr="001053F9">
        <w:rPr>
          <w:rFonts w:ascii="Times New Roman" w:hAnsi="Times New Roman" w:cs="Times New Roman"/>
          <w:sz w:val="20"/>
          <w:szCs w:val="20"/>
        </w:rPr>
        <w:t xml:space="preserve">on the NOCS 2010 </w:t>
      </w:r>
      <w:r w:rsidR="004D2011" w:rsidRPr="001053F9">
        <w:rPr>
          <w:rFonts w:ascii="Times New Roman" w:hAnsi="Times New Roman" w:cs="Times New Roman"/>
          <w:sz w:val="20"/>
          <w:szCs w:val="20"/>
        </w:rPr>
        <w:t xml:space="preserve">OpenOrd </w:t>
      </w:r>
      <w:r w:rsidR="000434D0" w:rsidRPr="001053F9">
        <w:rPr>
          <w:rFonts w:ascii="Times New Roman" w:hAnsi="Times New Roman" w:cs="Times New Roman"/>
          <w:sz w:val="20"/>
          <w:szCs w:val="20"/>
        </w:rPr>
        <w:t>layout seen in Figure 3.</w:t>
      </w:r>
    </w:p>
    <w:p w:rsidR="006F2223" w:rsidRPr="001053F9" w:rsidRDefault="006F2223" w:rsidP="006F2223">
      <w:pPr>
        <w:keepNext/>
        <w:jc w:val="center"/>
        <w:rPr>
          <w:rFonts w:ascii="Times New Roman" w:hAnsi="Times New Roman" w:cs="Times New Roman"/>
        </w:rPr>
      </w:pPr>
      <w:r w:rsidRPr="001053F9">
        <w:rPr>
          <w:rFonts w:ascii="Times New Roman" w:hAnsi="Times New Roman" w:cs="Times New Roman"/>
          <w:noProof/>
          <w:sz w:val="20"/>
          <w:szCs w:val="20"/>
        </w:rPr>
        <w:drawing>
          <wp:inline distT="0" distB="0" distL="0" distR="0" wp14:anchorId="353332A3" wp14:editId="082A59E8">
            <wp:extent cx="2468880" cy="2468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uchterman-Reingold.png"/>
                    <pic:cNvPicPr/>
                  </pic:nvPicPr>
                  <pic:blipFill>
                    <a:blip r:embed="rId9">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rsidR="000434D0" w:rsidRPr="001053F9" w:rsidRDefault="006F2223" w:rsidP="006F2223">
      <w:pPr>
        <w:pStyle w:val="Caption"/>
        <w:jc w:val="center"/>
        <w:rPr>
          <w:rFonts w:ascii="Times New Roman" w:hAnsi="Times New Roman" w:cs="Times New Roman"/>
          <w:i w:val="0"/>
          <w:color w:val="auto"/>
          <w:sz w:val="20"/>
          <w:szCs w:val="20"/>
        </w:rPr>
      </w:pPr>
      <w:r w:rsidRPr="001053F9">
        <w:rPr>
          <w:rFonts w:ascii="Times New Roman" w:hAnsi="Times New Roman" w:cs="Times New Roman"/>
          <w:i w:val="0"/>
          <w:color w:val="auto"/>
        </w:rPr>
        <w:t xml:space="preserve">Figure </w:t>
      </w:r>
      <w:r w:rsidRPr="001053F9">
        <w:rPr>
          <w:rFonts w:ascii="Times New Roman" w:hAnsi="Times New Roman" w:cs="Times New Roman"/>
          <w:i w:val="0"/>
          <w:color w:val="auto"/>
        </w:rPr>
        <w:fldChar w:fldCharType="begin"/>
      </w:r>
      <w:r w:rsidRPr="001053F9">
        <w:rPr>
          <w:rFonts w:ascii="Times New Roman" w:hAnsi="Times New Roman" w:cs="Times New Roman"/>
          <w:i w:val="0"/>
          <w:color w:val="auto"/>
        </w:rPr>
        <w:instrText xml:space="preserve"> SEQ Figure \* ARABIC </w:instrText>
      </w:r>
      <w:r w:rsidRPr="001053F9">
        <w:rPr>
          <w:rFonts w:ascii="Times New Roman" w:hAnsi="Times New Roman" w:cs="Times New Roman"/>
          <w:i w:val="0"/>
          <w:color w:val="auto"/>
        </w:rPr>
        <w:fldChar w:fldCharType="separate"/>
      </w:r>
      <w:r w:rsidR="00AA4B24">
        <w:rPr>
          <w:rFonts w:ascii="Times New Roman" w:hAnsi="Times New Roman" w:cs="Times New Roman"/>
          <w:i w:val="0"/>
          <w:noProof/>
          <w:color w:val="auto"/>
        </w:rPr>
        <w:t>4</w:t>
      </w:r>
      <w:r w:rsidRPr="001053F9">
        <w:rPr>
          <w:rFonts w:ascii="Times New Roman" w:hAnsi="Times New Roman" w:cs="Times New Roman"/>
          <w:i w:val="0"/>
          <w:color w:val="auto"/>
        </w:rPr>
        <w:fldChar w:fldCharType="end"/>
      </w:r>
      <w:r w:rsidRPr="001053F9">
        <w:rPr>
          <w:rFonts w:ascii="Times New Roman" w:hAnsi="Times New Roman" w:cs="Times New Roman"/>
          <w:i w:val="0"/>
          <w:color w:val="auto"/>
        </w:rPr>
        <w:t>: The Fruchterman-Reingold</w:t>
      </w:r>
      <w:r w:rsidRPr="001053F9">
        <w:rPr>
          <w:rFonts w:ascii="Times New Roman" w:hAnsi="Times New Roman" w:cs="Times New Roman"/>
          <w:i w:val="0"/>
          <w:noProof/>
          <w:color w:val="auto"/>
        </w:rPr>
        <w:t xml:space="preserve"> algorithm applied to the OpenOrd algorithm</w:t>
      </w:r>
    </w:p>
    <w:p w:rsidR="00C15712" w:rsidRPr="001053F9" w:rsidRDefault="00C15712" w:rsidP="000439A5">
      <w:pPr>
        <w:spacing w:line="276" w:lineRule="auto"/>
        <w:rPr>
          <w:rFonts w:ascii="Times New Roman" w:hAnsi="Times New Roman" w:cs="Times New Roman"/>
          <w:sz w:val="20"/>
          <w:szCs w:val="20"/>
        </w:rPr>
      </w:pPr>
      <w:r w:rsidRPr="001053F9">
        <w:rPr>
          <w:rFonts w:ascii="Times New Roman" w:hAnsi="Times New Roman" w:cs="Times New Roman"/>
          <w:sz w:val="20"/>
          <w:szCs w:val="20"/>
        </w:rPr>
        <w:t xml:space="preserve">The layout using these algorithms in sequence was almost perfect. However, it was missing one key component – multi-level visualization. </w:t>
      </w:r>
      <w:r w:rsidR="00D4364C" w:rsidRPr="001053F9">
        <w:rPr>
          <w:rFonts w:ascii="Times New Roman" w:hAnsi="Times New Roman" w:cs="Times New Roman"/>
          <w:sz w:val="20"/>
          <w:szCs w:val="20"/>
        </w:rPr>
        <w:t xml:space="preserve">While this network showed connections between nodes very easily, it did not show connections between the different </w:t>
      </w:r>
      <w:r w:rsidR="00D4364C" w:rsidRPr="001053F9">
        <w:rPr>
          <w:rFonts w:ascii="Times New Roman" w:hAnsi="Times New Roman" w:cs="Times New Roman"/>
          <w:i/>
          <w:sz w:val="20"/>
          <w:szCs w:val="20"/>
        </w:rPr>
        <w:t>layers</w:t>
      </w:r>
      <w:r w:rsidR="00D4364C" w:rsidRPr="001053F9">
        <w:rPr>
          <w:rFonts w:ascii="Times New Roman" w:hAnsi="Times New Roman" w:cs="Times New Roman"/>
          <w:sz w:val="20"/>
          <w:szCs w:val="20"/>
        </w:rPr>
        <w:t xml:space="preserve"> of nodes (</w:t>
      </w:r>
      <w:r w:rsidR="00D4364C" w:rsidRPr="001053F9">
        <w:rPr>
          <w:rFonts w:ascii="Times New Roman" w:hAnsi="Times New Roman" w:cs="Times New Roman"/>
          <w:i/>
          <w:sz w:val="20"/>
          <w:szCs w:val="20"/>
        </w:rPr>
        <w:t>e.g.</w:t>
      </w:r>
      <w:r w:rsidR="00D4364C" w:rsidRPr="001053F9">
        <w:rPr>
          <w:rFonts w:ascii="Times New Roman" w:hAnsi="Times New Roman" w:cs="Times New Roman"/>
          <w:sz w:val="20"/>
          <w:szCs w:val="20"/>
        </w:rPr>
        <w:t xml:space="preserve"> authors, committee members, TPC-authors). </w:t>
      </w:r>
      <w:r w:rsidR="00DD40EE" w:rsidRPr="001053F9">
        <w:rPr>
          <w:rFonts w:ascii="Times New Roman" w:hAnsi="Times New Roman" w:cs="Times New Roman"/>
          <w:sz w:val="20"/>
          <w:szCs w:val="20"/>
        </w:rPr>
        <w:t>The solution to</w:t>
      </w:r>
      <w:r w:rsidR="004726D8" w:rsidRPr="001053F9">
        <w:rPr>
          <w:rFonts w:ascii="Times New Roman" w:hAnsi="Times New Roman" w:cs="Times New Roman"/>
          <w:sz w:val="20"/>
          <w:szCs w:val="20"/>
        </w:rPr>
        <w:t xml:space="preserve"> this was however quite simple. </w:t>
      </w:r>
      <w:r w:rsidR="00E15B68" w:rsidRPr="001053F9">
        <w:rPr>
          <w:rFonts w:ascii="Times New Roman" w:hAnsi="Times New Roman" w:cs="Times New Roman"/>
          <w:sz w:val="20"/>
          <w:szCs w:val="20"/>
        </w:rPr>
        <w:t xml:space="preserve">A layout algorithm called </w:t>
      </w:r>
      <w:r w:rsidR="004C634D" w:rsidRPr="001053F9">
        <w:rPr>
          <w:rFonts w:ascii="Times New Roman" w:hAnsi="Times New Roman" w:cs="Times New Roman"/>
          <w:sz w:val="20"/>
          <w:szCs w:val="20"/>
        </w:rPr>
        <w:t xml:space="preserve">Network Splitter 3D was found that allowed </w:t>
      </w:r>
      <w:r w:rsidR="00020D6B" w:rsidRPr="001053F9">
        <w:rPr>
          <w:rFonts w:ascii="Times New Roman" w:hAnsi="Times New Roman" w:cs="Times New Roman"/>
          <w:sz w:val="20"/>
          <w:szCs w:val="20"/>
        </w:rPr>
        <w:t xml:space="preserve">the network to be split into levels via a tag with a z-level for each node </w:t>
      </w:r>
      <w:r w:rsidR="00DC62FC" w:rsidRPr="001053F9">
        <w:rPr>
          <w:rFonts w:ascii="Times New Roman" w:hAnsi="Times New Roman" w:cs="Times New Roman"/>
          <w:sz w:val="20"/>
          <w:szCs w:val="20"/>
        </w:rPr>
        <w:t xml:space="preserve">and then rotated on the </w:t>
      </w:r>
      <w:r w:rsidR="00DC62FC" w:rsidRPr="001053F9">
        <w:rPr>
          <w:rFonts w:ascii="Times New Roman" w:hAnsi="Times New Roman" w:cs="Times New Roman"/>
          <w:i/>
          <w:sz w:val="20"/>
          <w:szCs w:val="20"/>
        </w:rPr>
        <w:t>x</w:t>
      </w:r>
      <w:r w:rsidR="00DC62FC" w:rsidRPr="001053F9">
        <w:rPr>
          <w:rFonts w:ascii="Times New Roman" w:hAnsi="Times New Roman" w:cs="Times New Roman"/>
          <w:sz w:val="20"/>
          <w:szCs w:val="20"/>
        </w:rPr>
        <w:t xml:space="preserve">-axis </w:t>
      </w:r>
      <w:r w:rsidR="00AE2A3D" w:rsidRPr="001053F9">
        <w:rPr>
          <w:rFonts w:ascii="Times New Roman" w:hAnsi="Times New Roman" w:cs="Times New Roman"/>
          <w:sz w:val="20"/>
          <w:szCs w:val="20"/>
        </w:rPr>
        <w:t xml:space="preserve">to visualize the levels. </w:t>
      </w:r>
      <w:r w:rsidR="006065D2" w:rsidRPr="001053F9">
        <w:rPr>
          <w:rFonts w:ascii="Times New Roman" w:hAnsi="Times New Roman" w:cs="Times New Roman"/>
          <w:sz w:val="20"/>
          <w:szCs w:val="20"/>
        </w:rPr>
        <w:t xml:space="preserve">When this splitter was applied to the </w:t>
      </w:r>
      <w:r w:rsidR="00DA541B" w:rsidRPr="001053F9">
        <w:rPr>
          <w:rFonts w:ascii="Times New Roman" w:hAnsi="Times New Roman" w:cs="Times New Roman"/>
          <w:sz w:val="20"/>
          <w:szCs w:val="20"/>
        </w:rPr>
        <w:t xml:space="preserve">network after the Fruchterman-Reingold and OpenOrd algorithms, it produced an easy-to-understand, multilevel visualization of the network that showcased all the relevant properties and met all the requirements. </w:t>
      </w:r>
      <w:r w:rsidR="00BE4217" w:rsidRPr="001053F9">
        <w:rPr>
          <w:rFonts w:ascii="Times New Roman" w:hAnsi="Times New Roman" w:cs="Times New Roman"/>
          <w:sz w:val="20"/>
          <w:szCs w:val="20"/>
        </w:rPr>
        <w:t xml:space="preserve">Figure </w:t>
      </w:r>
      <w:r w:rsidR="00E76299" w:rsidRPr="001053F9">
        <w:rPr>
          <w:rFonts w:ascii="Times New Roman" w:hAnsi="Times New Roman" w:cs="Times New Roman"/>
          <w:sz w:val="20"/>
          <w:szCs w:val="20"/>
        </w:rPr>
        <w:t xml:space="preserve">5 is a sample </w:t>
      </w:r>
      <w:r w:rsidR="00C257B9" w:rsidRPr="001053F9">
        <w:rPr>
          <w:rFonts w:ascii="Times New Roman" w:hAnsi="Times New Roman" w:cs="Times New Roman"/>
          <w:sz w:val="20"/>
          <w:szCs w:val="20"/>
        </w:rPr>
        <w:t xml:space="preserve">layout showing the </w:t>
      </w:r>
      <w:r w:rsidR="00D15DCC" w:rsidRPr="001053F9">
        <w:rPr>
          <w:rFonts w:ascii="Times New Roman" w:hAnsi="Times New Roman" w:cs="Times New Roman"/>
          <w:sz w:val="20"/>
          <w:szCs w:val="20"/>
        </w:rPr>
        <w:t xml:space="preserve">Network Splitter 3D algorithm on the </w:t>
      </w:r>
      <w:r w:rsidR="005C25B7" w:rsidRPr="001053F9">
        <w:rPr>
          <w:rFonts w:ascii="Times New Roman" w:hAnsi="Times New Roman" w:cs="Times New Roman"/>
          <w:sz w:val="20"/>
          <w:szCs w:val="20"/>
        </w:rPr>
        <w:lastRenderedPageBreak/>
        <w:t xml:space="preserve">NOCS 2010 Fruchterman-Reingold and OpenOrd layout </w:t>
      </w:r>
      <w:r w:rsidR="00DF7CA3" w:rsidRPr="001053F9">
        <w:rPr>
          <w:rFonts w:ascii="Times New Roman" w:hAnsi="Times New Roman" w:cs="Times New Roman"/>
          <w:sz w:val="20"/>
          <w:szCs w:val="20"/>
        </w:rPr>
        <w:t xml:space="preserve">seen in Figure 4. </w:t>
      </w:r>
    </w:p>
    <w:p w:rsidR="000E3FF2" w:rsidRPr="001053F9" w:rsidRDefault="00AC5355" w:rsidP="000E3FF2">
      <w:pPr>
        <w:keepNext/>
        <w:jc w:val="center"/>
        <w:rPr>
          <w:rFonts w:ascii="Times New Roman" w:hAnsi="Times New Roman" w:cs="Times New Roman"/>
        </w:rPr>
      </w:pPr>
      <w:r w:rsidRPr="001053F9">
        <w:rPr>
          <w:rFonts w:ascii="Times New Roman" w:hAnsi="Times New Roman" w:cs="Times New Roman"/>
          <w:noProof/>
          <w:sz w:val="20"/>
          <w:szCs w:val="20"/>
        </w:rPr>
        <w:drawing>
          <wp:inline distT="0" distB="0" distL="0" distR="0" wp14:anchorId="64D82F90" wp14:editId="54A59502">
            <wp:extent cx="2468880" cy="2468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Level.png"/>
                    <pic:cNvPicPr/>
                  </pic:nvPicPr>
                  <pic:blipFill>
                    <a:blip r:embed="rId10">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rsidR="00E926E9" w:rsidRPr="001053F9" w:rsidRDefault="000E3FF2" w:rsidP="000E3FF2">
      <w:pPr>
        <w:pStyle w:val="Caption"/>
        <w:jc w:val="center"/>
        <w:rPr>
          <w:rFonts w:ascii="Times New Roman" w:hAnsi="Times New Roman" w:cs="Times New Roman"/>
          <w:i w:val="0"/>
          <w:color w:val="auto"/>
          <w:sz w:val="20"/>
          <w:szCs w:val="20"/>
        </w:rPr>
      </w:pPr>
      <w:r w:rsidRPr="001053F9">
        <w:rPr>
          <w:rFonts w:ascii="Times New Roman" w:hAnsi="Times New Roman" w:cs="Times New Roman"/>
          <w:i w:val="0"/>
          <w:color w:val="auto"/>
        </w:rPr>
        <w:t xml:space="preserve">Figure </w:t>
      </w:r>
      <w:r w:rsidRPr="001053F9">
        <w:rPr>
          <w:rFonts w:ascii="Times New Roman" w:hAnsi="Times New Roman" w:cs="Times New Roman"/>
          <w:i w:val="0"/>
          <w:color w:val="auto"/>
        </w:rPr>
        <w:fldChar w:fldCharType="begin"/>
      </w:r>
      <w:r w:rsidRPr="001053F9">
        <w:rPr>
          <w:rFonts w:ascii="Times New Roman" w:hAnsi="Times New Roman" w:cs="Times New Roman"/>
          <w:i w:val="0"/>
          <w:color w:val="auto"/>
        </w:rPr>
        <w:instrText xml:space="preserve"> SEQ Figure \* ARABIC </w:instrText>
      </w:r>
      <w:r w:rsidRPr="001053F9">
        <w:rPr>
          <w:rFonts w:ascii="Times New Roman" w:hAnsi="Times New Roman" w:cs="Times New Roman"/>
          <w:i w:val="0"/>
          <w:color w:val="auto"/>
        </w:rPr>
        <w:fldChar w:fldCharType="separate"/>
      </w:r>
      <w:r w:rsidR="00AA4B24">
        <w:rPr>
          <w:rFonts w:ascii="Times New Roman" w:hAnsi="Times New Roman" w:cs="Times New Roman"/>
          <w:i w:val="0"/>
          <w:noProof/>
          <w:color w:val="auto"/>
        </w:rPr>
        <w:t>5</w:t>
      </w:r>
      <w:r w:rsidRPr="001053F9">
        <w:rPr>
          <w:rFonts w:ascii="Times New Roman" w:hAnsi="Times New Roman" w:cs="Times New Roman"/>
          <w:i w:val="0"/>
          <w:color w:val="auto"/>
        </w:rPr>
        <w:fldChar w:fldCharType="end"/>
      </w:r>
      <w:r w:rsidRPr="001053F9">
        <w:rPr>
          <w:rFonts w:ascii="Times New Roman" w:hAnsi="Times New Roman" w:cs="Times New Roman"/>
          <w:i w:val="0"/>
          <w:color w:val="auto"/>
        </w:rPr>
        <w:t>: The Network Splitter 3D multilevel visualization applied to the Fruchterman-Reingold and OpenOrd algorithms</w:t>
      </w:r>
    </w:p>
    <w:p w:rsidR="00AF1153" w:rsidRPr="001053F9" w:rsidRDefault="00E63E37" w:rsidP="00045567">
      <w:pPr>
        <w:pStyle w:val="Heading1"/>
        <w:spacing w:line="276" w:lineRule="auto"/>
        <w:rPr>
          <w:rFonts w:ascii="Times New Roman" w:hAnsi="Times New Roman" w:cs="Times New Roman"/>
          <w:color w:val="auto"/>
          <w:sz w:val="20"/>
          <w:szCs w:val="20"/>
        </w:rPr>
      </w:pPr>
      <w:r w:rsidRPr="001053F9">
        <w:rPr>
          <w:rFonts w:ascii="Times New Roman" w:hAnsi="Times New Roman" w:cs="Times New Roman"/>
          <w:color w:val="auto"/>
          <w:sz w:val="20"/>
          <w:szCs w:val="20"/>
        </w:rPr>
        <w:t>This last layout provided everything required for network analysis, and no further work was per</w:t>
      </w:r>
      <w:r w:rsidR="004F2FE4" w:rsidRPr="001053F9">
        <w:rPr>
          <w:rFonts w:ascii="Times New Roman" w:hAnsi="Times New Roman" w:cs="Times New Roman"/>
          <w:color w:val="auto"/>
          <w:sz w:val="20"/>
          <w:szCs w:val="20"/>
        </w:rPr>
        <w:t>formed in terms of new layouts. The</w:t>
      </w:r>
      <w:r w:rsidR="0005443C" w:rsidRPr="001053F9">
        <w:rPr>
          <w:rFonts w:ascii="Times New Roman" w:hAnsi="Times New Roman" w:cs="Times New Roman"/>
          <w:color w:val="auto"/>
          <w:sz w:val="20"/>
          <w:szCs w:val="20"/>
        </w:rPr>
        <w:t xml:space="preserve"> next step in work was to perform different types of analysis </w:t>
      </w:r>
      <w:r w:rsidR="008B1948" w:rsidRPr="001053F9">
        <w:rPr>
          <w:rFonts w:ascii="Times New Roman" w:hAnsi="Times New Roman" w:cs="Times New Roman"/>
          <w:color w:val="auto"/>
          <w:sz w:val="20"/>
          <w:szCs w:val="20"/>
        </w:rPr>
        <w:t xml:space="preserve">on the networks using these visualizations to understand what information could be obtained. Each following step </w:t>
      </w:r>
      <w:r w:rsidR="00BA39B7" w:rsidRPr="001053F9">
        <w:rPr>
          <w:rFonts w:ascii="Times New Roman" w:hAnsi="Times New Roman" w:cs="Times New Roman"/>
          <w:color w:val="auto"/>
          <w:sz w:val="20"/>
          <w:szCs w:val="20"/>
        </w:rPr>
        <w:t>corresponds to the equally numbered step in</w:t>
      </w:r>
      <w:r w:rsidR="000439A5" w:rsidRPr="001053F9">
        <w:rPr>
          <w:rFonts w:ascii="Times New Roman" w:hAnsi="Times New Roman" w:cs="Times New Roman"/>
          <w:color w:val="auto"/>
          <w:sz w:val="20"/>
          <w:szCs w:val="20"/>
        </w:rPr>
        <w:t xml:space="preserve"> the</w:t>
      </w:r>
      <w:r w:rsidR="00BA39B7" w:rsidRPr="001053F9">
        <w:rPr>
          <w:rFonts w:ascii="Times New Roman" w:hAnsi="Times New Roman" w:cs="Times New Roman"/>
          <w:color w:val="auto"/>
          <w:sz w:val="20"/>
          <w:szCs w:val="20"/>
        </w:rPr>
        <w:t xml:space="preserve"> </w:t>
      </w:r>
      <w:r w:rsidR="000439A5" w:rsidRPr="001053F9">
        <w:rPr>
          <w:rFonts w:ascii="Times New Roman" w:hAnsi="Times New Roman" w:cs="Times New Roman"/>
          <w:color w:val="000000" w:themeColor="text1"/>
          <w:sz w:val="20"/>
          <w:szCs w:val="24"/>
        </w:rPr>
        <w:t>P</w:t>
      </w:r>
      <w:r w:rsidR="000439A5" w:rsidRPr="001053F9">
        <w:rPr>
          <w:rFonts w:ascii="Times New Roman" w:hAnsi="Times New Roman" w:cs="Times New Roman"/>
          <w:color w:val="000000" w:themeColor="text1"/>
          <w:sz w:val="16"/>
          <w:szCs w:val="24"/>
        </w:rPr>
        <w:t>ROJECT</w:t>
      </w:r>
      <w:r w:rsidR="000439A5" w:rsidRPr="001053F9">
        <w:rPr>
          <w:rFonts w:ascii="Times New Roman" w:hAnsi="Times New Roman" w:cs="Times New Roman"/>
          <w:color w:val="000000" w:themeColor="text1"/>
          <w:sz w:val="20"/>
          <w:szCs w:val="24"/>
        </w:rPr>
        <w:t xml:space="preserve"> D</w:t>
      </w:r>
      <w:r w:rsidR="000439A5" w:rsidRPr="001053F9">
        <w:rPr>
          <w:rFonts w:ascii="Times New Roman" w:hAnsi="Times New Roman" w:cs="Times New Roman"/>
          <w:color w:val="000000" w:themeColor="text1"/>
          <w:sz w:val="16"/>
          <w:szCs w:val="24"/>
        </w:rPr>
        <w:t xml:space="preserve">ESIGN </w:t>
      </w:r>
      <w:r w:rsidR="000439A5" w:rsidRPr="001053F9">
        <w:rPr>
          <w:rFonts w:ascii="Times New Roman" w:hAnsi="Times New Roman" w:cs="Times New Roman"/>
          <w:color w:val="auto"/>
          <w:sz w:val="20"/>
          <w:szCs w:val="20"/>
        </w:rPr>
        <w:t>section.</w:t>
      </w:r>
    </w:p>
    <w:p w:rsidR="00B137BF" w:rsidRPr="001053F9" w:rsidRDefault="00B137BF" w:rsidP="00B137BF">
      <w:pPr>
        <w:rPr>
          <w:rFonts w:ascii="Times New Roman" w:hAnsi="Times New Roman" w:cs="Times New Roman"/>
          <w:sz w:val="8"/>
        </w:rPr>
      </w:pPr>
    </w:p>
    <w:p w:rsidR="00B23588" w:rsidRPr="001053F9" w:rsidRDefault="00EA0AC1" w:rsidP="00750034">
      <w:pPr>
        <w:pStyle w:val="ListParagraph"/>
        <w:numPr>
          <w:ilvl w:val="0"/>
          <w:numId w:val="3"/>
        </w:numPr>
        <w:rPr>
          <w:rFonts w:ascii="Times New Roman" w:hAnsi="Times New Roman" w:cs="Times New Roman"/>
          <w:sz w:val="20"/>
          <w:szCs w:val="20"/>
        </w:rPr>
      </w:pPr>
      <w:r w:rsidRPr="001053F9">
        <w:rPr>
          <w:rFonts w:ascii="Times New Roman" w:hAnsi="Times New Roman" w:cs="Times New Roman"/>
          <w:sz w:val="20"/>
          <w:szCs w:val="20"/>
        </w:rPr>
        <w:t xml:space="preserve">When looking to find relationships </w:t>
      </w:r>
      <w:r w:rsidR="007025F9" w:rsidRPr="001053F9">
        <w:rPr>
          <w:rFonts w:ascii="Times New Roman" w:hAnsi="Times New Roman" w:cs="Times New Roman"/>
          <w:sz w:val="20"/>
          <w:szCs w:val="20"/>
        </w:rPr>
        <w:t xml:space="preserve">between the authors in terms of communities and </w:t>
      </w:r>
      <w:r w:rsidR="00CF1005" w:rsidRPr="001053F9">
        <w:rPr>
          <w:rFonts w:ascii="Times New Roman" w:hAnsi="Times New Roman" w:cs="Times New Roman"/>
          <w:sz w:val="20"/>
          <w:szCs w:val="20"/>
        </w:rPr>
        <w:t>co-authorship, the primary focus is on the co-authorship “edges” of the graph.</w:t>
      </w:r>
      <w:r w:rsidR="00750034" w:rsidRPr="001053F9">
        <w:rPr>
          <w:rFonts w:ascii="Times New Roman" w:hAnsi="Times New Roman" w:cs="Times New Roman"/>
          <w:sz w:val="20"/>
          <w:szCs w:val="20"/>
        </w:rPr>
        <w:t xml:space="preserve"> </w:t>
      </w:r>
      <w:r w:rsidR="00C61753" w:rsidRPr="001053F9">
        <w:rPr>
          <w:rFonts w:ascii="Times New Roman" w:hAnsi="Times New Roman" w:cs="Times New Roman"/>
          <w:sz w:val="20"/>
          <w:szCs w:val="20"/>
        </w:rPr>
        <w:t>The</w:t>
      </w:r>
      <w:r w:rsidR="00C025AA" w:rsidRPr="001053F9">
        <w:rPr>
          <w:rFonts w:ascii="Times New Roman" w:hAnsi="Times New Roman" w:cs="Times New Roman"/>
          <w:sz w:val="20"/>
          <w:szCs w:val="20"/>
        </w:rPr>
        <w:t xml:space="preserve"> “communities” in the graph were </w:t>
      </w:r>
      <w:r w:rsidR="00BA0658" w:rsidRPr="001053F9">
        <w:rPr>
          <w:rFonts w:ascii="Times New Roman" w:hAnsi="Times New Roman" w:cs="Times New Roman"/>
          <w:sz w:val="20"/>
          <w:szCs w:val="20"/>
        </w:rPr>
        <w:t>manually analyzed at first, but there was not enough information in the data to extrapolate any kind of meaningful result.</w:t>
      </w:r>
    </w:p>
    <w:p w:rsidR="00886E45" w:rsidRPr="001053F9" w:rsidRDefault="00CC62DA" w:rsidP="00750034">
      <w:pPr>
        <w:pStyle w:val="ListParagraph"/>
        <w:numPr>
          <w:ilvl w:val="0"/>
          <w:numId w:val="3"/>
        </w:numPr>
        <w:rPr>
          <w:rFonts w:ascii="Times New Roman" w:hAnsi="Times New Roman" w:cs="Times New Roman"/>
          <w:sz w:val="20"/>
          <w:szCs w:val="20"/>
        </w:rPr>
      </w:pPr>
      <w:r w:rsidRPr="001053F9">
        <w:rPr>
          <w:rFonts w:ascii="Times New Roman" w:hAnsi="Times New Roman" w:cs="Times New Roman"/>
          <w:sz w:val="20"/>
          <w:szCs w:val="20"/>
        </w:rPr>
        <w:t xml:space="preserve">Measuring success in the network started with finding a “definition” for success, and therein lied the problem. Defining success in terms of co-authorship is not a </w:t>
      </w:r>
      <w:r w:rsidR="00BD574F" w:rsidRPr="001053F9">
        <w:rPr>
          <w:rFonts w:ascii="Times New Roman" w:hAnsi="Times New Roman" w:cs="Times New Roman"/>
          <w:sz w:val="20"/>
          <w:szCs w:val="20"/>
        </w:rPr>
        <w:t xml:space="preserve">functional procedure – depending on the goals of the author and the </w:t>
      </w:r>
      <w:r w:rsidR="006A5C39" w:rsidRPr="001053F9">
        <w:rPr>
          <w:rFonts w:ascii="Times New Roman" w:hAnsi="Times New Roman" w:cs="Times New Roman"/>
          <w:sz w:val="20"/>
          <w:szCs w:val="20"/>
        </w:rPr>
        <w:t xml:space="preserve">personal ideals of success, the definition can vary. </w:t>
      </w:r>
      <w:r w:rsidR="007A483F" w:rsidRPr="001053F9">
        <w:rPr>
          <w:rFonts w:ascii="Times New Roman" w:hAnsi="Times New Roman" w:cs="Times New Roman"/>
          <w:sz w:val="20"/>
          <w:szCs w:val="20"/>
        </w:rPr>
        <w:t>Since it would not be possible</w:t>
      </w:r>
      <w:r w:rsidR="002E2D6D" w:rsidRPr="001053F9">
        <w:rPr>
          <w:rFonts w:ascii="Times New Roman" w:hAnsi="Times New Roman" w:cs="Times New Roman"/>
          <w:sz w:val="20"/>
          <w:szCs w:val="20"/>
        </w:rPr>
        <w:t xml:space="preserve"> to determine the author’s end goal from the data, </w:t>
      </w:r>
      <w:r w:rsidR="00907E4E" w:rsidRPr="001053F9">
        <w:rPr>
          <w:rFonts w:ascii="Times New Roman" w:hAnsi="Times New Roman" w:cs="Times New Roman"/>
          <w:sz w:val="20"/>
          <w:szCs w:val="20"/>
        </w:rPr>
        <w:t xml:space="preserve">trying to determine “success” of authors </w:t>
      </w:r>
      <w:r w:rsidR="00886E45" w:rsidRPr="001053F9">
        <w:rPr>
          <w:rFonts w:ascii="Times New Roman" w:hAnsi="Times New Roman" w:cs="Times New Roman"/>
          <w:sz w:val="20"/>
          <w:szCs w:val="20"/>
        </w:rPr>
        <w:t>proved inconclusive.</w:t>
      </w:r>
    </w:p>
    <w:p w:rsidR="00190B8F" w:rsidRPr="001053F9" w:rsidRDefault="002C7946" w:rsidP="00190B8F">
      <w:pPr>
        <w:pStyle w:val="ListParagraph"/>
        <w:numPr>
          <w:ilvl w:val="0"/>
          <w:numId w:val="3"/>
        </w:numPr>
        <w:spacing w:before="240"/>
        <w:rPr>
          <w:rFonts w:ascii="Times New Roman" w:hAnsi="Times New Roman" w:cs="Times New Roman"/>
          <w:sz w:val="20"/>
          <w:szCs w:val="20"/>
        </w:rPr>
      </w:pPr>
      <w:r w:rsidRPr="001053F9">
        <w:rPr>
          <w:rFonts w:ascii="Times New Roman" w:hAnsi="Times New Roman" w:cs="Times New Roman"/>
          <w:sz w:val="20"/>
          <w:szCs w:val="20"/>
        </w:rPr>
        <w:t xml:space="preserve">The concept of “fairness” in a network was more easily defined than success. </w:t>
      </w:r>
      <w:r w:rsidR="000F6F26" w:rsidRPr="001053F9">
        <w:rPr>
          <w:rFonts w:ascii="Times New Roman" w:hAnsi="Times New Roman" w:cs="Times New Roman"/>
          <w:sz w:val="20"/>
          <w:szCs w:val="20"/>
        </w:rPr>
        <w:t xml:space="preserve">This was </w:t>
      </w:r>
      <w:r w:rsidR="000F6F26" w:rsidRPr="001053F9">
        <w:rPr>
          <w:rFonts w:ascii="Times New Roman" w:hAnsi="Times New Roman" w:cs="Times New Roman"/>
          <w:sz w:val="20"/>
          <w:szCs w:val="20"/>
        </w:rPr>
        <w:lastRenderedPageBreak/>
        <w:t>the first</w:t>
      </w:r>
      <w:r w:rsidR="00B875A8" w:rsidRPr="001053F9">
        <w:rPr>
          <w:rFonts w:ascii="Times New Roman" w:hAnsi="Times New Roman" w:cs="Times New Roman"/>
          <w:sz w:val="20"/>
          <w:szCs w:val="20"/>
        </w:rPr>
        <w:t xml:space="preserve"> sub-goal during which technical program committee members played a large part in the methodology of analysis. </w:t>
      </w:r>
      <w:r w:rsidR="001310EE" w:rsidRPr="001053F9">
        <w:rPr>
          <w:rFonts w:ascii="Times New Roman" w:hAnsi="Times New Roman" w:cs="Times New Roman"/>
          <w:sz w:val="20"/>
          <w:szCs w:val="20"/>
        </w:rPr>
        <w:t>In order to find a numerical explanation for this “fairness” metric in relation to the TPC-authors, all the relevant properties of the network and sub-networks were analyzed (e.g. average degree of authors, average degree of TPC members, # of communities, average path length, etc.).  These values alone did not function as indicators of fairness in themselves, but when applied to different segments of the network, could be converted to a discrete fairness value.</w:t>
      </w:r>
    </w:p>
    <w:p w:rsidR="00877813" w:rsidRPr="001053F9" w:rsidRDefault="00877813" w:rsidP="00877813">
      <w:pPr>
        <w:pStyle w:val="ListParagraph"/>
        <w:spacing w:before="600"/>
        <w:ind w:left="0"/>
        <w:rPr>
          <w:rFonts w:ascii="Times New Roman" w:hAnsi="Times New Roman" w:cs="Times New Roman"/>
          <w:sz w:val="8"/>
          <w:szCs w:val="20"/>
        </w:rPr>
      </w:pPr>
    </w:p>
    <w:p w:rsidR="0041464C" w:rsidRPr="001053F9" w:rsidRDefault="0041464C" w:rsidP="00877813">
      <w:pPr>
        <w:pStyle w:val="ListParagraph"/>
        <w:spacing w:before="600"/>
        <w:ind w:left="0"/>
        <w:rPr>
          <w:rFonts w:ascii="Times New Roman" w:hAnsi="Times New Roman" w:cs="Times New Roman"/>
          <w:sz w:val="20"/>
          <w:szCs w:val="20"/>
        </w:rPr>
      </w:pPr>
      <w:r w:rsidRPr="001053F9">
        <w:rPr>
          <w:rFonts w:ascii="Times New Roman" w:hAnsi="Times New Roman" w:cs="Times New Roman"/>
          <w:sz w:val="20"/>
          <w:szCs w:val="20"/>
        </w:rPr>
        <w:t>After the properties above were extracted from the network, the focus shifted to trying to determine how they could be used to represent the fairness of the conference. Before this, however, a clear definition of fairness was needed. After consulting a variety of networks, it was determined that an “unfair” conference would be one where relationships that were conflicts-of-interest either gave some authors advantages, or others disadvantages, in areas such as paper acceptance likelihood and co-authorship desirability.</w:t>
      </w:r>
    </w:p>
    <w:p w:rsidR="0041464C" w:rsidRPr="001053F9" w:rsidRDefault="0041464C" w:rsidP="0041464C">
      <w:pPr>
        <w:rPr>
          <w:rFonts w:ascii="Times New Roman" w:hAnsi="Times New Roman" w:cs="Times New Roman"/>
          <w:sz w:val="20"/>
          <w:szCs w:val="20"/>
        </w:rPr>
      </w:pPr>
      <w:r w:rsidRPr="001053F9">
        <w:rPr>
          <w:rFonts w:ascii="Times New Roman" w:hAnsi="Times New Roman" w:cs="Times New Roman"/>
          <w:sz w:val="20"/>
          <w:szCs w:val="20"/>
        </w:rPr>
        <w:t>The idea developed following this definition was that there was an undeniable likelihood that TPC members were indeed more likely to be accepted due to the fact that by the very virtue of being included in the committee itself, they were already classed as more “elite” than other paper writers. If a TPC member were to write a paper like any other author, their paper would probably be accepted.</w:t>
      </w:r>
    </w:p>
    <w:p w:rsidR="0041464C" w:rsidRPr="001053F9" w:rsidRDefault="0041464C" w:rsidP="0041464C">
      <w:pPr>
        <w:rPr>
          <w:rFonts w:ascii="Times New Roman" w:hAnsi="Times New Roman" w:cs="Times New Roman"/>
          <w:sz w:val="20"/>
          <w:szCs w:val="20"/>
        </w:rPr>
      </w:pPr>
      <w:r w:rsidRPr="001053F9">
        <w:rPr>
          <w:rFonts w:ascii="Times New Roman" w:hAnsi="Times New Roman" w:cs="Times New Roman"/>
          <w:sz w:val="20"/>
          <w:szCs w:val="20"/>
        </w:rPr>
        <w:t xml:space="preserve">From this, the idea of comparing the authorship groups of TPC members tended to have larger authorship group than other authors. If not, then there was most likely nothing going on because the TPC-authors had submitted papers as normal. If so, however, than there was likely something going on, because if the papers written with TPC members mysteriously had an average of ten co-authors versus an average of 3 for other papers, it would signify that they were most likely included due to the “stamp” of their name and level rather than due to their contributions to the paper itself. </w:t>
      </w:r>
    </w:p>
    <w:p w:rsidR="00D64AE2" w:rsidRPr="001053F9" w:rsidRDefault="003A7ACB" w:rsidP="0041464C">
      <w:pPr>
        <w:rPr>
          <w:rFonts w:ascii="Times New Roman" w:hAnsi="Times New Roman" w:cs="Times New Roman"/>
          <w:sz w:val="20"/>
          <w:szCs w:val="20"/>
        </w:rPr>
      </w:pPr>
      <w:r w:rsidRPr="001053F9">
        <w:rPr>
          <w:rFonts w:ascii="Times New Roman" w:hAnsi="Times New Roman" w:cs="Times New Roman"/>
          <w:sz w:val="20"/>
          <w:szCs w:val="20"/>
        </w:rPr>
        <w:t>Four different</w:t>
      </w:r>
      <w:r w:rsidR="0041464C" w:rsidRPr="001053F9">
        <w:rPr>
          <w:rFonts w:ascii="Times New Roman" w:hAnsi="Times New Roman" w:cs="Times New Roman"/>
          <w:sz w:val="20"/>
          <w:szCs w:val="20"/>
        </w:rPr>
        <w:t xml:space="preserve"> values were </w:t>
      </w:r>
      <w:r w:rsidR="0019422C" w:rsidRPr="001053F9">
        <w:rPr>
          <w:rFonts w:ascii="Times New Roman" w:hAnsi="Times New Roman" w:cs="Times New Roman"/>
          <w:sz w:val="20"/>
          <w:szCs w:val="20"/>
        </w:rPr>
        <w:t>extracted</w:t>
      </w:r>
      <w:r w:rsidR="0041464C" w:rsidRPr="001053F9">
        <w:rPr>
          <w:rFonts w:ascii="Times New Roman" w:hAnsi="Times New Roman" w:cs="Times New Roman"/>
          <w:sz w:val="20"/>
          <w:szCs w:val="20"/>
        </w:rPr>
        <w:t xml:space="preserve"> from the network that were then combined to create a “total fairness value”. </w:t>
      </w:r>
      <w:r w:rsidR="006E7B98" w:rsidRPr="001053F9">
        <w:rPr>
          <w:rFonts w:ascii="Times New Roman" w:hAnsi="Times New Roman" w:cs="Times New Roman"/>
          <w:sz w:val="20"/>
          <w:szCs w:val="20"/>
        </w:rPr>
        <w:t xml:space="preserve">The first two were </w:t>
      </w:r>
      <w:r w:rsidR="00136F57" w:rsidRPr="001053F9">
        <w:rPr>
          <w:rFonts w:ascii="Times New Roman" w:hAnsi="Times New Roman" w:cs="Times New Roman"/>
          <w:sz w:val="20"/>
          <w:szCs w:val="20"/>
        </w:rPr>
        <w:t xml:space="preserve">related to the communities in the network. </w:t>
      </w:r>
      <w:r w:rsidR="0041464C" w:rsidRPr="001053F9">
        <w:rPr>
          <w:rFonts w:ascii="Times New Roman" w:hAnsi="Times New Roman" w:cs="Times New Roman"/>
          <w:sz w:val="20"/>
          <w:szCs w:val="20"/>
        </w:rPr>
        <w:t>The first was the “TPC-</w:t>
      </w:r>
      <w:r w:rsidR="0041464C" w:rsidRPr="001053F9">
        <w:rPr>
          <w:rFonts w:ascii="Times New Roman" w:hAnsi="Times New Roman" w:cs="Times New Roman"/>
          <w:sz w:val="20"/>
          <w:szCs w:val="20"/>
        </w:rPr>
        <w:lastRenderedPageBreak/>
        <w:t>author community size mean”, referred to as</w:t>
      </w: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tpc-a</m:t>
            </m:r>
          </m:sub>
        </m:sSub>
      </m:oMath>
      <w:r w:rsidR="0041464C" w:rsidRPr="001053F9">
        <w:rPr>
          <w:rFonts w:ascii="Times New Roman" w:hAnsi="Times New Roman" w:cs="Times New Roman"/>
          <w:sz w:val="20"/>
          <w:szCs w:val="20"/>
        </w:rPr>
        <w:t xml:space="preserve">, which was the average size of the communities which TPC-authors were part of. The </w:t>
      </w:r>
      <w:r w:rsidR="00E602EB" w:rsidRPr="001053F9">
        <w:rPr>
          <w:rFonts w:ascii="Times New Roman" w:hAnsi="Times New Roman" w:cs="Times New Roman"/>
          <w:sz w:val="20"/>
          <w:szCs w:val="20"/>
        </w:rPr>
        <w:t>second</w:t>
      </w:r>
      <w:r w:rsidR="0041464C" w:rsidRPr="001053F9">
        <w:rPr>
          <w:rFonts w:ascii="Times New Roman" w:hAnsi="Times New Roman" w:cs="Times New Roman"/>
          <w:sz w:val="20"/>
          <w:szCs w:val="20"/>
        </w:rPr>
        <w:t xml:space="preserve"> was the “Author community size mean”, referred to as</w:t>
      </w: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c</m:t>
            </m:r>
          </m:e>
          <m:sub>
            <m:r>
              <w:rPr>
                <w:rFonts w:ascii="Cambria Math" w:hAnsi="Cambria Math" w:cs="Times New Roman"/>
                <w:sz w:val="20"/>
                <w:szCs w:val="20"/>
              </w:rPr>
              <m:t>a</m:t>
            </m:r>
          </m:sub>
        </m:sSub>
      </m:oMath>
      <w:r w:rsidR="0041464C" w:rsidRPr="001053F9">
        <w:rPr>
          <w:rFonts w:ascii="Times New Roman" w:hAnsi="Times New Roman" w:cs="Times New Roman"/>
          <w:sz w:val="20"/>
          <w:szCs w:val="20"/>
        </w:rPr>
        <w:t>, which was the average size of the communities that the normal conference authors were part of. These values were combined to form “TPC to author community ratio”, referred to as</w:t>
      </w:r>
      <m:oMath>
        <m:sSub>
          <m:sSubPr>
            <m:ctrlPr>
              <w:rPr>
                <w:rFonts w:ascii="Cambria Math" w:hAnsi="Cambria Math" w:cs="Times New Roman"/>
                <w:sz w:val="20"/>
                <w:szCs w:val="20"/>
              </w:rPr>
            </m:ctrlPr>
          </m:sSubPr>
          <m:e>
            <m:r>
              <w:rPr>
                <w:rFonts w:ascii="Cambria Math" w:hAnsi="Cambria Math" w:cs="Times New Roman"/>
                <w:sz w:val="20"/>
                <w:szCs w:val="20"/>
              </w:rPr>
              <m:t xml:space="preserve"> r</m:t>
            </m:r>
          </m:e>
          <m:sub>
            <m:r>
              <w:rPr>
                <w:rFonts w:ascii="Cambria Math" w:hAnsi="Cambria Math" w:cs="Times New Roman"/>
                <w:sz w:val="20"/>
                <w:szCs w:val="20"/>
              </w:rPr>
              <m:t>c</m:t>
            </m:r>
          </m:sub>
        </m:sSub>
      </m:oMath>
      <w:r w:rsidR="0041464C" w:rsidRPr="001053F9">
        <w:rPr>
          <w:rFonts w:ascii="Times New Roman" w:hAnsi="Times New Roman" w:cs="Times New Roman"/>
          <w:sz w:val="20"/>
          <w:szCs w:val="20"/>
        </w:rPr>
        <w:t xml:space="preserve">, or the ratio between the average size of TPC-author communities and the average size of normal author communities. </w:t>
      </w:r>
    </w:p>
    <w:p w:rsidR="0041464C" w:rsidRPr="001053F9" w:rsidRDefault="00D64AE2" w:rsidP="0041464C">
      <w:pPr>
        <w:rPr>
          <w:rFonts w:ascii="Times New Roman" w:hAnsi="Times New Roman" w:cs="Times New Roman"/>
          <w:sz w:val="20"/>
          <w:szCs w:val="20"/>
        </w:rPr>
      </w:pPr>
      <w:r w:rsidRPr="001053F9">
        <w:rPr>
          <w:rFonts w:ascii="Times New Roman" w:hAnsi="Times New Roman" w:cs="Times New Roman"/>
          <w:sz w:val="20"/>
          <w:szCs w:val="20"/>
        </w:rPr>
        <w:t xml:space="preserve">The next two values used </w:t>
      </w:r>
      <w:r w:rsidR="003E3C95" w:rsidRPr="001053F9">
        <w:rPr>
          <w:rFonts w:ascii="Times New Roman" w:hAnsi="Times New Roman" w:cs="Times New Roman"/>
          <w:sz w:val="20"/>
          <w:szCs w:val="20"/>
        </w:rPr>
        <w:t>dealt with the degree property of the nodes in the network.</w:t>
      </w:r>
      <w:r w:rsidRPr="001053F9">
        <w:rPr>
          <w:rFonts w:ascii="Times New Roman" w:hAnsi="Times New Roman" w:cs="Times New Roman"/>
          <w:sz w:val="20"/>
          <w:szCs w:val="20"/>
        </w:rPr>
        <w:t xml:space="preserve"> </w:t>
      </w:r>
      <w:r w:rsidR="0041464C" w:rsidRPr="001053F9">
        <w:rPr>
          <w:rFonts w:ascii="Times New Roman" w:hAnsi="Times New Roman" w:cs="Times New Roman"/>
          <w:sz w:val="20"/>
          <w:szCs w:val="20"/>
        </w:rPr>
        <w:t xml:space="preserve">The </w:t>
      </w:r>
      <w:r w:rsidR="003E3C95" w:rsidRPr="001053F9">
        <w:rPr>
          <w:rFonts w:ascii="Times New Roman" w:hAnsi="Times New Roman" w:cs="Times New Roman"/>
          <w:sz w:val="20"/>
          <w:szCs w:val="20"/>
        </w:rPr>
        <w:t xml:space="preserve">first </w:t>
      </w:r>
      <w:r w:rsidR="0041464C" w:rsidRPr="001053F9">
        <w:rPr>
          <w:rFonts w:ascii="Times New Roman" w:hAnsi="Times New Roman" w:cs="Times New Roman"/>
          <w:sz w:val="20"/>
          <w:szCs w:val="20"/>
        </w:rPr>
        <w:t>was “TPC-author degree mean”, referred to as</w:t>
      </w: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tpc-a</m:t>
            </m:r>
          </m:sub>
        </m:sSub>
      </m:oMath>
      <w:r w:rsidR="0041464C" w:rsidRPr="001053F9">
        <w:rPr>
          <w:rFonts w:ascii="Times New Roman" w:hAnsi="Times New Roman" w:cs="Times New Roman"/>
          <w:sz w:val="20"/>
          <w:szCs w:val="20"/>
        </w:rPr>
        <w:t>, which was the average degree of TPC-authors in the graph. This is different from community size, because community size does not take into account connections reaching outside of communities. Connections like these are frequently found inside the network, frequently as institutional connections, and sometimes as cross-community authorship communities</w:t>
      </w:r>
      <w:r w:rsidR="009B45C1" w:rsidRPr="001053F9">
        <w:rPr>
          <w:rFonts w:ascii="Times New Roman" w:hAnsi="Times New Roman" w:cs="Times New Roman"/>
          <w:sz w:val="20"/>
          <w:szCs w:val="20"/>
        </w:rPr>
        <w:t>. The second was</w:t>
      </w:r>
      <w:r w:rsidR="0041464C" w:rsidRPr="001053F9">
        <w:rPr>
          <w:rFonts w:ascii="Times New Roman" w:hAnsi="Times New Roman" w:cs="Times New Roman"/>
          <w:sz w:val="20"/>
          <w:szCs w:val="20"/>
        </w:rPr>
        <w:t xml:space="preserve"> “Author degree mean”, referred to as</w:t>
      </w: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d</m:t>
            </m:r>
          </m:e>
          <m:sub>
            <m:r>
              <w:rPr>
                <w:rFonts w:ascii="Cambria Math" w:hAnsi="Cambria Math" w:cs="Times New Roman"/>
                <w:sz w:val="20"/>
                <w:szCs w:val="20"/>
              </w:rPr>
              <m:t>a</m:t>
            </m:r>
          </m:sub>
        </m:sSub>
        <m:r>
          <m:rPr>
            <m:sty m:val="p"/>
          </m:rPr>
          <w:rPr>
            <w:rFonts w:ascii="Cambria Math" w:hAnsi="Cambria Math" w:cs="Times New Roman"/>
            <w:sz w:val="20"/>
            <w:szCs w:val="20"/>
          </w:rPr>
          <m:t>,</m:t>
        </m:r>
      </m:oMath>
      <w:r w:rsidR="0041464C" w:rsidRPr="001053F9">
        <w:rPr>
          <w:rFonts w:ascii="Times New Roman" w:hAnsi="Times New Roman" w:cs="Times New Roman"/>
          <w:sz w:val="20"/>
          <w:szCs w:val="20"/>
        </w:rPr>
        <w:t xml:space="preserve"> which was the average degree of all authors in the graph. These values were combined to form “TPC to author degree ratio”, referred to as</w:t>
      </w:r>
      <m:oMath>
        <m:sSub>
          <m:sSubPr>
            <m:ctrlPr>
              <w:rPr>
                <w:rFonts w:ascii="Cambria Math" w:hAnsi="Cambria Math" w:cs="Times New Roman"/>
                <w:sz w:val="20"/>
                <w:szCs w:val="20"/>
              </w:rPr>
            </m:ctrlPr>
          </m:sSubPr>
          <m:e>
            <m:r>
              <w:rPr>
                <w:rFonts w:ascii="Cambria Math" w:hAnsi="Cambria Math" w:cs="Times New Roman"/>
                <w:sz w:val="20"/>
                <w:szCs w:val="20"/>
              </w:rPr>
              <m:t xml:space="preserve"> r</m:t>
            </m:r>
          </m:e>
          <m:sub>
            <m:r>
              <w:rPr>
                <w:rFonts w:ascii="Cambria Math" w:hAnsi="Cambria Math" w:cs="Times New Roman"/>
                <w:sz w:val="20"/>
                <w:szCs w:val="20"/>
              </w:rPr>
              <m:t>d</m:t>
            </m:r>
          </m:sub>
        </m:sSub>
      </m:oMath>
      <w:r w:rsidR="0041464C" w:rsidRPr="001053F9">
        <w:rPr>
          <w:rFonts w:ascii="Times New Roman" w:hAnsi="Times New Roman" w:cs="Times New Roman"/>
          <w:sz w:val="20"/>
          <w:szCs w:val="20"/>
        </w:rPr>
        <w:t xml:space="preserve">, or the ratio between the average degree of TPC-authors and general conference authors. These two were then combined into the final “total-fairness-value”, </w:t>
      </w:r>
      <w:r w:rsidR="008077B2" w:rsidRPr="001053F9">
        <w:rPr>
          <w:rFonts w:ascii="Times New Roman" w:hAnsi="Times New Roman" w:cs="Times New Roman"/>
          <w:sz w:val="20"/>
          <w:szCs w:val="20"/>
        </w:rPr>
        <w:t xml:space="preserve">hereafter </w:t>
      </w:r>
      <w:r w:rsidR="0041464C" w:rsidRPr="001053F9">
        <w:rPr>
          <w:rFonts w:ascii="Times New Roman" w:hAnsi="Times New Roman" w:cs="Times New Roman"/>
          <w:sz w:val="20"/>
          <w:szCs w:val="20"/>
        </w:rPr>
        <w:t>referred to as</w:t>
      </w: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oMath>
      <w:r w:rsidR="0041464C" w:rsidRPr="001053F9">
        <w:rPr>
          <w:rFonts w:ascii="Times New Roman" w:hAnsi="Times New Roman" w:cs="Times New Roman"/>
          <w:sz w:val="20"/>
          <w:szCs w:val="20"/>
        </w:rPr>
        <w:t>. The formula is written below.</w:t>
      </w:r>
    </w:p>
    <w:p w:rsidR="0041464C" w:rsidRPr="001053F9" w:rsidRDefault="00AA4B24" w:rsidP="00E60989">
      <w:pPr>
        <w:pStyle w:val="ListParagraph"/>
        <w:ind w:left="360"/>
        <w:jc w:val="both"/>
        <w:rPr>
          <w:rFonts w:ascii="Times New Roman" w:eastAsiaTheme="minorEastAsia" w:hAnsi="Times New Roman" w:cs="Times New Roman"/>
          <w:szCs w:val="20"/>
        </w:rPr>
      </w:pPr>
      <m:oMathPara>
        <m:oMathParaPr>
          <m:jc m:val="left"/>
        </m:oMathParaPr>
        <m:oMath>
          <m:sSub>
            <m:sSubPr>
              <m:ctrlPr>
                <w:rPr>
                  <w:rFonts w:ascii="Cambria Math" w:hAnsi="Cambria Math" w:cs="Times New Roman"/>
                  <w:b/>
                  <w:szCs w:val="20"/>
                </w:rPr>
              </m:ctrlPr>
            </m:sSubPr>
            <m:e>
              <m:r>
                <m:rPr>
                  <m:sty m:val="bi"/>
                </m:rPr>
                <w:rPr>
                  <w:rFonts w:ascii="Cambria Math" w:hAnsi="Cambria Math" w:cs="Times New Roman"/>
                  <w:szCs w:val="20"/>
                </w:rPr>
                <m:t>r</m:t>
              </m:r>
            </m:e>
            <m:sub>
              <m:r>
                <m:rPr>
                  <m:sty m:val="bi"/>
                </m:rPr>
                <w:rPr>
                  <w:rFonts w:ascii="Cambria Math" w:hAnsi="Cambria Math" w:cs="Times New Roman"/>
                  <w:szCs w:val="20"/>
                </w:rPr>
                <m:t>c</m:t>
              </m:r>
            </m:sub>
          </m:sSub>
          <m:r>
            <w:rPr>
              <w:rFonts w:ascii="Cambria Math" w:hAnsi="Cambria Math" w:cs="Times New Roman"/>
              <w:szCs w:val="20"/>
            </w:rPr>
            <m:t>=10 ×</m:t>
          </m:r>
          <m:f>
            <m:fPr>
              <m:ctrlPr>
                <w:rPr>
                  <w:rFonts w:ascii="Cambria Math" w:hAnsi="Cambria Math" w:cs="Times New Roman"/>
                  <w:szCs w:val="20"/>
                </w:rPr>
              </m:ctrlPr>
            </m:fPr>
            <m:num>
              <m:sSub>
                <m:sSubPr>
                  <m:ctrlPr>
                    <w:rPr>
                      <w:rFonts w:ascii="Cambria Math" w:hAnsi="Cambria Math" w:cs="Times New Roman"/>
                      <w:szCs w:val="20"/>
                    </w:rPr>
                  </m:ctrlPr>
                </m:sSubPr>
                <m:e>
                  <m:r>
                    <w:rPr>
                      <w:rFonts w:ascii="Cambria Math" w:hAnsi="Cambria Math" w:cs="Times New Roman"/>
                      <w:szCs w:val="20"/>
                    </w:rPr>
                    <m:t>c</m:t>
                  </m:r>
                </m:e>
                <m:sub>
                  <m:r>
                    <w:rPr>
                      <w:rFonts w:ascii="Cambria Math" w:hAnsi="Cambria Math" w:cs="Times New Roman"/>
                      <w:szCs w:val="20"/>
                    </w:rPr>
                    <m:t>tpc-a</m:t>
                  </m:r>
                </m:sub>
              </m:sSub>
            </m:num>
            <m:den>
              <m:sSub>
                <m:sSubPr>
                  <m:ctrlPr>
                    <w:rPr>
                      <w:rFonts w:ascii="Cambria Math" w:hAnsi="Cambria Math" w:cs="Times New Roman"/>
                      <w:szCs w:val="20"/>
                    </w:rPr>
                  </m:ctrlPr>
                </m:sSubPr>
                <m:e>
                  <m:r>
                    <w:rPr>
                      <w:rFonts w:ascii="Cambria Math" w:hAnsi="Cambria Math" w:cs="Times New Roman"/>
                      <w:szCs w:val="20"/>
                    </w:rPr>
                    <m:t>c</m:t>
                  </m:r>
                </m:e>
                <m:sub>
                  <m:r>
                    <w:rPr>
                      <w:rFonts w:ascii="Cambria Math" w:hAnsi="Cambria Math" w:cs="Times New Roman"/>
                      <w:szCs w:val="20"/>
                    </w:rPr>
                    <m:t>a</m:t>
                  </m:r>
                </m:sub>
              </m:sSub>
            </m:den>
          </m:f>
          <m:r>
            <w:rPr>
              <w:rFonts w:ascii="Cambria Math" w:hAnsi="Cambria Math" w:cs="Times New Roman"/>
              <w:szCs w:val="20"/>
            </w:rPr>
            <m:t xml:space="preserve">           </m:t>
          </m:r>
          <m:sSub>
            <m:sSubPr>
              <m:ctrlPr>
                <w:rPr>
                  <w:rFonts w:ascii="Cambria Math" w:hAnsi="Cambria Math" w:cs="Times New Roman"/>
                  <w:b/>
                  <w:szCs w:val="20"/>
                </w:rPr>
              </m:ctrlPr>
            </m:sSubPr>
            <m:e>
              <m:r>
                <m:rPr>
                  <m:sty m:val="bi"/>
                </m:rPr>
                <w:rPr>
                  <w:rFonts w:ascii="Cambria Math" w:hAnsi="Cambria Math" w:cs="Times New Roman"/>
                  <w:szCs w:val="20"/>
                </w:rPr>
                <m:t>r</m:t>
              </m:r>
            </m:e>
            <m:sub>
              <m:r>
                <m:rPr>
                  <m:sty m:val="bi"/>
                </m:rPr>
                <w:rPr>
                  <w:rFonts w:ascii="Cambria Math" w:hAnsi="Cambria Math" w:cs="Times New Roman"/>
                  <w:szCs w:val="20"/>
                </w:rPr>
                <m:t>d</m:t>
              </m:r>
            </m:sub>
          </m:sSub>
          <m:r>
            <w:rPr>
              <w:rFonts w:ascii="Cambria Math" w:hAnsi="Cambria Math" w:cs="Times New Roman"/>
              <w:szCs w:val="20"/>
            </w:rPr>
            <m:t>=</m:t>
          </m:r>
          <m:f>
            <m:fPr>
              <m:ctrlPr>
                <w:rPr>
                  <w:rFonts w:ascii="Cambria Math" w:hAnsi="Cambria Math" w:cs="Times New Roman"/>
                  <w:szCs w:val="20"/>
                </w:rPr>
              </m:ctrlPr>
            </m:fPr>
            <m:num>
              <m:sSub>
                <m:sSubPr>
                  <m:ctrlPr>
                    <w:rPr>
                      <w:rFonts w:ascii="Cambria Math" w:hAnsi="Cambria Math" w:cs="Times New Roman"/>
                      <w:szCs w:val="20"/>
                    </w:rPr>
                  </m:ctrlPr>
                </m:sSubPr>
                <m:e>
                  <m:r>
                    <w:rPr>
                      <w:rFonts w:ascii="Cambria Math" w:hAnsi="Cambria Math" w:cs="Times New Roman"/>
                      <w:szCs w:val="20"/>
                    </w:rPr>
                    <m:t>d</m:t>
                  </m:r>
                </m:e>
                <m:sub>
                  <m:r>
                    <w:rPr>
                      <w:rFonts w:ascii="Cambria Math" w:hAnsi="Cambria Math" w:cs="Times New Roman"/>
                      <w:szCs w:val="20"/>
                    </w:rPr>
                    <m:t>tpc-a</m:t>
                  </m:r>
                </m:sub>
              </m:sSub>
            </m:num>
            <m:den>
              <m:sSub>
                <m:sSubPr>
                  <m:ctrlPr>
                    <w:rPr>
                      <w:rFonts w:ascii="Cambria Math" w:hAnsi="Cambria Math" w:cs="Times New Roman"/>
                      <w:szCs w:val="20"/>
                    </w:rPr>
                  </m:ctrlPr>
                </m:sSubPr>
                <m:e>
                  <m:r>
                    <w:rPr>
                      <w:rFonts w:ascii="Cambria Math" w:hAnsi="Cambria Math" w:cs="Times New Roman"/>
                      <w:szCs w:val="20"/>
                    </w:rPr>
                    <m:t>d</m:t>
                  </m:r>
                </m:e>
                <m:sub>
                  <m:r>
                    <w:rPr>
                      <w:rFonts w:ascii="Cambria Math" w:hAnsi="Cambria Math" w:cs="Times New Roman"/>
                      <w:szCs w:val="20"/>
                    </w:rPr>
                    <m:t>a</m:t>
                  </m:r>
                </m:sub>
              </m:sSub>
            </m:den>
          </m:f>
        </m:oMath>
      </m:oMathPara>
    </w:p>
    <w:p w:rsidR="009D5C9B" w:rsidRPr="001053F9" w:rsidRDefault="009D5C9B" w:rsidP="009D5C9B">
      <w:pPr>
        <w:jc w:val="center"/>
        <w:rPr>
          <w:rFonts w:ascii="Times New Roman" w:eastAsiaTheme="minorEastAsia" w:hAnsi="Times New Roman" w:cs="Times New Roman"/>
          <w:sz w:val="18"/>
          <w:szCs w:val="20"/>
        </w:rPr>
      </w:pPr>
      <w:r w:rsidRPr="001053F9">
        <w:rPr>
          <w:rFonts w:ascii="Times New Roman" w:hAnsi="Times New Roman" w:cs="Times New Roman"/>
          <w:sz w:val="18"/>
          <w:szCs w:val="20"/>
        </w:rPr>
        <w:t xml:space="preserve">NB: </w:t>
      </w:r>
      <w:r w:rsidR="00D331F4" w:rsidRPr="001053F9">
        <w:rPr>
          <w:rFonts w:ascii="Times New Roman" w:eastAsiaTheme="minorEastAsia" w:hAnsi="Times New Roman" w:cs="Times New Roman"/>
          <w:sz w:val="18"/>
          <w:szCs w:val="20"/>
        </w:rPr>
        <w:t>The initial value of</w:t>
      </w:r>
      <m:oMath>
        <m:sSub>
          <m:sSubPr>
            <m:ctrlPr>
              <w:rPr>
                <w:rFonts w:ascii="Cambria Math" w:hAnsi="Cambria Math" w:cs="Times New Roman"/>
                <w:sz w:val="18"/>
                <w:szCs w:val="20"/>
              </w:rPr>
            </m:ctrlPr>
          </m:sSubPr>
          <m:e>
            <m:r>
              <w:rPr>
                <w:rFonts w:ascii="Cambria Math" w:hAnsi="Cambria Math" w:cs="Times New Roman"/>
                <w:sz w:val="18"/>
                <w:szCs w:val="20"/>
              </w:rPr>
              <m:t xml:space="preserve"> r</m:t>
            </m:r>
          </m:e>
          <m:sub>
            <m:r>
              <w:rPr>
                <w:rFonts w:ascii="Cambria Math" w:hAnsi="Cambria Math" w:cs="Times New Roman"/>
                <w:sz w:val="18"/>
                <w:szCs w:val="20"/>
              </w:rPr>
              <m:t>c</m:t>
            </m:r>
          </m:sub>
        </m:sSub>
      </m:oMath>
      <w:r w:rsidRPr="001053F9">
        <w:rPr>
          <w:rFonts w:ascii="Times New Roman" w:hAnsi="Times New Roman" w:cs="Times New Roman"/>
          <w:sz w:val="18"/>
          <w:szCs w:val="20"/>
        </w:rPr>
        <w:t xml:space="preserve"> was mu</w:t>
      </w:r>
      <w:r w:rsidR="00537B09" w:rsidRPr="001053F9">
        <w:rPr>
          <w:rFonts w:ascii="Times New Roman" w:hAnsi="Times New Roman" w:cs="Times New Roman"/>
          <w:sz w:val="18"/>
          <w:szCs w:val="20"/>
        </w:rPr>
        <w:t xml:space="preserve">ltiplied by 10 to normalize it </w:t>
      </w:r>
      <w:r w:rsidRPr="001053F9">
        <w:rPr>
          <w:rFonts w:ascii="Times New Roman" w:hAnsi="Times New Roman" w:cs="Times New Roman"/>
          <w:sz w:val="18"/>
          <w:szCs w:val="20"/>
        </w:rPr>
        <w:t xml:space="preserve">to the same level as </w:t>
      </w:r>
      <m:oMath>
        <m:sSub>
          <m:sSubPr>
            <m:ctrlPr>
              <w:rPr>
                <w:rFonts w:ascii="Cambria Math" w:hAnsi="Cambria Math" w:cs="Times New Roman"/>
                <w:sz w:val="18"/>
                <w:szCs w:val="20"/>
              </w:rPr>
            </m:ctrlPr>
          </m:sSubPr>
          <m:e>
            <m:r>
              <w:rPr>
                <w:rFonts w:ascii="Cambria Math" w:hAnsi="Cambria Math" w:cs="Times New Roman"/>
                <w:sz w:val="18"/>
                <w:szCs w:val="20"/>
              </w:rPr>
              <m:t xml:space="preserve"> r</m:t>
            </m:r>
          </m:e>
          <m:sub>
            <m:r>
              <w:rPr>
                <w:rFonts w:ascii="Cambria Math" w:hAnsi="Cambria Math" w:cs="Times New Roman"/>
                <w:sz w:val="18"/>
                <w:szCs w:val="20"/>
              </w:rPr>
              <m:t>d</m:t>
            </m:r>
          </m:sub>
        </m:sSub>
      </m:oMath>
    </w:p>
    <w:p w:rsidR="00E10BF5" w:rsidRPr="001053F9" w:rsidRDefault="00E10BF5" w:rsidP="009D5C9B">
      <w:pPr>
        <w:jc w:val="center"/>
        <w:rPr>
          <w:rFonts w:ascii="Times New Roman" w:eastAsiaTheme="minorEastAsia" w:hAnsi="Times New Roman" w:cs="Times New Roman"/>
          <w:szCs w:val="20"/>
        </w:rPr>
      </w:pPr>
      <m:oMathPara>
        <m:oMath>
          <m:sSub>
            <m:sSubPr>
              <m:ctrlPr>
                <w:rPr>
                  <w:rFonts w:ascii="Cambria Math" w:hAnsi="Cambria Math" w:cs="Times New Roman"/>
                  <w:b/>
                  <w:szCs w:val="20"/>
                </w:rPr>
              </m:ctrlPr>
            </m:sSubPr>
            <m:e>
              <m:r>
                <m:rPr>
                  <m:sty m:val="bi"/>
                </m:rPr>
                <w:rPr>
                  <w:rFonts w:ascii="Cambria Math" w:hAnsi="Cambria Math" w:cs="Times New Roman"/>
                  <w:szCs w:val="20"/>
                </w:rPr>
                <m:t>v</m:t>
              </m:r>
            </m:e>
            <m:sub>
              <m:r>
                <m:rPr>
                  <m:sty m:val="bi"/>
                </m:rPr>
                <w:rPr>
                  <w:rFonts w:ascii="Cambria Math" w:hAnsi="Cambria Math" w:cs="Times New Roman"/>
                  <w:szCs w:val="20"/>
                </w:rPr>
                <m:t>f</m:t>
              </m:r>
            </m:sub>
          </m:sSub>
          <m:r>
            <w:rPr>
              <w:rFonts w:ascii="Cambria Math" w:hAnsi="Cambria Math" w:cs="Times New Roman"/>
              <w:szCs w:val="20"/>
            </w:rPr>
            <m:t xml:space="preserve">=10× </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c</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d</m:t>
                  </m:r>
                </m:sub>
              </m:sSub>
            </m:num>
            <m:den>
              <m:r>
                <w:rPr>
                  <w:rFonts w:ascii="Cambria Math" w:hAnsi="Cambria Math" w:cs="Times New Roman"/>
                  <w:szCs w:val="20"/>
                </w:rPr>
                <m:t>2</m:t>
              </m:r>
            </m:den>
          </m:f>
        </m:oMath>
      </m:oMathPara>
    </w:p>
    <w:p w:rsidR="00E10BF5" w:rsidRPr="001053F9" w:rsidRDefault="00E10BF5" w:rsidP="00E10BF5">
      <w:pPr>
        <w:jc w:val="center"/>
        <w:rPr>
          <w:rFonts w:ascii="Times New Roman" w:eastAsiaTheme="minorEastAsia" w:hAnsi="Times New Roman" w:cs="Times New Roman"/>
          <w:i/>
          <w:sz w:val="18"/>
          <w:szCs w:val="20"/>
        </w:rPr>
      </w:pPr>
      <w:r w:rsidRPr="001053F9">
        <w:rPr>
          <w:rFonts w:ascii="Times New Roman" w:eastAsiaTheme="minorEastAsia" w:hAnsi="Times New Roman" w:cs="Times New Roman"/>
          <w:i/>
          <w:sz w:val="18"/>
          <w:szCs w:val="20"/>
        </w:rPr>
        <w:t>or</w:t>
      </w:r>
    </w:p>
    <w:p w:rsidR="002E684E" w:rsidRPr="001053F9" w:rsidRDefault="00AA4B24" w:rsidP="00E10BF5">
      <w:pPr>
        <w:jc w:val="center"/>
        <w:rPr>
          <w:rFonts w:ascii="Times New Roman" w:eastAsiaTheme="minorEastAsia" w:hAnsi="Times New Roman" w:cs="Times New Roman"/>
          <w:sz w:val="20"/>
          <w:szCs w:val="20"/>
        </w:rPr>
      </w:pPr>
      <m:oMathPara>
        <m:oMath>
          <m:sSub>
            <m:sSubPr>
              <m:ctrlPr>
                <w:rPr>
                  <w:rFonts w:ascii="Cambria Math" w:hAnsi="Cambria Math" w:cs="Times New Roman"/>
                  <w:b/>
                  <w:i/>
                  <w:szCs w:val="20"/>
                </w:rPr>
              </m:ctrlPr>
            </m:sSubPr>
            <m:e>
              <m:r>
                <m:rPr>
                  <m:sty m:val="bi"/>
                </m:rPr>
                <w:rPr>
                  <w:rFonts w:ascii="Cambria Math" w:hAnsi="Cambria Math" w:cs="Times New Roman"/>
                  <w:szCs w:val="20"/>
                </w:rPr>
                <m:t>v</m:t>
              </m:r>
            </m:e>
            <m:sub>
              <m:r>
                <m:rPr>
                  <m:sty m:val="bi"/>
                </m:rPr>
                <w:rPr>
                  <w:rFonts w:ascii="Cambria Math" w:hAnsi="Cambria Math" w:cs="Times New Roman"/>
                  <w:szCs w:val="20"/>
                </w:rPr>
                <m:t>f</m:t>
              </m:r>
            </m:sub>
          </m:sSub>
          <m:r>
            <w:rPr>
              <w:rFonts w:ascii="Cambria Math" w:hAnsi="Cambria Math" w:cs="Times New Roman"/>
              <w:szCs w:val="20"/>
            </w:rPr>
            <m:t>=10×</m:t>
          </m:r>
          <m:f>
            <m:fPr>
              <m:ctrlPr>
                <w:rPr>
                  <w:rFonts w:ascii="Cambria Math" w:hAnsi="Cambria Math" w:cs="Times New Roman"/>
                  <w:szCs w:val="20"/>
                </w:rPr>
              </m:ctrlPr>
            </m:fPr>
            <m:num>
              <m:f>
                <m:fPr>
                  <m:ctrlPr>
                    <w:rPr>
                      <w:rFonts w:ascii="Cambria Math" w:hAnsi="Cambria Math" w:cs="Times New Roman"/>
                      <w:szCs w:val="20"/>
                    </w:rPr>
                  </m:ctrlPr>
                </m:fPr>
                <m:num>
                  <m:sSub>
                    <m:sSubPr>
                      <m:ctrlPr>
                        <w:rPr>
                          <w:rFonts w:ascii="Cambria Math" w:hAnsi="Cambria Math" w:cs="Times New Roman"/>
                          <w:szCs w:val="20"/>
                        </w:rPr>
                      </m:ctrlPr>
                    </m:sSubPr>
                    <m:e>
                      <m:r>
                        <w:rPr>
                          <w:rFonts w:ascii="Cambria Math" w:hAnsi="Cambria Math" w:cs="Times New Roman"/>
                          <w:szCs w:val="20"/>
                        </w:rPr>
                        <m:t>c</m:t>
                      </m:r>
                    </m:e>
                    <m:sub>
                      <m:r>
                        <w:rPr>
                          <w:rFonts w:ascii="Cambria Math" w:hAnsi="Cambria Math" w:cs="Times New Roman"/>
                          <w:szCs w:val="20"/>
                        </w:rPr>
                        <m:t>tpc-a</m:t>
                      </m:r>
                    </m:sub>
                  </m:sSub>
                </m:num>
                <m:den>
                  <m:sSub>
                    <m:sSubPr>
                      <m:ctrlPr>
                        <w:rPr>
                          <w:rFonts w:ascii="Cambria Math" w:hAnsi="Cambria Math" w:cs="Times New Roman"/>
                          <w:szCs w:val="20"/>
                        </w:rPr>
                      </m:ctrlPr>
                    </m:sSubPr>
                    <m:e>
                      <m:r>
                        <w:rPr>
                          <w:rFonts w:ascii="Cambria Math" w:hAnsi="Cambria Math" w:cs="Times New Roman"/>
                          <w:szCs w:val="20"/>
                        </w:rPr>
                        <m:t>c</m:t>
                      </m:r>
                    </m:e>
                    <m:sub>
                      <m:r>
                        <w:rPr>
                          <w:rFonts w:ascii="Cambria Math" w:hAnsi="Cambria Math" w:cs="Times New Roman"/>
                          <w:szCs w:val="20"/>
                        </w:rPr>
                        <m:t>a</m:t>
                      </m:r>
                    </m:sub>
                  </m:sSub>
                </m:den>
              </m:f>
              <m:r>
                <w:rPr>
                  <w:rFonts w:ascii="Cambria Math" w:hAnsi="Cambria Math" w:cs="Times New Roman"/>
                  <w:szCs w:val="20"/>
                </w:rPr>
                <m:t xml:space="preserve">+ </m:t>
              </m:r>
              <m:f>
                <m:fPr>
                  <m:ctrlPr>
                    <w:rPr>
                      <w:rFonts w:ascii="Cambria Math" w:hAnsi="Cambria Math" w:cs="Times New Roman"/>
                      <w:szCs w:val="20"/>
                    </w:rPr>
                  </m:ctrlPr>
                </m:fPr>
                <m:num>
                  <m:sSub>
                    <m:sSubPr>
                      <m:ctrlPr>
                        <w:rPr>
                          <w:rFonts w:ascii="Cambria Math" w:hAnsi="Cambria Math" w:cs="Times New Roman"/>
                          <w:szCs w:val="20"/>
                        </w:rPr>
                      </m:ctrlPr>
                    </m:sSubPr>
                    <m:e>
                      <m:r>
                        <w:rPr>
                          <w:rFonts w:ascii="Cambria Math" w:hAnsi="Cambria Math" w:cs="Times New Roman"/>
                          <w:szCs w:val="20"/>
                        </w:rPr>
                        <m:t>d</m:t>
                      </m:r>
                    </m:e>
                    <m:sub>
                      <m:r>
                        <w:rPr>
                          <w:rFonts w:ascii="Cambria Math" w:hAnsi="Cambria Math" w:cs="Times New Roman"/>
                          <w:szCs w:val="20"/>
                        </w:rPr>
                        <m:t>tpc-a</m:t>
                      </m:r>
                    </m:sub>
                  </m:sSub>
                </m:num>
                <m:den>
                  <m:sSub>
                    <m:sSubPr>
                      <m:ctrlPr>
                        <w:rPr>
                          <w:rFonts w:ascii="Cambria Math" w:hAnsi="Cambria Math" w:cs="Times New Roman"/>
                          <w:szCs w:val="20"/>
                        </w:rPr>
                      </m:ctrlPr>
                    </m:sSubPr>
                    <m:e>
                      <m:r>
                        <w:rPr>
                          <w:rFonts w:ascii="Cambria Math" w:hAnsi="Cambria Math" w:cs="Times New Roman"/>
                          <w:szCs w:val="20"/>
                        </w:rPr>
                        <m:t>d</m:t>
                      </m:r>
                    </m:e>
                    <m:sub>
                      <m:r>
                        <w:rPr>
                          <w:rFonts w:ascii="Cambria Math" w:hAnsi="Cambria Math" w:cs="Times New Roman"/>
                          <w:szCs w:val="20"/>
                        </w:rPr>
                        <m:t>a</m:t>
                      </m:r>
                    </m:sub>
                  </m:sSub>
                </m:den>
              </m:f>
            </m:num>
            <m:den>
              <m:r>
                <w:rPr>
                  <w:rFonts w:ascii="Cambria Math" w:hAnsi="Cambria Math" w:cs="Times New Roman"/>
                  <w:szCs w:val="20"/>
                </w:rPr>
                <m:t>2</m:t>
              </m:r>
            </m:den>
          </m:f>
        </m:oMath>
      </m:oMathPara>
    </w:p>
    <w:p w:rsidR="0041464C" w:rsidRPr="001053F9" w:rsidRDefault="00882BC7" w:rsidP="0041464C">
      <w:pPr>
        <w:rPr>
          <w:rFonts w:ascii="Times New Roman" w:hAnsi="Times New Roman" w:cs="Times New Roman"/>
          <w:sz w:val="20"/>
          <w:szCs w:val="20"/>
        </w:rPr>
      </w:pPr>
      <w:r w:rsidRPr="001053F9">
        <w:rPr>
          <w:rFonts w:ascii="Times New Roman" w:hAnsi="Times New Roman" w:cs="Times New Roman"/>
          <w:sz w:val="20"/>
          <w:szCs w:val="20"/>
        </w:rPr>
        <w:t xml:space="preserve">This formula was then applied to two different conferences </w:t>
      </w:r>
      <w:r w:rsidR="00D05424" w:rsidRPr="001053F9">
        <w:rPr>
          <w:rFonts w:ascii="Times New Roman" w:hAnsi="Times New Roman" w:cs="Times New Roman"/>
          <w:sz w:val="20"/>
          <w:szCs w:val="20"/>
        </w:rPr>
        <w:t xml:space="preserve">(NOCS and ICCAD) </w:t>
      </w:r>
      <w:r w:rsidRPr="001053F9">
        <w:rPr>
          <w:rFonts w:ascii="Times New Roman" w:hAnsi="Times New Roman" w:cs="Times New Roman"/>
          <w:sz w:val="20"/>
          <w:szCs w:val="20"/>
        </w:rPr>
        <w:t>over a five year period</w:t>
      </w:r>
      <w:r w:rsidR="00D05424" w:rsidRPr="001053F9">
        <w:rPr>
          <w:rFonts w:ascii="Times New Roman" w:hAnsi="Times New Roman" w:cs="Times New Roman"/>
          <w:sz w:val="20"/>
          <w:szCs w:val="20"/>
        </w:rPr>
        <w:t xml:space="preserve"> (from 2010 and 2014), to determine fairness values </w:t>
      </w:r>
      <w:r w:rsidR="00FB5E85" w:rsidRPr="001053F9">
        <w:rPr>
          <w:rFonts w:ascii="Times New Roman" w:hAnsi="Times New Roman" w:cs="Times New Roman"/>
          <w:sz w:val="20"/>
          <w:szCs w:val="20"/>
        </w:rPr>
        <w:t>of the conferences in each year</w:t>
      </w:r>
      <w:r w:rsidRPr="001053F9">
        <w:rPr>
          <w:rFonts w:ascii="Times New Roman" w:hAnsi="Times New Roman" w:cs="Times New Roman"/>
          <w:sz w:val="20"/>
          <w:szCs w:val="20"/>
        </w:rPr>
        <w:t xml:space="preserve">. </w:t>
      </w:r>
      <w:r w:rsidR="00581EE5" w:rsidRPr="001053F9">
        <w:rPr>
          <w:rFonts w:ascii="Times New Roman" w:hAnsi="Times New Roman" w:cs="Times New Roman"/>
          <w:sz w:val="20"/>
          <w:szCs w:val="20"/>
        </w:rPr>
        <w:t xml:space="preserve">After </w:t>
      </w:r>
      <w:r w:rsidR="00F0496F" w:rsidRPr="001053F9">
        <w:rPr>
          <w:rFonts w:ascii="Times New Roman" w:hAnsi="Times New Roman" w:cs="Times New Roman"/>
          <w:sz w:val="20"/>
          <w:szCs w:val="20"/>
        </w:rPr>
        <w:t xml:space="preserve">the numbers had been determined, they were </w:t>
      </w:r>
      <w:r w:rsidR="002F6B92" w:rsidRPr="001053F9">
        <w:rPr>
          <w:rFonts w:ascii="Times New Roman" w:hAnsi="Times New Roman" w:cs="Times New Roman"/>
          <w:sz w:val="20"/>
          <w:szCs w:val="20"/>
        </w:rPr>
        <w:t>compared with the “fairness” determined from manual visual analysis of the same conferences.</w:t>
      </w:r>
    </w:p>
    <w:p w:rsidR="00BC0085" w:rsidRPr="001053F9" w:rsidRDefault="00BC0085" w:rsidP="002D5622">
      <w:pPr>
        <w:pStyle w:val="Heading1"/>
        <w:numPr>
          <w:ilvl w:val="0"/>
          <w:numId w:val="6"/>
        </w:numPr>
        <w:spacing w:line="360" w:lineRule="auto"/>
        <w:jc w:val="center"/>
        <w:rPr>
          <w:rFonts w:ascii="Times New Roman" w:hAnsi="Times New Roman" w:cs="Times New Roman"/>
          <w:color w:val="000000" w:themeColor="text1"/>
          <w:sz w:val="16"/>
          <w:szCs w:val="20"/>
        </w:rPr>
      </w:pPr>
      <w:r w:rsidRPr="001053F9">
        <w:rPr>
          <w:rFonts w:ascii="Times New Roman" w:hAnsi="Times New Roman" w:cs="Times New Roman"/>
          <w:color w:val="000000" w:themeColor="text1"/>
          <w:sz w:val="20"/>
          <w:szCs w:val="20"/>
        </w:rPr>
        <w:lastRenderedPageBreak/>
        <w:t>R</w:t>
      </w:r>
      <w:r w:rsidRPr="001053F9">
        <w:rPr>
          <w:rFonts w:ascii="Times New Roman" w:hAnsi="Times New Roman" w:cs="Times New Roman"/>
          <w:color w:val="000000" w:themeColor="text1"/>
          <w:sz w:val="16"/>
          <w:szCs w:val="20"/>
        </w:rPr>
        <w:t>ESULTS</w:t>
      </w:r>
    </w:p>
    <w:p w:rsidR="00FE6D60" w:rsidRPr="001053F9" w:rsidRDefault="008077B2" w:rsidP="00FE6D60">
      <w:pPr>
        <w:rPr>
          <w:rFonts w:ascii="Times New Roman" w:eastAsiaTheme="minorEastAsia" w:hAnsi="Times New Roman" w:cs="Times New Roman"/>
          <w:sz w:val="20"/>
          <w:szCs w:val="20"/>
        </w:rPr>
      </w:pPr>
      <w:r w:rsidRPr="001053F9">
        <w:rPr>
          <w:rFonts w:ascii="Times New Roman" w:hAnsi="Times New Roman" w:cs="Times New Roman"/>
          <w:sz w:val="20"/>
          <w:szCs w:val="20"/>
        </w:rPr>
        <w:t xml:space="preserve">After </w:t>
      </w:r>
      <m:oMath>
        <m:sSub>
          <m:sSubPr>
            <m:ctrlPr>
              <w:rPr>
                <w:rFonts w:ascii="Cambria Math" w:hAnsi="Cambria Math" w:cs="Times New Roman"/>
                <w:b/>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f</m:t>
            </m:r>
          </m:sub>
        </m:sSub>
      </m:oMath>
      <w:r w:rsidRPr="001053F9">
        <w:rPr>
          <w:rFonts w:ascii="Times New Roman" w:eastAsiaTheme="minorEastAsia" w:hAnsi="Times New Roman" w:cs="Times New Roman"/>
          <w:b/>
          <w:sz w:val="20"/>
          <w:szCs w:val="20"/>
        </w:rPr>
        <w:t xml:space="preserve"> </w:t>
      </w:r>
      <w:r w:rsidRPr="001053F9">
        <w:rPr>
          <w:rFonts w:ascii="Times New Roman" w:eastAsiaTheme="minorEastAsia" w:hAnsi="Times New Roman" w:cs="Times New Roman"/>
          <w:sz w:val="20"/>
          <w:szCs w:val="20"/>
        </w:rPr>
        <w:t xml:space="preserve">had been computed for </w:t>
      </w:r>
      <w:r w:rsidR="00CA4409" w:rsidRPr="001053F9">
        <w:rPr>
          <w:rFonts w:ascii="Times New Roman" w:eastAsiaTheme="minorEastAsia" w:hAnsi="Times New Roman" w:cs="Times New Roman"/>
          <w:sz w:val="20"/>
          <w:szCs w:val="20"/>
        </w:rPr>
        <w:t>each year of the two selected</w:t>
      </w:r>
      <w:r w:rsidRPr="001053F9">
        <w:rPr>
          <w:rFonts w:ascii="Times New Roman" w:eastAsiaTheme="minorEastAsia" w:hAnsi="Times New Roman" w:cs="Times New Roman"/>
          <w:sz w:val="20"/>
          <w:szCs w:val="20"/>
        </w:rPr>
        <w:t xml:space="preserve"> conference</w:t>
      </w:r>
      <w:r w:rsidR="00CA4409" w:rsidRPr="001053F9">
        <w:rPr>
          <w:rFonts w:ascii="Times New Roman" w:eastAsiaTheme="minorEastAsia" w:hAnsi="Times New Roman" w:cs="Times New Roman"/>
          <w:sz w:val="20"/>
          <w:szCs w:val="20"/>
        </w:rPr>
        <w:t>s</w:t>
      </w:r>
      <w:r w:rsidRPr="001053F9">
        <w:rPr>
          <w:rFonts w:ascii="Times New Roman" w:eastAsiaTheme="minorEastAsia" w:hAnsi="Times New Roman" w:cs="Times New Roman"/>
          <w:sz w:val="20"/>
          <w:szCs w:val="20"/>
        </w:rPr>
        <w:t>, the results were tabulated</w:t>
      </w:r>
      <w:r w:rsidR="00E01049" w:rsidRPr="001053F9">
        <w:rPr>
          <w:rFonts w:ascii="Times New Roman" w:eastAsiaTheme="minorEastAsia" w:hAnsi="Times New Roman" w:cs="Times New Roman"/>
          <w:sz w:val="20"/>
          <w:szCs w:val="20"/>
        </w:rPr>
        <w:t xml:space="preserve"> and mapped over time to provide a variety of data to observe.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929"/>
        <w:gridCol w:w="900"/>
      </w:tblGrid>
      <w:tr w:rsidR="0078504B" w:rsidRPr="001053F9" w:rsidTr="00E50696">
        <w:trPr>
          <w:trHeight w:val="432"/>
        </w:trPr>
        <w:tc>
          <w:tcPr>
            <w:tcW w:w="0" w:type="auto"/>
            <w:tcBorders>
              <w:bottom w:val="single" w:sz="4" w:space="0" w:color="auto"/>
            </w:tcBorders>
            <w:vAlign w:val="center"/>
          </w:tcPr>
          <w:p w:rsidR="0078504B" w:rsidRPr="001053F9" w:rsidRDefault="0078504B" w:rsidP="001664C5">
            <w:pPr>
              <w:jc w:val="both"/>
              <w:rPr>
                <w:rFonts w:ascii="Times New Roman" w:hAnsi="Times New Roman" w:cs="Times New Roman"/>
                <w:i/>
              </w:rPr>
            </w:pPr>
            <w:r w:rsidRPr="001053F9">
              <w:rPr>
                <w:rFonts w:ascii="Times New Roman" w:hAnsi="Times New Roman" w:cs="Times New Roman"/>
                <w:i/>
              </w:rPr>
              <w:t>Con</w:t>
            </w:r>
            <w:r w:rsidR="00B40EA4" w:rsidRPr="001053F9">
              <w:rPr>
                <w:rFonts w:ascii="Times New Roman" w:hAnsi="Times New Roman" w:cs="Times New Roman"/>
                <w:i/>
              </w:rPr>
              <w:t>f</w:t>
            </w:r>
            <w:r w:rsidR="003A7821" w:rsidRPr="001053F9">
              <w:rPr>
                <w:rFonts w:ascii="Times New Roman" w:hAnsi="Times New Roman" w:cs="Times New Roman"/>
                <w:i/>
              </w:rPr>
              <w:t>erence</w:t>
            </w:r>
          </w:p>
        </w:tc>
        <w:tc>
          <w:tcPr>
            <w:tcW w:w="929" w:type="dxa"/>
            <w:tcBorders>
              <w:bottom w:val="single" w:sz="4" w:space="0" w:color="auto"/>
            </w:tcBorders>
            <w:vAlign w:val="center"/>
          </w:tcPr>
          <w:p w:rsidR="0078504B" w:rsidRPr="001053F9" w:rsidRDefault="0078504B" w:rsidP="004E628F">
            <w:pPr>
              <w:jc w:val="right"/>
              <w:rPr>
                <w:rFonts w:ascii="Times New Roman" w:hAnsi="Times New Roman" w:cs="Times New Roman"/>
                <w:i/>
              </w:rPr>
            </w:pPr>
            <w:r w:rsidRPr="001053F9">
              <w:rPr>
                <w:rFonts w:ascii="Times New Roman" w:hAnsi="Times New Roman" w:cs="Times New Roman"/>
                <w:i/>
              </w:rPr>
              <w:t>Year</w:t>
            </w:r>
          </w:p>
        </w:tc>
        <w:tc>
          <w:tcPr>
            <w:tcW w:w="900" w:type="dxa"/>
            <w:tcBorders>
              <w:bottom w:val="single" w:sz="4" w:space="0" w:color="auto"/>
            </w:tcBorders>
            <w:vAlign w:val="center"/>
          </w:tcPr>
          <w:p w:rsidR="0078504B" w:rsidRPr="001053F9" w:rsidRDefault="00AA4B24" w:rsidP="004E628F">
            <w:pPr>
              <w:jc w:val="right"/>
              <w:rPr>
                <w:rFonts w:ascii="Times New Roman" w:hAnsi="Times New Roman" w:cs="Times New Roman"/>
                <w:b/>
                <w:i/>
              </w:rPr>
            </w:pPr>
            <m:oMathPara>
              <m:oMathParaPr>
                <m:jc m:val="right"/>
              </m:oMathParaP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f</m:t>
                    </m:r>
                  </m:sub>
                </m:sSub>
              </m:oMath>
            </m:oMathPara>
          </w:p>
        </w:tc>
      </w:tr>
      <w:tr w:rsidR="0078504B" w:rsidRPr="001053F9" w:rsidTr="00E50696">
        <w:trPr>
          <w:trHeight w:val="374"/>
        </w:trPr>
        <w:tc>
          <w:tcPr>
            <w:tcW w:w="0" w:type="auto"/>
            <w:tcBorders>
              <w:top w:val="single" w:sz="4" w:space="0" w:color="auto"/>
            </w:tcBorders>
            <w:vAlign w:val="bottom"/>
          </w:tcPr>
          <w:p w:rsidR="0078504B" w:rsidRPr="001053F9" w:rsidRDefault="0078504B" w:rsidP="007F7B03">
            <w:pPr>
              <w:rPr>
                <w:rFonts w:ascii="Times New Roman" w:hAnsi="Times New Roman" w:cs="Times New Roman"/>
              </w:rPr>
            </w:pPr>
            <w:r w:rsidRPr="001053F9">
              <w:rPr>
                <w:rFonts w:ascii="Times New Roman" w:hAnsi="Times New Roman" w:cs="Times New Roman"/>
              </w:rPr>
              <w:t>NOCS</w:t>
            </w:r>
          </w:p>
        </w:tc>
        <w:tc>
          <w:tcPr>
            <w:tcW w:w="929" w:type="dxa"/>
            <w:tcBorders>
              <w:top w:val="single" w:sz="4" w:space="0" w:color="auto"/>
            </w:tcBorders>
            <w:vAlign w:val="bottom"/>
          </w:tcPr>
          <w:p w:rsidR="0078504B" w:rsidRPr="001053F9" w:rsidRDefault="007F7B03" w:rsidP="007F7B03">
            <w:pPr>
              <w:jc w:val="right"/>
              <w:rPr>
                <w:rFonts w:ascii="Times New Roman" w:hAnsi="Times New Roman" w:cs="Times New Roman"/>
              </w:rPr>
            </w:pPr>
            <w:r w:rsidRPr="001053F9">
              <w:rPr>
                <w:rFonts w:ascii="Times New Roman" w:hAnsi="Times New Roman" w:cs="Times New Roman"/>
              </w:rPr>
              <w:t>2010</w:t>
            </w:r>
          </w:p>
        </w:tc>
        <w:tc>
          <w:tcPr>
            <w:tcW w:w="900" w:type="dxa"/>
            <w:tcBorders>
              <w:top w:val="single" w:sz="4" w:space="0" w:color="auto"/>
            </w:tcBorders>
            <w:vAlign w:val="bottom"/>
          </w:tcPr>
          <w:p w:rsidR="0078504B" w:rsidRPr="001053F9" w:rsidRDefault="004E628F" w:rsidP="004E628F">
            <w:pPr>
              <w:jc w:val="right"/>
              <w:rPr>
                <w:rFonts w:ascii="Times New Roman" w:hAnsi="Times New Roman" w:cs="Times New Roman"/>
              </w:rPr>
            </w:pPr>
            <w:r w:rsidRPr="001053F9">
              <w:rPr>
                <w:rFonts w:ascii="Times New Roman" w:hAnsi="Times New Roman" w:cs="Times New Roman"/>
              </w:rPr>
              <w:t>3.2</w:t>
            </w:r>
          </w:p>
        </w:tc>
      </w:tr>
      <w:tr w:rsidR="0078504B" w:rsidRPr="001053F9" w:rsidTr="00E50696">
        <w:tc>
          <w:tcPr>
            <w:tcW w:w="0" w:type="auto"/>
          </w:tcPr>
          <w:p w:rsidR="0078504B" w:rsidRPr="001053F9" w:rsidRDefault="0078504B" w:rsidP="0078504B">
            <w:pPr>
              <w:jc w:val="both"/>
              <w:rPr>
                <w:rFonts w:ascii="Times New Roman" w:hAnsi="Times New Roman" w:cs="Times New Roman"/>
              </w:rPr>
            </w:pPr>
          </w:p>
        </w:tc>
        <w:tc>
          <w:tcPr>
            <w:tcW w:w="929" w:type="dxa"/>
          </w:tcPr>
          <w:p w:rsidR="0078504B" w:rsidRPr="001053F9" w:rsidRDefault="0078504B" w:rsidP="0078504B">
            <w:pPr>
              <w:jc w:val="right"/>
              <w:rPr>
                <w:rFonts w:ascii="Times New Roman" w:hAnsi="Times New Roman" w:cs="Times New Roman"/>
              </w:rPr>
            </w:pPr>
            <w:r w:rsidRPr="001053F9">
              <w:rPr>
                <w:rFonts w:ascii="Times New Roman" w:hAnsi="Times New Roman" w:cs="Times New Roman"/>
              </w:rPr>
              <w:t>2011</w:t>
            </w:r>
          </w:p>
        </w:tc>
        <w:tc>
          <w:tcPr>
            <w:tcW w:w="900" w:type="dxa"/>
          </w:tcPr>
          <w:p w:rsidR="0078504B" w:rsidRPr="001053F9" w:rsidRDefault="004E628F" w:rsidP="004E628F">
            <w:pPr>
              <w:jc w:val="right"/>
              <w:rPr>
                <w:rFonts w:ascii="Times New Roman" w:hAnsi="Times New Roman" w:cs="Times New Roman"/>
              </w:rPr>
            </w:pPr>
            <w:r w:rsidRPr="001053F9">
              <w:rPr>
                <w:rFonts w:ascii="Times New Roman" w:hAnsi="Times New Roman" w:cs="Times New Roman"/>
              </w:rPr>
              <w:t>38.7</w:t>
            </w:r>
          </w:p>
        </w:tc>
      </w:tr>
      <w:tr w:rsidR="0078504B" w:rsidRPr="001053F9" w:rsidTr="00E50696">
        <w:tc>
          <w:tcPr>
            <w:tcW w:w="0" w:type="auto"/>
          </w:tcPr>
          <w:p w:rsidR="0078504B" w:rsidRPr="001053F9" w:rsidRDefault="0078504B" w:rsidP="0078504B">
            <w:pPr>
              <w:jc w:val="both"/>
              <w:rPr>
                <w:rFonts w:ascii="Times New Roman" w:hAnsi="Times New Roman" w:cs="Times New Roman"/>
              </w:rPr>
            </w:pPr>
          </w:p>
        </w:tc>
        <w:tc>
          <w:tcPr>
            <w:tcW w:w="929" w:type="dxa"/>
          </w:tcPr>
          <w:p w:rsidR="0078504B" w:rsidRPr="001053F9" w:rsidRDefault="0078504B" w:rsidP="0078504B">
            <w:pPr>
              <w:jc w:val="right"/>
              <w:rPr>
                <w:rFonts w:ascii="Times New Roman" w:hAnsi="Times New Roman" w:cs="Times New Roman"/>
              </w:rPr>
            </w:pPr>
            <w:r w:rsidRPr="001053F9">
              <w:rPr>
                <w:rFonts w:ascii="Times New Roman" w:hAnsi="Times New Roman" w:cs="Times New Roman"/>
              </w:rPr>
              <w:t>2012</w:t>
            </w:r>
          </w:p>
        </w:tc>
        <w:tc>
          <w:tcPr>
            <w:tcW w:w="900" w:type="dxa"/>
          </w:tcPr>
          <w:p w:rsidR="0078504B" w:rsidRPr="001053F9" w:rsidRDefault="004E628F" w:rsidP="004E628F">
            <w:pPr>
              <w:jc w:val="right"/>
              <w:rPr>
                <w:rFonts w:ascii="Times New Roman" w:hAnsi="Times New Roman" w:cs="Times New Roman"/>
              </w:rPr>
            </w:pPr>
            <w:r w:rsidRPr="001053F9">
              <w:rPr>
                <w:rFonts w:ascii="Times New Roman" w:hAnsi="Times New Roman" w:cs="Times New Roman"/>
              </w:rPr>
              <w:t>33.2</w:t>
            </w:r>
          </w:p>
        </w:tc>
      </w:tr>
      <w:tr w:rsidR="0078504B" w:rsidRPr="001053F9" w:rsidTr="00E50696">
        <w:tc>
          <w:tcPr>
            <w:tcW w:w="0" w:type="auto"/>
          </w:tcPr>
          <w:p w:rsidR="0078504B" w:rsidRPr="001053F9" w:rsidRDefault="0078504B" w:rsidP="0078504B">
            <w:pPr>
              <w:jc w:val="both"/>
              <w:rPr>
                <w:rFonts w:ascii="Times New Roman" w:hAnsi="Times New Roman" w:cs="Times New Roman"/>
              </w:rPr>
            </w:pPr>
          </w:p>
        </w:tc>
        <w:tc>
          <w:tcPr>
            <w:tcW w:w="929" w:type="dxa"/>
          </w:tcPr>
          <w:p w:rsidR="0078504B" w:rsidRPr="001053F9" w:rsidRDefault="0078504B" w:rsidP="0078504B">
            <w:pPr>
              <w:jc w:val="right"/>
              <w:rPr>
                <w:rFonts w:ascii="Times New Roman" w:hAnsi="Times New Roman" w:cs="Times New Roman"/>
              </w:rPr>
            </w:pPr>
            <w:r w:rsidRPr="001053F9">
              <w:rPr>
                <w:rFonts w:ascii="Times New Roman" w:hAnsi="Times New Roman" w:cs="Times New Roman"/>
              </w:rPr>
              <w:t>2013</w:t>
            </w:r>
          </w:p>
        </w:tc>
        <w:tc>
          <w:tcPr>
            <w:tcW w:w="900" w:type="dxa"/>
          </w:tcPr>
          <w:p w:rsidR="0078504B" w:rsidRPr="001053F9" w:rsidRDefault="004E628F" w:rsidP="004E628F">
            <w:pPr>
              <w:jc w:val="right"/>
              <w:rPr>
                <w:rFonts w:ascii="Times New Roman" w:hAnsi="Times New Roman" w:cs="Times New Roman"/>
              </w:rPr>
            </w:pPr>
            <w:r w:rsidRPr="001053F9">
              <w:rPr>
                <w:rFonts w:ascii="Times New Roman" w:hAnsi="Times New Roman" w:cs="Times New Roman"/>
              </w:rPr>
              <w:t>1.9</w:t>
            </w:r>
          </w:p>
        </w:tc>
      </w:tr>
      <w:tr w:rsidR="0078504B" w:rsidRPr="001053F9" w:rsidTr="00E50696">
        <w:trPr>
          <w:trHeight w:val="135"/>
        </w:trPr>
        <w:tc>
          <w:tcPr>
            <w:tcW w:w="0" w:type="auto"/>
          </w:tcPr>
          <w:p w:rsidR="0078504B" w:rsidRPr="001053F9" w:rsidRDefault="0078504B" w:rsidP="0078504B">
            <w:pPr>
              <w:jc w:val="both"/>
              <w:rPr>
                <w:rFonts w:ascii="Times New Roman" w:hAnsi="Times New Roman" w:cs="Times New Roman"/>
              </w:rPr>
            </w:pPr>
          </w:p>
        </w:tc>
        <w:tc>
          <w:tcPr>
            <w:tcW w:w="929" w:type="dxa"/>
          </w:tcPr>
          <w:p w:rsidR="0078504B" w:rsidRPr="001053F9" w:rsidRDefault="0078504B" w:rsidP="0078504B">
            <w:pPr>
              <w:jc w:val="right"/>
              <w:rPr>
                <w:rFonts w:ascii="Times New Roman" w:hAnsi="Times New Roman" w:cs="Times New Roman"/>
              </w:rPr>
            </w:pPr>
            <w:r w:rsidRPr="001053F9">
              <w:rPr>
                <w:rFonts w:ascii="Times New Roman" w:hAnsi="Times New Roman" w:cs="Times New Roman"/>
              </w:rPr>
              <w:t>2014</w:t>
            </w:r>
          </w:p>
        </w:tc>
        <w:tc>
          <w:tcPr>
            <w:tcW w:w="900" w:type="dxa"/>
          </w:tcPr>
          <w:p w:rsidR="0078504B" w:rsidRPr="001053F9" w:rsidRDefault="004E628F" w:rsidP="004E628F">
            <w:pPr>
              <w:jc w:val="right"/>
              <w:rPr>
                <w:rFonts w:ascii="Times New Roman" w:hAnsi="Times New Roman" w:cs="Times New Roman"/>
              </w:rPr>
            </w:pPr>
            <w:r w:rsidRPr="001053F9">
              <w:rPr>
                <w:rFonts w:ascii="Times New Roman" w:hAnsi="Times New Roman" w:cs="Times New Roman"/>
              </w:rPr>
              <w:t>2.2</w:t>
            </w:r>
          </w:p>
        </w:tc>
      </w:tr>
      <w:tr w:rsidR="0078504B" w:rsidRPr="001053F9" w:rsidTr="00E50696">
        <w:trPr>
          <w:trHeight w:val="374"/>
        </w:trPr>
        <w:tc>
          <w:tcPr>
            <w:tcW w:w="0" w:type="auto"/>
            <w:vAlign w:val="bottom"/>
          </w:tcPr>
          <w:p w:rsidR="0078504B" w:rsidRPr="001053F9" w:rsidRDefault="0078504B" w:rsidP="007F7B03">
            <w:pPr>
              <w:rPr>
                <w:rFonts w:ascii="Times New Roman" w:hAnsi="Times New Roman" w:cs="Times New Roman"/>
              </w:rPr>
            </w:pPr>
            <w:r w:rsidRPr="001053F9">
              <w:rPr>
                <w:rFonts w:ascii="Times New Roman" w:hAnsi="Times New Roman" w:cs="Times New Roman"/>
              </w:rPr>
              <w:t>ICCAD</w:t>
            </w:r>
          </w:p>
        </w:tc>
        <w:tc>
          <w:tcPr>
            <w:tcW w:w="929" w:type="dxa"/>
            <w:vAlign w:val="bottom"/>
          </w:tcPr>
          <w:p w:rsidR="0078504B" w:rsidRPr="001053F9" w:rsidRDefault="0078504B" w:rsidP="006A26AF">
            <w:pPr>
              <w:jc w:val="right"/>
              <w:rPr>
                <w:rFonts w:ascii="Times New Roman" w:hAnsi="Times New Roman" w:cs="Times New Roman"/>
              </w:rPr>
            </w:pPr>
            <w:r w:rsidRPr="001053F9">
              <w:rPr>
                <w:rFonts w:ascii="Times New Roman" w:hAnsi="Times New Roman" w:cs="Times New Roman"/>
              </w:rPr>
              <w:t>2010</w:t>
            </w:r>
          </w:p>
        </w:tc>
        <w:tc>
          <w:tcPr>
            <w:tcW w:w="900" w:type="dxa"/>
            <w:vAlign w:val="bottom"/>
          </w:tcPr>
          <w:p w:rsidR="0078504B" w:rsidRPr="001053F9" w:rsidRDefault="004B1B49" w:rsidP="004E628F">
            <w:pPr>
              <w:jc w:val="right"/>
              <w:rPr>
                <w:rFonts w:ascii="Times New Roman" w:hAnsi="Times New Roman" w:cs="Times New Roman"/>
              </w:rPr>
            </w:pPr>
            <w:r w:rsidRPr="001053F9">
              <w:rPr>
                <w:rFonts w:ascii="Times New Roman" w:hAnsi="Times New Roman" w:cs="Times New Roman"/>
              </w:rPr>
              <w:t>4.1</w:t>
            </w:r>
          </w:p>
        </w:tc>
      </w:tr>
      <w:tr w:rsidR="0078504B" w:rsidRPr="001053F9" w:rsidTr="00E50696">
        <w:tc>
          <w:tcPr>
            <w:tcW w:w="0" w:type="auto"/>
          </w:tcPr>
          <w:p w:rsidR="0078504B" w:rsidRPr="001053F9" w:rsidRDefault="0078504B" w:rsidP="00FE6D60">
            <w:pPr>
              <w:rPr>
                <w:rFonts w:ascii="Times New Roman" w:hAnsi="Times New Roman" w:cs="Times New Roman"/>
              </w:rPr>
            </w:pPr>
          </w:p>
        </w:tc>
        <w:tc>
          <w:tcPr>
            <w:tcW w:w="929" w:type="dxa"/>
          </w:tcPr>
          <w:p w:rsidR="0078504B" w:rsidRPr="001053F9" w:rsidRDefault="0078504B" w:rsidP="0078504B">
            <w:pPr>
              <w:jc w:val="right"/>
              <w:rPr>
                <w:rFonts w:ascii="Times New Roman" w:hAnsi="Times New Roman" w:cs="Times New Roman"/>
              </w:rPr>
            </w:pPr>
            <w:r w:rsidRPr="001053F9">
              <w:rPr>
                <w:rFonts w:ascii="Times New Roman" w:hAnsi="Times New Roman" w:cs="Times New Roman"/>
              </w:rPr>
              <w:t>2011</w:t>
            </w:r>
          </w:p>
        </w:tc>
        <w:tc>
          <w:tcPr>
            <w:tcW w:w="900" w:type="dxa"/>
          </w:tcPr>
          <w:p w:rsidR="0078504B" w:rsidRPr="001053F9" w:rsidRDefault="00576EDC" w:rsidP="004E628F">
            <w:pPr>
              <w:jc w:val="right"/>
              <w:rPr>
                <w:rFonts w:ascii="Times New Roman" w:hAnsi="Times New Roman" w:cs="Times New Roman"/>
              </w:rPr>
            </w:pPr>
            <w:r w:rsidRPr="001053F9">
              <w:rPr>
                <w:rFonts w:ascii="Times New Roman" w:hAnsi="Times New Roman" w:cs="Times New Roman"/>
              </w:rPr>
              <w:t>5.7</w:t>
            </w:r>
          </w:p>
        </w:tc>
      </w:tr>
      <w:tr w:rsidR="0078504B" w:rsidRPr="001053F9" w:rsidTr="00E50696">
        <w:tc>
          <w:tcPr>
            <w:tcW w:w="0" w:type="auto"/>
          </w:tcPr>
          <w:p w:rsidR="0078504B" w:rsidRPr="001053F9" w:rsidRDefault="0078504B" w:rsidP="00FE6D60">
            <w:pPr>
              <w:rPr>
                <w:rFonts w:ascii="Times New Roman" w:hAnsi="Times New Roman" w:cs="Times New Roman"/>
              </w:rPr>
            </w:pPr>
          </w:p>
        </w:tc>
        <w:tc>
          <w:tcPr>
            <w:tcW w:w="929" w:type="dxa"/>
          </w:tcPr>
          <w:p w:rsidR="0078504B" w:rsidRPr="001053F9" w:rsidRDefault="0078504B" w:rsidP="0078504B">
            <w:pPr>
              <w:jc w:val="right"/>
              <w:rPr>
                <w:rFonts w:ascii="Times New Roman" w:hAnsi="Times New Roman" w:cs="Times New Roman"/>
              </w:rPr>
            </w:pPr>
            <w:r w:rsidRPr="001053F9">
              <w:rPr>
                <w:rFonts w:ascii="Times New Roman" w:hAnsi="Times New Roman" w:cs="Times New Roman"/>
              </w:rPr>
              <w:t>2012</w:t>
            </w:r>
          </w:p>
        </w:tc>
        <w:tc>
          <w:tcPr>
            <w:tcW w:w="900" w:type="dxa"/>
          </w:tcPr>
          <w:p w:rsidR="0078504B" w:rsidRPr="001053F9" w:rsidRDefault="006E7215" w:rsidP="004E628F">
            <w:pPr>
              <w:jc w:val="right"/>
              <w:rPr>
                <w:rFonts w:ascii="Times New Roman" w:hAnsi="Times New Roman" w:cs="Times New Roman"/>
              </w:rPr>
            </w:pPr>
            <w:r w:rsidRPr="001053F9">
              <w:rPr>
                <w:rFonts w:ascii="Times New Roman" w:hAnsi="Times New Roman" w:cs="Times New Roman"/>
              </w:rPr>
              <w:t>6.1</w:t>
            </w:r>
          </w:p>
        </w:tc>
      </w:tr>
      <w:tr w:rsidR="0078504B" w:rsidRPr="001053F9" w:rsidTr="00E50696">
        <w:tc>
          <w:tcPr>
            <w:tcW w:w="0" w:type="auto"/>
          </w:tcPr>
          <w:p w:rsidR="0078504B" w:rsidRPr="001053F9" w:rsidRDefault="0078504B" w:rsidP="00FE6D60">
            <w:pPr>
              <w:rPr>
                <w:rFonts w:ascii="Times New Roman" w:hAnsi="Times New Roman" w:cs="Times New Roman"/>
              </w:rPr>
            </w:pPr>
          </w:p>
        </w:tc>
        <w:tc>
          <w:tcPr>
            <w:tcW w:w="929" w:type="dxa"/>
          </w:tcPr>
          <w:p w:rsidR="0078504B" w:rsidRPr="001053F9" w:rsidRDefault="0078504B" w:rsidP="0078504B">
            <w:pPr>
              <w:jc w:val="right"/>
              <w:rPr>
                <w:rFonts w:ascii="Times New Roman" w:hAnsi="Times New Roman" w:cs="Times New Roman"/>
              </w:rPr>
            </w:pPr>
            <w:r w:rsidRPr="001053F9">
              <w:rPr>
                <w:rFonts w:ascii="Times New Roman" w:hAnsi="Times New Roman" w:cs="Times New Roman"/>
              </w:rPr>
              <w:t>2013</w:t>
            </w:r>
          </w:p>
        </w:tc>
        <w:tc>
          <w:tcPr>
            <w:tcW w:w="900" w:type="dxa"/>
          </w:tcPr>
          <w:p w:rsidR="0078504B" w:rsidRPr="001053F9" w:rsidRDefault="006E7215" w:rsidP="004E628F">
            <w:pPr>
              <w:jc w:val="right"/>
              <w:rPr>
                <w:rFonts w:ascii="Times New Roman" w:hAnsi="Times New Roman" w:cs="Times New Roman"/>
              </w:rPr>
            </w:pPr>
            <w:r w:rsidRPr="001053F9">
              <w:rPr>
                <w:rFonts w:ascii="Times New Roman" w:hAnsi="Times New Roman" w:cs="Times New Roman"/>
              </w:rPr>
              <w:t>2.3</w:t>
            </w:r>
          </w:p>
        </w:tc>
      </w:tr>
      <w:tr w:rsidR="0078504B" w:rsidRPr="001053F9" w:rsidTr="00E50696">
        <w:tc>
          <w:tcPr>
            <w:tcW w:w="0" w:type="auto"/>
          </w:tcPr>
          <w:p w:rsidR="0078504B" w:rsidRPr="001053F9" w:rsidRDefault="0078504B" w:rsidP="00FE6D60">
            <w:pPr>
              <w:rPr>
                <w:rFonts w:ascii="Times New Roman" w:hAnsi="Times New Roman" w:cs="Times New Roman"/>
              </w:rPr>
            </w:pPr>
          </w:p>
        </w:tc>
        <w:tc>
          <w:tcPr>
            <w:tcW w:w="929" w:type="dxa"/>
          </w:tcPr>
          <w:p w:rsidR="0078504B" w:rsidRPr="001053F9" w:rsidRDefault="0078504B" w:rsidP="0078504B">
            <w:pPr>
              <w:jc w:val="right"/>
              <w:rPr>
                <w:rFonts w:ascii="Times New Roman" w:hAnsi="Times New Roman" w:cs="Times New Roman"/>
              </w:rPr>
            </w:pPr>
            <w:r w:rsidRPr="001053F9">
              <w:rPr>
                <w:rFonts w:ascii="Times New Roman" w:hAnsi="Times New Roman" w:cs="Times New Roman"/>
              </w:rPr>
              <w:t>2014</w:t>
            </w:r>
          </w:p>
        </w:tc>
        <w:tc>
          <w:tcPr>
            <w:tcW w:w="900" w:type="dxa"/>
          </w:tcPr>
          <w:p w:rsidR="0078504B" w:rsidRPr="001053F9" w:rsidRDefault="006E7215" w:rsidP="004E628F">
            <w:pPr>
              <w:jc w:val="right"/>
              <w:rPr>
                <w:rFonts w:ascii="Times New Roman" w:hAnsi="Times New Roman" w:cs="Times New Roman"/>
              </w:rPr>
            </w:pPr>
            <w:r w:rsidRPr="001053F9">
              <w:rPr>
                <w:rFonts w:ascii="Times New Roman" w:hAnsi="Times New Roman" w:cs="Times New Roman"/>
              </w:rPr>
              <w:t>6.5</w:t>
            </w:r>
          </w:p>
        </w:tc>
      </w:tr>
    </w:tbl>
    <w:p w:rsidR="00262734" w:rsidRPr="001053F9" w:rsidRDefault="00D24788" w:rsidP="00262734">
      <w:pPr>
        <w:rPr>
          <w:rFonts w:ascii="Times New Roman" w:hAnsi="Times New Roman" w:cs="Times New Roman"/>
          <w:i/>
          <w:sz w:val="2"/>
          <w:szCs w:val="20"/>
        </w:rPr>
      </w:pPr>
      <w:proofErr w:type="spellStart"/>
      <w:proofErr w:type="gramStart"/>
      <w:r w:rsidRPr="001053F9">
        <w:rPr>
          <w:rFonts w:ascii="Times New Roman" w:hAnsi="Times New Roman" w:cs="Times New Roman"/>
          <w:i/>
          <w:sz w:val="2"/>
          <w:szCs w:val="20"/>
        </w:rPr>
        <w:t>fff</w:t>
      </w:r>
      <w:proofErr w:type="spellEnd"/>
      <w:proofErr w:type="gramEnd"/>
    </w:p>
    <w:p w:rsidR="00BB7E2C" w:rsidRPr="001053F9" w:rsidRDefault="00BD3F79" w:rsidP="00454F1B">
      <w:pPr>
        <w:rPr>
          <w:rFonts w:ascii="Times New Roman" w:hAnsi="Times New Roman" w:cs="Times New Roman"/>
          <w:szCs w:val="20"/>
        </w:rPr>
      </w:pPr>
      <w:r w:rsidRPr="001053F9">
        <w:rPr>
          <w:rFonts w:ascii="Times New Roman" w:hAnsi="Times New Roman" w:cs="Times New Roman"/>
          <w:szCs w:val="20"/>
        </w:rPr>
        <w:t xml:space="preserve">From the data in the table, it can be assumed that the “fairness” of conferences can vary quite wildly over time. </w:t>
      </w:r>
      <w:r w:rsidR="00781E97" w:rsidRPr="001053F9">
        <w:rPr>
          <w:rFonts w:ascii="Times New Roman" w:hAnsi="Times New Roman" w:cs="Times New Roman"/>
          <w:szCs w:val="20"/>
        </w:rPr>
        <w:t>Noticeably, t</w:t>
      </w:r>
      <w:r w:rsidR="00B1795F" w:rsidRPr="001053F9">
        <w:rPr>
          <w:rFonts w:ascii="Times New Roman" w:hAnsi="Times New Roman" w:cs="Times New Roman"/>
          <w:szCs w:val="20"/>
        </w:rPr>
        <w:t xml:space="preserve">he 2011 and 2012 </w:t>
      </w:r>
      <w:r w:rsidR="009049FD" w:rsidRPr="001053F9">
        <w:rPr>
          <w:rFonts w:ascii="Times New Roman" w:hAnsi="Times New Roman" w:cs="Times New Roman"/>
          <w:szCs w:val="20"/>
        </w:rPr>
        <w:t>NOCS conference have</w:t>
      </w:r>
      <w:r w:rsidR="003303D0" w:rsidRPr="001053F9">
        <w:rPr>
          <w:rFonts w:ascii="Times New Roman" w:hAnsi="Times New Roman" w:cs="Times New Roman"/>
          <w:szCs w:val="20"/>
        </w:rPr>
        <w:t xml:space="preserve"> very high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f</m:t>
            </m:r>
          </m:sub>
        </m:sSub>
      </m:oMath>
      <w:r w:rsidR="009049FD" w:rsidRPr="001053F9">
        <w:rPr>
          <w:rFonts w:ascii="Times New Roman" w:hAnsi="Times New Roman" w:cs="Times New Roman"/>
          <w:szCs w:val="20"/>
        </w:rPr>
        <w:t xml:space="preserve"> </w:t>
      </w:r>
      <w:r w:rsidR="00DF7B56" w:rsidRPr="001053F9">
        <w:rPr>
          <w:rFonts w:ascii="Times New Roman" w:hAnsi="Times New Roman" w:cs="Times New Roman"/>
          <w:szCs w:val="20"/>
        </w:rPr>
        <w:t xml:space="preserve">values of 38.7 and </w:t>
      </w:r>
      <w:r w:rsidR="00E36771" w:rsidRPr="001053F9">
        <w:rPr>
          <w:rFonts w:ascii="Times New Roman" w:hAnsi="Times New Roman" w:cs="Times New Roman"/>
          <w:szCs w:val="20"/>
        </w:rPr>
        <w:t xml:space="preserve">33.2 respectively. </w:t>
      </w:r>
      <w:r w:rsidR="00146C5B" w:rsidRPr="001053F9">
        <w:rPr>
          <w:rFonts w:ascii="Times New Roman" w:hAnsi="Times New Roman" w:cs="Times New Roman"/>
          <w:szCs w:val="20"/>
        </w:rPr>
        <w:t xml:space="preserve">At first glance, this may seem like an error in the data or the calculation, </w:t>
      </w:r>
      <w:r w:rsidR="00C30228" w:rsidRPr="001053F9">
        <w:rPr>
          <w:rFonts w:ascii="Times New Roman" w:hAnsi="Times New Roman" w:cs="Times New Roman"/>
          <w:szCs w:val="20"/>
        </w:rPr>
        <w:t>but the NOCS 2011 and 2012 conferences have such high scores</w:t>
      </w:r>
      <w:r w:rsidR="005762A0" w:rsidRPr="001053F9">
        <w:rPr>
          <w:rFonts w:ascii="Times New Roman" w:hAnsi="Times New Roman" w:cs="Times New Roman"/>
          <w:szCs w:val="20"/>
        </w:rPr>
        <w:t xml:space="preserve"> because they had neither TPC-author collaboration nor institutional connections between the TPC members and the authors. Therefore, they </w:t>
      </w:r>
      <w:r w:rsidR="00C30228" w:rsidRPr="001053F9">
        <w:rPr>
          <w:rFonts w:ascii="Times New Roman" w:hAnsi="Times New Roman" w:cs="Times New Roman"/>
          <w:szCs w:val="20"/>
        </w:rPr>
        <w:t>were</w:t>
      </w:r>
      <w:r w:rsidR="00E30841" w:rsidRPr="001053F9">
        <w:rPr>
          <w:rFonts w:ascii="Times New Roman" w:hAnsi="Times New Roman" w:cs="Times New Roman"/>
          <w:szCs w:val="20"/>
        </w:rPr>
        <w:t xml:space="preserve"> “perfectly fair” according</w:t>
      </w:r>
      <w:r w:rsidR="00F83BCD" w:rsidRPr="001053F9">
        <w:rPr>
          <w:rFonts w:ascii="Times New Roman" w:hAnsi="Times New Roman" w:cs="Times New Roman"/>
          <w:szCs w:val="20"/>
        </w:rPr>
        <w:t xml:space="preserve"> to our definition of fairness, resulting in these high scores of fairness. </w:t>
      </w:r>
    </w:p>
    <w:p w:rsidR="000F7FBC" w:rsidRPr="001053F9" w:rsidRDefault="000F7FBC" w:rsidP="00454F1B">
      <w:pPr>
        <w:rPr>
          <w:rFonts w:ascii="Times New Roman" w:hAnsi="Times New Roman" w:cs="Times New Roman"/>
          <w:szCs w:val="20"/>
        </w:rPr>
      </w:pPr>
      <w:r w:rsidRPr="001053F9">
        <w:rPr>
          <w:rFonts w:ascii="Times New Roman" w:hAnsi="Times New Roman" w:cs="Times New Roman"/>
          <w:szCs w:val="20"/>
        </w:rPr>
        <w:t xml:space="preserve">In order to determine the correctness of this method of measuring fairness in the conference years, manual analysis was performed to determine “fairness” compared to the previously mentioned definition. For the NOCS conferences, </w:t>
      </w:r>
      <m:oMath>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f</m:t>
            </m:r>
          </m:sub>
        </m:sSub>
      </m:oMath>
      <w:r w:rsidRPr="001053F9">
        <w:rPr>
          <w:rFonts w:ascii="Times New Roman" w:eastAsiaTheme="minorEastAsia" w:hAnsi="Times New Roman" w:cs="Times New Roman"/>
          <w:b/>
        </w:rPr>
        <w:t xml:space="preserve"> </w:t>
      </w:r>
      <w:r w:rsidRPr="001053F9">
        <w:rPr>
          <w:rFonts w:ascii="Times New Roman" w:eastAsiaTheme="minorEastAsia" w:hAnsi="Times New Roman" w:cs="Times New Roman"/>
        </w:rPr>
        <w:t xml:space="preserve">was an excellent measure of the fairness of the </w:t>
      </w:r>
      <w:r w:rsidR="00D551A6" w:rsidRPr="001053F9">
        <w:rPr>
          <w:rFonts w:ascii="Times New Roman" w:eastAsiaTheme="minorEastAsia" w:hAnsi="Times New Roman" w:cs="Times New Roman"/>
        </w:rPr>
        <w:t>conference.</w:t>
      </w:r>
      <w:r w:rsidR="002935E7" w:rsidRPr="001053F9">
        <w:rPr>
          <w:rFonts w:ascii="Times New Roman" w:hAnsi="Times New Roman" w:cs="Times New Roman"/>
          <w:szCs w:val="20"/>
        </w:rPr>
        <w:t xml:space="preserve"> However, there was a problem in determining the general fairness of the conferences.</w:t>
      </w:r>
    </w:p>
    <w:p w:rsidR="00BD7C5E" w:rsidRPr="001053F9" w:rsidRDefault="00B43182" w:rsidP="00454F1B">
      <w:pPr>
        <w:rPr>
          <w:rFonts w:ascii="Times New Roman" w:hAnsi="Times New Roman" w:cs="Times New Roman"/>
          <w:szCs w:val="20"/>
        </w:rPr>
      </w:pPr>
      <w:r w:rsidRPr="001053F9">
        <w:rPr>
          <w:rFonts w:ascii="Times New Roman" w:eastAsiaTheme="minorEastAsia" w:hAnsi="Times New Roman" w:cs="Times New Roman"/>
          <w:szCs w:val="20"/>
        </w:rPr>
        <w:t>When computed using all the years of conferences</w:t>
      </w:r>
      <w:r w:rsidR="00072067" w:rsidRPr="001053F9">
        <w:rPr>
          <w:rFonts w:ascii="Times New Roman" w:eastAsiaTheme="minorEastAsia" w:hAnsi="Times New Roman" w:cs="Times New Roman"/>
          <w:szCs w:val="20"/>
        </w:rPr>
        <w:t>,</w:t>
      </w: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m:t>
                </m:r>
                <m:r>
                  <w:rPr>
                    <w:rFonts w:ascii="Cambria Math" w:hAnsi="Cambria Math" w:cs="Times New Roman"/>
                    <w:szCs w:val="20"/>
                  </w:rPr>
                  <m:t>v</m:t>
                </m:r>
              </m:e>
            </m:acc>
          </m:e>
          <m:sub>
            <m:r>
              <w:rPr>
                <w:rFonts w:ascii="Cambria Math" w:hAnsi="Cambria Math" w:cs="Times New Roman"/>
                <w:szCs w:val="20"/>
              </w:rPr>
              <m:t>f</m:t>
            </m:r>
            <m:r>
              <w:rPr>
                <w:rFonts w:ascii="Cambria Math" w:hAnsi="Cambria Math" w:cs="Times New Roman"/>
                <w:szCs w:val="20"/>
              </w:rPr>
              <m:t>-total</m:t>
            </m:r>
          </m:sub>
        </m:sSub>
        <m:r>
          <w:rPr>
            <w:rFonts w:ascii="Cambria Math" w:hAnsi="Cambria Math" w:cs="Times New Roman"/>
            <w:szCs w:val="20"/>
          </w:rPr>
          <m:t>=</m:t>
        </m:r>
        <m:r>
          <w:rPr>
            <w:rFonts w:ascii="Cambria Math" w:hAnsi="Cambria Math" w:cs="Times New Roman"/>
            <w:szCs w:val="20"/>
          </w:rPr>
          <m:t xml:space="preserve"> </m:t>
        </m:r>
        <m:r>
          <w:rPr>
            <w:rFonts w:ascii="Cambria Math" w:hAnsi="Cambria Math" w:cs="Times New Roman"/>
            <w:szCs w:val="20"/>
          </w:rPr>
          <m:t>10</m:t>
        </m:r>
        <m:r>
          <w:rPr>
            <w:rFonts w:ascii="Cambria Math" w:hAnsi="Cambria Math" w:cs="Times New Roman"/>
            <w:szCs w:val="20"/>
          </w:rPr>
          <m:t>.39</m:t>
        </m:r>
      </m:oMath>
      <w:r w:rsidR="00FA054C" w:rsidRPr="001053F9">
        <w:rPr>
          <w:rFonts w:ascii="Times New Roman" w:eastAsiaTheme="minorEastAsia" w:hAnsi="Times New Roman" w:cs="Times New Roman"/>
          <w:szCs w:val="20"/>
        </w:rPr>
        <w:t>. When</w:t>
      </w:r>
      <w:r w:rsidR="00F405B3" w:rsidRPr="001053F9">
        <w:rPr>
          <w:rFonts w:ascii="Times New Roman" w:eastAsiaTheme="minorEastAsia" w:hAnsi="Times New Roman" w:cs="Times New Roman"/>
          <w:szCs w:val="20"/>
        </w:rPr>
        <w:t xml:space="preserve"> looking at the table, however, this value seems to be off-base from the true “average fairness” of the </w:t>
      </w:r>
      <w:r w:rsidR="00F405B3" w:rsidRPr="001053F9">
        <w:rPr>
          <w:rFonts w:ascii="Times New Roman" w:eastAsiaTheme="minorEastAsia" w:hAnsi="Times New Roman" w:cs="Times New Roman"/>
          <w:szCs w:val="20"/>
        </w:rPr>
        <w:lastRenderedPageBreak/>
        <w:t>conferences.</w:t>
      </w:r>
      <w:r w:rsidR="004D536A" w:rsidRPr="001053F9">
        <w:rPr>
          <w:rFonts w:ascii="Times New Roman" w:eastAsiaTheme="minorEastAsia" w:hAnsi="Times New Roman" w:cs="Times New Roman"/>
          <w:szCs w:val="20"/>
        </w:rPr>
        <w:t xml:space="preserve"> </w:t>
      </w:r>
      <w:r w:rsidR="00652FCE" w:rsidRPr="001053F9">
        <w:rPr>
          <w:rFonts w:ascii="Times New Roman" w:eastAsiaTheme="minorEastAsia" w:hAnsi="Times New Roman" w:cs="Times New Roman"/>
          <w:szCs w:val="20"/>
        </w:rPr>
        <w:t xml:space="preserve">The two perfectly fair years of </w:t>
      </w:r>
      <w:r w:rsidR="00777F75" w:rsidRPr="001053F9">
        <w:rPr>
          <w:rFonts w:ascii="Times New Roman" w:eastAsiaTheme="minorEastAsia" w:hAnsi="Times New Roman" w:cs="Times New Roman"/>
          <w:szCs w:val="20"/>
        </w:rPr>
        <w:t>the NOCS conference greatly influenced the average</w:t>
      </w:r>
      <w:r w:rsidR="002C057D" w:rsidRPr="001053F9">
        <w:rPr>
          <w:rFonts w:ascii="Times New Roman" w:eastAsiaTheme="minorEastAsia" w:hAnsi="Times New Roman" w:cs="Times New Roman"/>
          <w:szCs w:val="20"/>
        </w:rPr>
        <w:t xml:space="preserve">. Thus, </w:t>
      </w:r>
      <w:r w:rsidR="001A1C35" w:rsidRPr="001053F9">
        <w:rPr>
          <w:rFonts w:ascii="Times New Roman" w:eastAsiaTheme="minorEastAsia" w:hAnsi="Times New Roman" w:cs="Times New Roman"/>
          <w:szCs w:val="20"/>
        </w:rPr>
        <w:t xml:space="preserve">the average fairness was computed for NOCS separately, disregarding </w:t>
      </w:r>
      <w:r w:rsidR="00070045" w:rsidRPr="001053F9">
        <w:rPr>
          <w:rFonts w:ascii="Times New Roman" w:eastAsiaTheme="minorEastAsia" w:hAnsi="Times New Roman" w:cs="Times New Roman"/>
          <w:szCs w:val="20"/>
        </w:rPr>
        <w:t>the years of 2011 and 2012,</w:t>
      </w:r>
      <w:r w:rsidR="00246C72" w:rsidRPr="001053F9">
        <w:rPr>
          <w:rFonts w:ascii="Times New Roman" w:eastAsiaTheme="minorEastAsia" w:hAnsi="Times New Roman" w:cs="Times New Roman"/>
          <w:szCs w:val="20"/>
        </w:rPr>
        <w:t xml:space="preserve"> referred to </w:t>
      </w:r>
      <w:r w:rsidR="00804CF0" w:rsidRPr="001053F9">
        <w:rPr>
          <w:rFonts w:ascii="Times New Roman" w:eastAsiaTheme="minorEastAsia" w:hAnsi="Times New Roman" w:cs="Times New Roman"/>
          <w:szCs w:val="20"/>
        </w:rPr>
        <w:t>as</w:t>
      </w: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m:t>
                </m:r>
                <m:r>
                  <w:rPr>
                    <w:rFonts w:ascii="Cambria Math" w:hAnsi="Cambria Math" w:cs="Times New Roman"/>
                    <w:szCs w:val="20"/>
                  </w:rPr>
                  <m:t>v</m:t>
                </m:r>
              </m:e>
            </m:acc>
          </m:e>
          <m:sub>
            <m:r>
              <w:rPr>
                <w:rFonts w:ascii="Cambria Math" w:hAnsi="Cambria Math" w:cs="Times New Roman"/>
                <w:szCs w:val="20"/>
              </w:rPr>
              <m:t>f-</m:t>
            </m:r>
            <m:r>
              <w:rPr>
                <w:rFonts w:ascii="Cambria Math" w:hAnsi="Cambria Math" w:cs="Times New Roman"/>
                <w:szCs w:val="20"/>
              </w:rPr>
              <m:t>nocs</m:t>
            </m:r>
            <m:r>
              <w:rPr>
                <w:rFonts w:ascii="Cambria Math" w:hAnsi="Cambria Math" w:cs="Times New Roman"/>
                <w:szCs w:val="20"/>
              </w:rPr>
              <m:t>-</m:t>
            </m:r>
            <m:r>
              <w:rPr>
                <w:rFonts w:ascii="Cambria Math" w:hAnsi="Cambria Math" w:cs="Times New Roman"/>
                <w:szCs w:val="20"/>
              </w:rPr>
              <m:t>subset</m:t>
            </m:r>
          </m:sub>
        </m:sSub>
      </m:oMath>
      <w:r w:rsidR="0079572A" w:rsidRPr="001053F9">
        <w:rPr>
          <w:rFonts w:ascii="Times New Roman" w:eastAsiaTheme="minorEastAsia" w:hAnsi="Times New Roman" w:cs="Times New Roman"/>
          <w:szCs w:val="20"/>
        </w:rPr>
        <w:t>. The</w:t>
      </w:r>
      <w:r w:rsidR="00065E62" w:rsidRPr="001053F9">
        <w:rPr>
          <w:rFonts w:ascii="Times New Roman" w:eastAsiaTheme="minorEastAsia" w:hAnsi="Times New Roman" w:cs="Times New Roman"/>
          <w:szCs w:val="20"/>
        </w:rPr>
        <w:t xml:space="preserve"> average fairness was also computed for </w:t>
      </w:r>
      <w:r w:rsidR="001B15B0" w:rsidRPr="001053F9">
        <w:rPr>
          <w:rFonts w:ascii="Times New Roman" w:eastAsiaTheme="minorEastAsia" w:hAnsi="Times New Roman" w:cs="Times New Roman"/>
          <w:szCs w:val="20"/>
        </w:rPr>
        <w:t xml:space="preserve">ICCAD </w:t>
      </w:r>
      <w:r w:rsidR="00646605" w:rsidRPr="001053F9">
        <w:rPr>
          <w:rFonts w:ascii="Times New Roman" w:eastAsiaTheme="minorEastAsia" w:hAnsi="Times New Roman" w:cs="Times New Roman"/>
          <w:szCs w:val="20"/>
        </w:rPr>
        <w:t xml:space="preserve">separately, referred to </w:t>
      </w:r>
      <w:r w:rsidR="00BE0768" w:rsidRPr="001053F9">
        <w:rPr>
          <w:rFonts w:ascii="Times New Roman" w:eastAsiaTheme="minorEastAsia" w:hAnsi="Times New Roman" w:cs="Times New Roman"/>
          <w:szCs w:val="20"/>
        </w:rPr>
        <w:t>as</w:t>
      </w: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m:t>
            </m:r>
            <m:r>
              <w:rPr>
                <w:rFonts w:ascii="Cambria Math" w:hAnsi="Cambria Math" w:cs="Times New Roman"/>
                <w:szCs w:val="20"/>
              </w:rPr>
              <m:t>iccad</m:t>
            </m:r>
          </m:sub>
        </m:sSub>
      </m:oMath>
      <w:r w:rsidR="00163311" w:rsidRPr="001053F9">
        <w:rPr>
          <w:rFonts w:ascii="Times New Roman" w:hAnsi="Times New Roman" w:cs="Times New Roman"/>
          <w:szCs w:val="20"/>
        </w:rPr>
        <w:t>.</w:t>
      </w:r>
      <w:r w:rsidR="00447C19" w:rsidRPr="001053F9">
        <w:rPr>
          <w:rFonts w:ascii="Times New Roman" w:hAnsi="Times New Roman" w:cs="Times New Roman"/>
          <w:szCs w:val="20"/>
        </w:rPr>
        <w:t xml:space="preserve"> </w:t>
      </w:r>
      <w:r w:rsidR="002746C8" w:rsidRPr="001053F9">
        <w:rPr>
          <w:rFonts w:ascii="Times New Roman" w:hAnsi="Times New Roman" w:cs="Times New Roman"/>
          <w:szCs w:val="20"/>
        </w:rPr>
        <w:t>The average</w:t>
      </w:r>
      <w:r w:rsidR="00E94145" w:rsidRPr="001053F9">
        <w:rPr>
          <w:rFonts w:ascii="Times New Roman" w:hAnsi="Times New Roman" w:cs="Times New Roman"/>
          <w:szCs w:val="20"/>
        </w:rPr>
        <w:t xml:space="preserve"> fairness</w:t>
      </w:r>
      <w:r w:rsidR="002746C8" w:rsidRPr="001053F9">
        <w:rPr>
          <w:rFonts w:ascii="Times New Roman" w:hAnsi="Times New Roman" w:cs="Times New Roman"/>
          <w:szCs w:val="20"/>
        </w:rPr>
        <w:t xml:space="preserve"> of both NOCS and ICCAD was also computed</w:t>
      </w:r>
      <w:r w:rsidR="00C8209E" w:rsidRPr="001053F9">
        <w:rPr>
          <w:rFonts w:ascii="Times New Roman" w:hAnsi="Times New Roman" w:cs="Times New Roman"/>
          <w:szCs w:val="20"/>
        </w:rPr>
        <w:t xml:space="preserve"> separately from the two </w:t>
      </w:r>
      <w:r w:rsidR="003A448D" w:rsidRPr="001053F9">
        <w:rPr>
          <w:rFonts w:ascii="Times New Roman" w:hAnsi="Times New Roman" w:cs="Times New Roman"/>
          <w:szCs w:val="20"/>
        </w:rPr>
        <w:t xml:space="preserve">perfectly fair years, referred to </w:t>
      </w:r>
      <w:r w:rsidR="00010B41" w:rsidRPr="001053F9">
        <w:rPr>
          <w:rFonts w:ascii="Times New Roman" w:hAnsi="Times New Roman" w:cs="Times New Roman"/>
          <w:szCs w:val="20"/>
        </w:rPr>
        <w:t>as</w:t>
      </w: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m:t>
            </m:r>
            <m:r>
              <w:rPr>
                <w:rFonts w:ascii="Cambria Math" w:hAnsi="Cambria Math" w:cs="Times New Roman"/>
                <w:szCs w:val="20"/>
              </w:rPr>
              <m:t>total-subset</m:t>
            </m:r>
          </m:sub>
        </m:sSub>
      </m:oMath>
      <w:r w:rsidR="00BD7C5E" w:rsidRPr="001053F9">
        <w:rPr>
          <w:rFonts w:ascii="Times New Roman" w:hAnsi="Times New Roman" w:cs="Times New Roman"/>
          <w:szCs w:val="20"/>
        </w:rPr>
        <w:t>.</w:t>
      </w:r>
      <w:r w:rsidR="005F1E34" w:rsidRPr="001053F9">
        <w:rPr>
          <w:rFonts w:ascii="Times New Roman" w:hAnsi="Times New Roman" w:cs="Times New Roman"/>
          <w:szCs w:val="20"/>
        </w:rPr>
        <w:t xml:space="preserve"> A table </w:t>
      </w:r>
      <w:r w:rsidR="000F7449" w:rsidRPr="001053F9">
        <w:rPr>
          <w:rFonts w:ascii="Times New Roman" w:hAnsi="Times New Roman" w:cs="Times New Roman"/>
          <w:szCs w:val="20"/>
        </w:rPr>
        <w:t xml:space="preserve">of </w:t>
      </w:r>
      <w:r w:rsidR="005F1E34" w:rsidRPr="001053F9">
        <w:rPr>
          <w:rFonts w:ascii="Times New Roman" w:hAnsi="Times New Roman" w:cs="Times New Roman"/>
          <w:szCs w:val="20"/>
        </w:rPr>
        <w:t>these computations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4"/>
        <w:gridCol w:w="1076"/>
      </w:tblGrid>
      <w:tr w:rsidR="00750430" w:rsidRPr="001053F9" w:rsidTr="0095710C">
        <w:trPr>
          <w:trHeight w:val="288"/>
        </w:trPr>
        <w:tc>
          <w:tcPr>
            <w:tcW w:w="0" w:type="auto"/>
            <w:vAlign w:val="bottom"/>
          </w:tcPr>
          <w:p w:rsidR="00750430" w:rsidRPr="001053F9" w:rsidRDefault="00B23B5A" w:rsidP="00F53E79">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f-total</m:t>
                    </m:r>
                  </m:sub>
                </m:sSub>
              </m:oMath>
            </m:oMathPara>
          </w:p>
        </w:tc>
        <w:tc>
          <w:tcPr>
            <w:tcW w:w="1076" w:type="dxa"/>
            <w:vAlign w:val="bottom"/>
          </w:tcPr>
          <w:p w:rsidR="00750430" w:rsidRPr="001053F9" w:rsidRDefault="00B23B5A" w:rsidP="00F53E79">
            <w:pPr>
              <w:jc w:val="right"/>
              <w:rPr>
                <w:rFonts w:ascii="Times New Roman" w:hAnsi="Times New Roman" w:cs="Times New Roman"/>
              </w:rPr>
            </w:pPr>
            <w:r w:rsidRPr="001053F9">
              <w:rPr>
                <w:rFonts w:ascii="Times New Roman" w:hAnsi="Times New Roman" w:cs="Times New Roman"/>
              </w:rPr>
              <w:t>10.39</w:t>
            </w:r>
          </w:p>
        </w:tc>
      </w:tr>
      <w:tr w:rsidR="00750430" w:rsidRPr="001053F9" w:rsidTr="0095710C">
        <w:trPr>
          <w:trHeight w:val="288"/>
        </w:trPr>
        <w:tc>
          <w:tcPr>
            <w:tcW w:w="0" w:type="auto"/>
          </w:tcPr>
          <w:p w:rsidR="00750430" w:rsidRPr="001053F9" w:rsidRDefault="00E61659" w:rsidP="00F53E79">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f-total</m:t>
                    </m:r>
                    <m:r>
                      <w:rPr>
                        <w:rFonts w:ascii="Cambria Math" w:hAnsi="Cambria Math" w:cs="Times New Roman"/>
                        <w:szCs w:val="20"/>
                      </w:rPr>
                      <m:t>-subset</m:t>
                    </m:r>
                  </m:sub>
                </m:sSub>
              </m:oMath>
            </m:oMathPara>
          </w:p>
        </w:tc>
        <w:tc>
          <w:tcPr>
            <w:tcW w:w="1076" w:type="dxa"/>
          </w:tcPr>
          <w:p w:rsidR="00750430" w:rsidRPr="001053F9" w:rsidRDefault="00FF4E8A" w:rsidP="00F53E79">
            <w:pPr>
              <w:jc w:val="right"/>
              <w:rPr>
                <w:rFonts w:ascii="Times New Roman" w:hAnsi="Times New Roman" w:cs="Times New Roman"/>
              </w:rPr>
            </w:pPr>
            <w:r w:rsidRPr="001053F9">
              <w:rPr>
                <w:rFonts w:ascii="Times New Roman" w:hAnsi="Times New Roman" w:cs="Times New Roman"/>
              </w:rPr>
              <w:t>4.00</w:t>
            </w:r>
          </w:p>
        </w:tc>
      </w:tr>
      <w:tr w:rsidR="00750430" w:rsidRPr="001053F9" w:rsidTr="007D1055">
        <w:trPr>
          <w:trHeight w:val="432"/>
        </w:trPr>
        <w:tc>
          <w:tcPr>
            <w:tcW w:w="0" w:type="auto"/>
            <w:vAlign w:val="bottom"/>
          </w:tcPr>
          <w:p w:rsidR="00750430" w:rsidRPr="001053F9" w:rsidRDefault="002433E1" w:rsidP="0095710C">
            <w:pPr>
              <w:jc w:val="cente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m:t>
                    </m:r>
                    <m:r>
                      <w:rPr>
                        <w:rFonts w:ascii="Cambria Math" w:hAnsi="Cambria Math" w:cs="Times New Roman"/>
                        <w:szCs w:val="20"/>
                      </w:rPr>
                      <m:t>nocs</m:t>
                    </m:r>
                  </m:sub>
                </m:sSub>
              </m:oMath>
            </m:oMathPara>
          </w:p>
        </w:tc>
        <w:tc>
          <w:tcPr>
            <w:tcW w:w="1076" w:type="dxa"/>
            <w:vAlign w:val="bottom"/>
          </w:tcPr>
          <w:p w:rsidR="00750430" w:rsidRPr="001053F9" w:rsidRDefault="003A23DE" w:rsidP="0095710C">
            <w:pPr>
              <w:jc w:val="right"/>
              <w:rPr>
                <w:rFonts w:ascii="Times New Roman" w:hAnsi="Times New Roman" w:cs="Times New Roman"/>
              </w:rPr>
            </w:pPr>
            <w:r w:rsidRPr="001053F9">
              <w:rPr>
                <w:rFonts w:ascii="Times New Roman" w:hAnsi="Times New Roman" w:cs="Times New Roman"/>
              </w:rPr>
              <w:t>15.84</w:t>
            </w:r>
          </w:p>
        </w:tc>
      </w:tr>
      <w:tr w:rsidR="0045040D" w:rsidRPr="001053F9" w:rsidTr="0095710C">
        <w:trPr>
          <w:trHeight w:val="288"/>
        </w:trPr>
        <w:tc>
          <w:tcPr>
            <w:tcW w:w="0" w:type="auto"/>
          </w:tcPr>
          <w:p w:rsidR="0045040D" w:rsidRPr="001053F9" w:rsidRDefault="0045040D" w:rsidP="00F53E79">
            <w:pPr>
              <w:rPr>
                <w:rFonts w:ascii="Times New Roman" w:eastAsia="Calibri" w:hAnsi="Times New Roman" w:cs="Times New Roman"/>
                <w:szCs w:val="20"/>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f-nocs</m:t>
                    </m:r>
                    <m:r>
                      <w:rPr>
                        <w:rFonts w:ascii="Cambria Math" w:hAnsi="Cambria Math" w:cs="Times New Roman"/>
                        <w:szCs w:val="20"/>
                      </w:rPr>
                      <m:t>-subset</m:t>
                    </m:r>
                  </m:sub>
                </m:sSub>
              </m:oMath>
            </m:oMathPara>
          </w:p>
        </w:tc>
        <w:tc>
          <w:tcPr>
            <w:tcW w:w="1076" w:type="dxa"/>
          </w:tcPr>
          <w:p w:rsidR="0045040D" w:rsidRPr="001053F9" w:rsidRDefault="008D50D7" w:rsidP="00F53E79">
            <w:pPr>
              <w:jc w:val="right"/>
              <w:rPr>
                <w:rFonts w:ascii="Times New Roman" w:hAnsi="Times New Roman" w:cs="Times New Roman"/>
              </w:rPr>
            </w:pPr>
            <w:r w:rsidRPr="001053F9">
              <w:rPr>
                <w:rFonts w:ascii="Times New Roman" w:hAnsi="Times New Roman" w:cs="Times New Roman"/>
              </w:rPr>
              <w:t>2.43</w:t>
            </w:r>
          </w:p>
        </w:tc>
      </w:tr>
      <w:tr w:rsidR="00F44475" w:rsidRPr="001053F9" w:rsidTr="008F1A47">
        <w:trPr>
          <w:trHeight w:val="518"/>
        </w:trPr>
        <w:tc>
          <w:tcPr>
            <w:tcW w:w="0" w:type="auto"/>
            <w:vAlign w:val="center"/>
          </w:tcPr>
          <w:p w:rsidR="00F44475" w:rsidRPr="001053F9" w:rsidRDefault="009B1BA5" w:rsidP="00F53E79">
            <w:pPr>
              <w:rPr>
                <w:rFonts w:ascii="Times New Roman" w:eastAsia="Calibri" w:hAnsi="Times New Roman" w:cs="Times New Roman"/>
                <w:szCs w:val="20"/>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m:t>
                    </m:r>
                    <m:r>
                      <w:rPr>
                        <w:rFonts w:ascii="Cambria Math" w:hAnsi="Cambria Math" w:cs="Times New Roman"/>
                        <w:szCs w:val="20"/>
                      </w:rPr>
                      <m:t>iccad</m:t>
                    </m:r>
                  </m:sub>
                </m:sSub>
              </m:oMath>
            </m:oMathPara>
          </w:p>
        </w:tc>
        <w:tc>
          <w:tcPr>
            <w:tcW w:w="1076" w:type="dxa"/>
            <w:vAlign w:val="center"/>
          </w:tcPr>
          <w:p w:rsidR="00F44475" w:rsidRPr="001053F9" w:rsidRDefault="00794DFF" w:rsidP="00F53E79">
            <w:pPr>
              <w:jc w:val="right"/>
              <w:rPr>
                <w:rFonts w:ascii="Times New Roman" w:hAnsi="Times New Roman" w:cs="Times New Roman"/>
              </w:rPr>
            </w:pPr>
            <w:r w:rsidRPr="001053F9">
              <w:rPr>
                <w:rFonts w:ascii="Times New Roman" w:hAnsi="Times New Roman" w:cs="Times New Roman"/>
              </w:rPr>
              <w:t>4.94</w:t>
            </w:r>
          </w:p>
        </w:tc>
      </w:tr>
    </w:tbl>
    <w:p w:rsidR="00B661A0" w:rsidRPr="001053F9" w:rsidRDefault="00370D0D" w:rsidP="00FF0532">
      <w:pPr>
        <w:rPr>
          <w:rFonts w:ascii="Times New Roman" w:eastAsiaTheme="minorEastAsia" w:hAnsi="Times New Roman" w:cs="Times New Roman"/>
          <w:szCs w:val="20"/>
        </w:rPr>
      </w:pPr>
      <w:r w:rsidRPr="001053F9">
        <w:rPr>
          <w:rFonts w:ascii="Times New Roman" w:hAnsi="Times New Roman" w:cs="Times New Roman"/>
          <w:sz w:val="20"/>
          <w:szCs w:val="20"/>
        </w:rPr>
        <w:t xml:space="preserve">These values show that </w:t>
      </w: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m:t>
            </m:r>
          </m:sub>
        </m:sSub>
      </m:oMath>
      <w:r w:rsidR="00782714" w:rsidRPr="001053F9">
        <w:rPr>
          <w:rFonts w:ascii="Times New Roman" w:eastAsiaTheme="minorEastAsia" w:hAnsi="Times New Roman" w:cs="Times New Roman"/>
          <w:b/>
        </w:rPr>
        <w:t xml:space="preserve"> </w:t>
      </w:r>
      <w:r w:rsidR="00AF0683" w:rsidRPr="001053F9">
        <w:rPr>
          <w:rFonts w:ascii="Times New Roman" w:eastAsiaTheme="minorEastAsia" w:hAnsi="Times New Roman" w:cs="Times New Roman"/>
        </w:rPr>
        <w:t>was greatly skewed by the two perfect years of NOCS.</w:t>
      </w:r>
      <w:r w:rsidR="00150FE6" w:rsidRPr="001053F9">
        <w:rPr>
          <w:rFonts w:ascii="Times New Roman" w:eastAsiaTheme="minorEastAsia" w:hAnsi="Times New Roman" w:cs="Times New Roman"/>
        </w:rPr>
        <w:t xml:space="preserve"> The value 4.00, the average with those years excluded, is far more fitting to the rest of the graph. However, averaging a value across both conferences</w:t>
      </w:r>
      <w:r w:rsidR="00F300C3" w:rsidRPr="001053F9">
        <w:rPr>
          <w:rFonts w:ascii="Times New Roman" w:eastAsiaTheme="minorEastAsia" w:hAnsi="Times New Roman" w:cs="Times New Roman"/>
        </w:rPr>
        <w:t xml:space="preserve"> yields a meaningless overall average. </w:t>
      </w:r>
      <w:r w:rsidR="004D0A4E" w:rsidRPr="001053F9">
        <w:rPr>
          <w:rFonts w:ascii="Times New Roman" w:eastAsiaTheme="minorEastAsia" w:hAnsi="Times New Roman" w:cs="Times New Roman"/>
        </w:rPr>
        <w:t xml:space="preserve">Comparing </w:t>
      </w: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m:t>
            </m:r>
          </m:sub>
        </m:sSub>
        <m:r>
          <w:rPr>
            <w:rFonts w:ascii="Cambria Math" w:eastAsiaTheme="minorEastAsia" w:hAnsi="Cambria Math" w:cs="Times New Roman"/>
            <w:szCs w:val="20"/>
          </w:rPr>
          <m:t xml:space="preserve"> </m:t>
        </m:r>
      </m:oMath>
      <w:r w:rsidR="00FC79F5" w:rsidRPr="001053F9">
        <w:rPr>
          <w:rFonts w:ascii="Times New Roman" w:eastAsiaTheme="minorEastAsia" w:hAnsi="Times New Roman" w:cs="Times New Roman"/>
          <w:szCs w:val="20"/>
        </w:rPr>
        <w:t xml:space="preserve">across different conferences </w:t>
      </w:r>
      <w:r w:rsidR="00AD034F" w:rsidRPr="001053F9">
        <w:rPr>
          <w:rFonts w:ascii="Times New Roman" w:eastAsiaTheme="minorEastAsia" w:hAnsi="Times New Roman" w:cs="Times New Roman"/>
          <w:szCs w:val="20"/>
        </w:rPr>
        <w:t xml:space="preserve">is of actual importance, as it </w:t>
      </w:r>
      <w:r w:rsidR="00FC79F5" w:rsidRPr="001053F9">
        <w:rPr>
          <w:rFonts w:ascii="Times New Roman" w:eastAsiaTheme="minorEastAsia" w:hAnsi="Times New Roman" w:cs="Times New Roman"/>
          <w:szCs w:val="20"/>
        </w:rPr>
        <w:t xml:space="preserve">means that differences in fairness can be interpreted via values on the same scale. </w:t>
      </w:r>
      <w:r w:rsidR="000558D1" w:rsidRPr="001053F9">
        <w:rPr>
          <w:rFonts w:ascii="Times New Roman" w:eastAsiaTheme="minorEastAsia" w:hAnsi="Times New Roman" w:cs="Times New Roman"/>
          <w:szCs w:val="20"/>
        </w:rPr>
        <w:t xml:space="preserve">Since the </w:t>
      </w:r>
      <w:r w:rsidR="003D04CC" w:rsidRPr="001053F9">
        <w:rPr>
          <w:rFonts w:ascii="Times New Roman" w:eastAsiaTheme="minorEastAsia" w:hAnsi="Times New Roman" w:cs="Times New Roman"/>
          <w:szCs w:val="20"/>
        </w:rPr>
        <w:t xml:space="preserve">fairness was computed using </w:t>
      </w:r>
      <w:r w:rsidR="00E8221E" w:rsidRPr="001053F9">
        <w:rPr>
          <w:rFonts w:ascii="Times New Roman" w:eastAsiaTheme="minorEastAsia" w:hAnsi="Times New Roman" w:cs="Times New Roman"/>
          <w:szCs w:val="20"/>
        </w:rPr>
        <w:t xml:space="preserve">two </w:t>
      </w:r>
      <w:r w:rsidR="003D04CC" w:rsidRPr="001053F9">
        <w:rPr>
          <w:rFonts w:ascii="Times New Roman" w:eastAsiaTheme="minorEastAsia" w:hAnsi="Times New Roman" w:cs="Times New Roman"/>
          <w:szCs w:val="20"/>
        </w:rPr>
        <w:t>ratio</w:t>
      </w:r>
      <w:r w:rsidR="00E8221E" w:rsidRPr="001053F9">
        <w:rPr>
          <w:rFonts w:ascii="Times New Roman" w:eastAsiaTheme="minorEastAsia" w:hAnsi="Times New Roman" w:cs="Times New Roman"/>
          <w:szCs w:val="20"/>
        </w:rPr>
        <w:t>s</w:t>
      </w:r>
      <w:r w:rsidR="003D04CC" w:rsidRPr="001053F9">
        <w:rPr>
          <w:rFonts w:ascii="Times New Roman" w:eastAsiaTheme="minorEastAsia" w:hAnsi="Times New Roman" w:cs="Times New Roman"/>
          <w:szCs w:val="20"/>
        </w:rPr>
        <w:t xml:space="preserve"> </w:t>
      </w:r>
      <w:r w:rsidR="00FA31AD" w:rsidRPr="001053F9">
        <w:rPr>
          <w:rFonts w:ascii="Times New Roman" w:eastAsiaTheme="minorEastAsia" w:hAnsi="Times New Roman" w:cs="Times New Roman"/>
          <w:szCs w:val="20"/>
        </w:rPr>
        <w:t xml:space="preserve">of metrics on a particular subset versus the entire network, </w:t>
      </w:r>
      <w:r w:rsidR="00916F43" w:rsidRPr="001053F9">
        <w:rPr>
          <w:rFonts w:ascii="Times New Roman" w:eastAsiaTheme="minorEastAsia" w:hAnsi="Times New Roman" w:cs="Times New Roman"/>
          <w:szCs w:val="20"/>
        </w:rPr>
        <w:t>the value retains a consistent meaning despite any size of the conference.</w:t>
      </w:r>
      <w:r w:rsidR="00806664">
        <w:rPr>
          <w:rFonts w:ascii="Times New Roman" w:eastAsiaTheme="minorEastAsia" w:hAnsi="Times New Roman" w:cs="Times New Roman"/>
          <w:szCs w:val="20"/>
        </w:rPr>
        <w:t xml:space="preserve"> Looking at differences in the average fairness of NOCS and ICCAD would yield more </w:t>
      </w:r>
      <w:r w:rsidR="00885049">
        <w:rPr>
          <w:rFonts w:ascii="Times New Roman" w:eastAsiaTheme="minorEastAsia" w:hAnsi="Times New Roman" w:cs="Times New Roman"/>
          <w:szCs w:val="20"/>
        </w:rPr>
        <w:t xml:space="preserve">meaning </w:t>
      </w:r>
      <w:r w:rsidR="00F01E93">
        <w:rPr>
          <w:rFonts w:ascii="Times New Roman" w:eastAsiaTheme="minorEastAsia" w:hAnsi="Times New Roman" w:cs="Times New Roman"/>
          <w:szCs w:val="20"/>
        </w:rPr>
        <w:t>than a</w:t>
      </w:r>
      <w:r w:rsidR="00885049">
        <w:rPr>
          <w:rFonts w:ascii="Times New Roman" w:eastAsiaTheme="minorEastAsia" w:hAnsi="Times New Roman" w:cs="Times New Roman"/>
          <w:szCs w:val="20"/>
        </w:rPr>
        <w:t xml:space="preserve"> total average.</w:t>
      </w:r>
    </w:p>
    <w:p w:rsidR="00FE46B8" w:rsidRPr="001053F9" w:rsidRDefault="000A712F" w:rsidP="00FF0532">
      <w:pPr>
        <w:rPr>
          <w:rFonts w:ascii="Times New Roman" w:eastAsiaTheme="minorEastAsia" w:hAnsi="Times New Roman" w:cs="Times New Roman"/>
        </w:rPr>
      </w:pPr>
      <w:r w:rsidRPr="001053F9">
        <w:rPr>
          <w:rFonts w:ascii="Times New Roman" w:hAnsi="Times New Roman" w:cs="Times New Roman"/>
          <w:sz w:val="20"/>
          <w:szCs w:val="20"/>
        </w:rPr>
        <w:t xml:space="preserve">When dealing with the average fairness of NOCS, </w:t>
      </w: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m:t>
            </m:r>
            <m:r>
              <w:rPr>
                <w:rFonts w:ascii="Cambria Math" w:hAnsi="Cambria Math" w:cs="Times New Roman"/>
                <w:szCs w:val="20"/>
              </w:rPr>
              <m:t>-nocs-subset</m:t>
            </m:r>
          </m:sub>
        </m:sSub>
        <m:r>
          <w:rPr>
            <w:rFonts w:ascii="Cambria Math" w:hAnsi="Cambria Math" w:cs="Times New Roman"/>
            <w:szCs w:val="20"/>
          </w:rPr>
          <m:t xml:space="preserve"> </m:t>
        </m:r>
      </m:oMath>
      <w:r w:rsidRPr="001053F9">
        <w:rPr>
          <w:rFonts w:ascii="Times New Roman" w:eastAsiaTheme="minorEastAsia" w:hAnsi="Times New Roman" w:cs="Times New Roman"/>
          <w:szCs w:val="20"/>
        </w:rPr>
        <w:t xml:space="preserve">will be used </w:t>
      </w:r>
      <w:r w:rsidR="003F1809" w:rsidRPr="001053F9">
        <w:rPr>
          <w:rFonts w:ascii="Times New Roman" w:eastAsiaTheme="minorEastAsia" w:hAnsi="Times New Roman" w:cs="Times New Roman"/>
          <w:szCs w:val="20"/>
        </w:rPr>
        <w:t xml:space="preserve">rather than </w:t>
      </w: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m:t>
            </m:r>
            <m:r>
              <w:rPr>
                <w:rFonts w:ascii="Cambria Math" w:hAnsi="Cambria Math" w:cs="Times New Roman"/>
                <w:szCs w:val="20"/>
              </w:rPr>
              <m:t>-nocs</m:t>
            </m:r>
          </m:sub>
        </m:sSub>
        <m:r>
          <w:rPr>
            <w:rFonts w:ascii="Cambria Math" w:eastAsiaTheme="minorEastAsia" w:hAnsi="Cambria Math" w:cs="Times New Roman"/>
            <w:szCs w:val="20"/>
          </w:rPr>
          <m:t xml:space="preserve"> </m:t>
        </m:r>
      </m:oMath>
      <w:r w:rsidR="003F1809" w:rsidRPr="001053F9">
        <w:rPr>
          <w:rFonts w:ascii="Times New Roman" w:eastAsiaTheme="minorEastAsia" w:hAnsi="Times New Roman" w:cs="Times New Roman"/>
          <w:szCs w:val="20"/>
        </w:rPr>
        <w:t xml:space="preserve">so that the “perfect” years do not influence the </w:t>
      </w:r>
      <w:r w:rsidR="00174F60" w:rsidRPr="001053F9">
        <w:rPr>
          <w:rFonts w:ascii="Times New Roman" w:eastAsiaTheme="minorEastAsia" w:hAnsi="Times New Roman" w:cs="Times New Roman"/>
          <w:szCs w:val="20"/>
        </w:rPr>
        <w:t xml:space="preserve">fairness of the other years. </w:t>
      </w:r>
      <w:r w:rsidR="009B24DC" w:rsidRPr="001053F9">
        <w:rPr>
          <w:rFonts w:ascii="Times New Roman" w:eastAsiaTheme="minorEastAsia" w:hAnsi="Times New Roman" w:cs="Times New Roman"/>
          <w:szCs w:val="20"/>
        </w:rPr>
        <w:t>It could be argued that the two perfect years should increase the average fairnes</w:t>
      </w:r>
      <w:r w:rsidR="00573532" w:rsidRPr="001053F9">
        <w:rPr>
          <w:rFonts w:ascii="Times New Roman" w:eastAsiaTheme="minorEastAsia" w:hAnsi="Times New Roman" w:cs="Times New Roman"/>
          <w:szCs w:val="20"/>
        </w:rPr>
        <w:t xml:space="preserve">s of the conference as a whole – and it does, from </w:t>
      </w:r>
      <w:r w:rsidR="00C96950" w:rsidRPr="001053F9">
        <w:rPr>
          <w:rFonts w:ascii="Times New Roman" w:eastAsiaTheme="minorEastAsia" w:hAnsi="Times New Roman" w:cs="Times New Roman"/>
          <w:szCs w:val="20"/>
        </w:rPr>
        <w:t>2.43</w:t>
      </w:r>
      <w:r w:rsidR="00573532" w:rsidRPr="001053F9">
        <w:rPr>
          <w:rFonts w:ascii="Times New Roman" w:eastAsiaTheme="minorEastAsia" w:hAnsi="Times New Roman" w:cs="Times New Roman"/>
          <w:szCs w:val="20"/>
        </w:rPr>
        <w:t xml:space="preserve"> to 15.84. However, this implies that most years, the conference has fairness ranging from somewhere around 10.00 to 20.00, whereas in reality for two </w:t>
      </w:r>
      <w:r w:rsidR="00103FBC" w:rsidRPr="001053F9">
        <w:rPr>
          <w:rFonts w:ascii="Times New Roman" w:eastAsiaTheme="minorEastAsia" w:hAnsi="Times New Roman" w:cs="Times New Roman"/>
          <w:szCs w:val="20"/>
        </w:rPr>
        <w:br/>
      </w:r>
      <w:r w:rsidR="00103FBC" w:rsidRPr="001053F9">
        <w:rPr>
          <w:rFonts w:ascii="Times New Roman" w:hAnsi="Times New Roman" w:cs="Times New Roman"/>
          <w:sz w:val="20"/>
          <w:szCs w:val="20"/>
        </w:rPr>
        <w:lastRenderedPageBreak/>
        <w:t xml:space="preserve">“perfect” years,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f</m:t>
            </m:r>
          </m:sub>
        </m:sSub>
      </m:oMath>
      <w:r w:rsidR="00EE61BF" w:rsidRPr="001053F9">
        <w:rPr>
          <w:rFonts w:ascii="Times New Roman" w:eastAsiaTheme="minorEastAsia" w:hAnsi="Times New Roman" w:cs="Times New Roman"/>
          <w:b/>
        </w:rPr>
        <w:t xml:space="preserve"> </w:t>
      </w:r>
      <w:r w:rsidR="00DD2ED0" w:rsidRPr="001053F9">
        <w:rPr>
          <w:rFonts w:ascii="Times New Roman" w:eastAsiaTheme="minorEastAsia" w:hAnsi="Times New Roman" w:cs="Times New Roman"/>
        </w:rPr>
        <w:t xml:space="preserve">ranged from 30 to 40, but for the rest the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sidR="00DD2ED0" w:rsidRPr="001053F9">
        <w:rPr>
          <w:rFonts w:ascii="Times New Roman" w:eastAsiaTheme="minorEastAsia" w:hAnsi="Times New Roman" w:cs="Times New Roman"/>
          <w:b/>
        </w:rPr>
        <w:t xml:space="preserve"> </w:t>
      </w:r>
      <w:r w:rsidR="00DD2ED0" w:rsidRPr="001053F9">
        <w:rPr>
          <w:rFonts w:ascii="Times New Roman" w:eastAsiaTheme="minorEastAsia" w:hAnsi="Times New Roman" w:cs="Times New Roman"/>
        </w:rPr>
        <w:t xml:space="preserve">was actually more closer to </w:t>
      </w:r>
      <w:r w:rsidR="00B60327" w:rsidRPr="001053F9">
        <w:rPr>
          <w:rFonts w:ascii="Times New Roman" w:eastAsiaTheme="minorEastAsia" w:hAnsi="Times New Roman" w:cs="Times New Roman"/>
        </w:rPr>
        <w:t>2 or 3</w:t>
      </w:r>
      <w:r w:rsidR="00D8374E" w:rsidRPr="001053F9">
        <w:rPr>
          <w:rFonts w:ascii="Times New Roman" w:eastAsiaTheme="minorEastAsia" w:hAnsi="Times New Roman" w:cs="Times New Roman"/>
        </w:rPr>
        <w:t xml:space="preserve">. </w:t>
      </w:r>
      <w:r w:rsidR="00596C76">
        <w:rPr>
          <w:rFonts w:ascii="Times New Roman" w:eastAsiaTheme="minorEastAsia" w:hAnsi="Times New Roman" w:cs="Times New Roman"/>
        </w:rPr>
        <w:t xml:space="preserve">The two years may have been temporary </w:t>
      </w:r>
      <w:r w:rsidR="00BB573C">
        <w:rPr>
          <w:rFonts w:ascii="Times New Roman" w:eastAsiaTheme="minorEastAsia" w:hAnsi="Times New Roman" w:cs="Times New Roman"/>
        </w:rPr>
        <w:t>bursts of fairness, but it is not logical to assume that</w:t>
      </w:r>
      <w:r w:rsidR="002E7A41">
        <w:rPr>
          <w:rFonts w:ascii="Times New Roman" w:eastAsiaTheme="minorEastAsia" w:hAnsi="Times New Roman" w:cs="Times New Roman"/>
        </w:rPr>
        <w:t xml:space="preserve"> other years not sampled would have similar values due to the fact that during the majority of the time</w:t>
      </w:r>
      <w:r w:rsidR="00BB573C">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sidR="00FE46B8">
        <w:rPr>
          <w:rFonts w:ascii="Times New Roman" w:eastAsiaTheme="minorEastAsia" w:hAnsi="Times New Roman" w:cs="Times New Roman"/>
        </w:rPr>
        <w:t xml:space="preserve"> was actually far lower. </w:t>
      </w:r>
    </w:p>
    <w:p w:rsidR="00937CA4" w:rsidRDefault="00AB3AF4" w:rsidP="00FF0532">
      <w:pPr>
        <w:rPr>
          <w:rFonts w:ascii="Times New Roman" w:eastAsiaTheme="minorEastAsia" w:hAnsi="Times New Roman" w:cs="Times New Roman"/>
        </w:rPr>
      </w:pPr>
      <w:r>
        <w:rPr>
          <w:rFonts w:ascii="Times New Roman" w:eastAsiaTheme="minorEastAsia" w:hAnsi="Times New Roman" w:cs="Times New Roman"/>
        </w:rPr>
        <w:t>Now, a</w:t>
      </w:r>
      <w:r w:rsidR="00093A4C" w:rsidRPr="001053F9">
        <w:rPr>
          <w:rFonts w:ascii="Times New Roman" w:eastAsiaTheme="minorEastAsia" w:hAnsi="Times New Roman" w:cs="Times New Roman"/>
        </w:rPr>
        <w:t xml:space="preserve">ssuming that the average fairness of NOCS is then represented </w:t>
      </w:r>
      <w:r w:rsidR="001053F9" w:rsidRPr="001053F9">
        <w:rPr>
          <w:rFonts w:ascii="Times New Roman" w:hAnsi="Times New Roman" w:cs="Times New Roman"/>
        </w:rPr>
        <w:t>by</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f-nocs-subset</m:t>
            </m:r>
          </m:sub>
        </m:sSub>
      </m:oMath>
      <w:r w:rsidR="005D7CA4">
        <w:rPr>
          <w:rFonts w:ascii="Times New Roman" w:eastAsiaTheme="minorEastAsia" w:hAnsi="Times New Roman" w:cs="Times New Roman"/>
        </w:rPr>
        <w:t xml:space="preserve">, </w:t>
      </w:r>
      <w:r w:rsidR="004568E5">
        <w:rPr>
          <w:rFonts w:ascii="Times New Roman" w:eastAsiaTheme="minorEastAsia" w:hAnsi="Times New Roman" w:cs="Times New Roman"/>
        </w:rPr>
        <w:t xml:space="preserve">we can assume that </w:t>
      </w:r>
      <w:r w:rsidR="00803EAB">
        <w:rPr>
          <w:rFonts w:ascii="Times New Roman" w:eastAsiaTheme="minorEastAsia" w:hAnsi="Times New Roman" w:cs="Times New Roman"/>
        </w:rPr>
        <w:t>the fairness of NOCS in most years should be close to 2.43.</w:t>
      </w:r>
      <w:r w:rsidR="007D7A51">
        <w:rPr>
          <w:rFonts w:ascii="Times New Roman" w:eastAsiaTheme="minorEastAsia" w:hAnsi="Times New Roman" w:cs="Times New Roman"/>
        </w:rPr>
        <w:t xml:space="preserve"> ICCAD’s fairness computation </w:t>
      </w:r>
      <w:r w:rsidR="00F01E93">
        <w:rPr>
          <w:rFonts w:ascii="Times New Roman" w:eastAsiaTheme="minorEastAsia" w:hAnsi="Times New Roman" w:cs="Times New Roman"/>
        </w:rPr>
        <w:t xml:space="preserve">requires no exclusion due to the fact that there are no abnormally </w:t>
      </w:r>
      <w:r w:rsidR="00C93F60">
        <w:rPr>
          <w:rFonts w:ascii="Times New Roman" w:eastAsiaTheme="minorEastAsia" w:hAnsi="Times New Roman" w:cs="Times New Roman"/>
        </w:rPr>
        <w:t xml:space="preserve">fair or </w:t>
      </w:r>
      <w:r w:rsidR="00BE0AB0">
        <w:rPr>
          <w:rFonts w:ascii="Times New Roman" w:eastAsiaTheme="minorEastAsia" w:hAnsi="Times New Roman" w:cs="Times New Roman"/>
        </w:rPr>
        <w:t xml:space="preserve">unfair years in the time </w:t>
      </w:r>
      <w:bookmarkStart w:id="4" w:name="_GoBack"/>
      <w:bookmarkEnd w:id="4"/>
      <w:r w:rsidR="00BE0AB0">
        <w:rPr>
          <w:rFonts w:ascii="Times New Roman" w:eastAsiaTheme="minorEastAsia" w:hAnsi="Times New Roman" w:cs="Times New Roman"/>
        </w:rPr>
        <w:t xml:space="preserve">range, and we can assume that the conference’s fairness in most years should be close to </w:t>
      </w:r>
      <w:r w:rsidR="00B02F79">
        <w:rPr>
          <w:rFonts w:ascii="Times New Roman" w:eastAsiaTheme="minorEastAsia" w:hAnsi="Times New Roman" w:cs="Times New Roman"/>
        </w:rPr>
        <w:t xml:space="preserve">4.94. </w:t>
      </w:r>
      <w:r w:rsidR="003C7FA3">
        <w:rPr>
          <w:rFonts w:ascii="Times New Roman" w:eastAsiaTheme="minorEastAsia" w:hAnsi="Times New Roman" w:cs="Times New Roman"/>
        </w:rPr>
        <w:t xml:space="preserve">At first glance, </w:t>
      </w:r>
      <w:r w:rsidR="00BC1F58">
        <w:rPr>
          <w:rFonts w:ascii="Times New Roman" w:eastAsiaTheme="minorEastAsia" w:hAnsi="Times New Roman" w:cs="Times New Roman"/>
        </w:rPr>
        <w:t xml:space="preserve">this makes it seem like ICCAD is generally 103% more fair than NOCS, but remembering </w:t>
      </w:r>
      <w:r w:rsidR="00B64E7A">
        <w:rPr>
          <w:rFonts w:ascii="Times New Roman" w:eastAsiaTheme="minorEastAsia" w:hAnsi="Times New Roman" w:cs="Times New Roman"/>
        </w:rPr>
        <w:t xml:space="preserve">that the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sidR="002D407A">
        <w:rPr>
          <w:rFonts w:ascii="Times New Roman" w:eastAsiaTheme="minorEastAsia" w:hAnsi="Times New Roman" w:cs="Times New Roman"/>
        </w:rPr>
        <w:t xml:space="preserve"> for two of the years </w:t>
      </w:r>
      <w:r w:rsidR="005116F8">
        <w:rPr>
          <w:rFonts w:ascii="Times New Roman" w:eastAsiaTheme="minorEastAsia" w:hAnsi="Times New Roman" w:cs="Times New Roman"/>
        </w:rPr>
        <w:t xml:space="preserve">was near 30 or 40, it can be concluded, more interestingly, that NOCS </w:t>
      </w:r>
      <w:r w:rsidR="00F06514">
        <w:rPr>
          <w:rFonts w:ascii="Times New Roman" w:eastAsiaTheme="minorEastAsia" w:hAnsi="Times New Roman" w:cs="Times New Roman"/>
        </w:rPr>
        <w:t xml:space="preserve">had </w:t>
      </w:r>
      <w:r w:rsidR="005116F8">
        <w:rPr>
          <w:rFonts w:ascii="Times New Roman" w:eastAsiaTheme="minorEastAsia" w:hAnsi="Times New Roman" w:cs="Times New Roman"/>
        </w:rPr>
        <w:t>massive swings in fairness</w:t>
      </w:r>
      <w:r w:rsidR="00057154">
        <w:rPr>
          <w:rFonts w:ascii="Times New Roman" w:eastAsiaTheme="minorEastAsia" w:hAnsi="Times New Roman" w:cs="Times New Roman"/>
        </w:rPr>
        <w:t xml:space="preserve"> between 2010 and 2011 and between 2012 and 2013</w:t>
      </w:r>
      <w:r w:rsidR="00625EF6">
        <w:rPr>
          <w:rFonts w:ascii="Times New Roman" w:eastAsiaTheme="minorEastAsia" w:hAnsi="Times New Roman" w:cs="Times New Roman"/>
        </w:rPr>
        <w:t>.</w:t>
      </w:r>
    </w:p>
    <w:p w:rsidR="00F4740A" w:rsidRDefault="00625EF6" w:rsidP="00FF0532">
      <w:pPr>
        <w:rPr>
          <w:rFonts w:ascii="Times New Roman" w:eastAsiaTheme="minorEastAsia" w:hAnsi="Times New Roman" w:cs="Times New Roman"/>
        </w:rPr>
      </w:pPr>
      <w:r>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f</m:t>
                </m:r>
              </m:sub>
            </m:sSub>
          </m:e>
        </m:acc>
      </m:oMath>
      <w:r>
        <w:rPr>
          <w:rFonts w:ascii="Times New Roman" w:eastAsiaTheme="minorEastAsia" w:hAnsi="Times New Roman" w:cs="Times New Roman"/>
        </w:rPr>
        <w:t xml:space="preserve"> </w:t>
      </w:r>
      <w:r w:rsidR="00D536D8">
        <w:rPr>
          <w:rFonts w:ascii="Times New Roman" w:eastAsiaTheme="minorEastAsia" w:hAnsi="Times New Roman" w:cs="Times New Roman"/>
        </w:rPr>
        <w:t>represents</w:t>
      </w:r>
      <w:r>
        <w:rPr>
          <w:rFonts w:ascii="Times New Roman" w:eastAsiaTheme="minorEastAsia" w:hAnsi="Times New Roman" w:cs="Times New Roman"/>
        </w:rPr>
        <w:t xml:space="preserve"> the average amount of fairness change in the conference</w:t>
      </w:r>
      <w:r w:rsidR="00EC1BAD">
        <w:rPr>
          <w:rFonts w:ascii="Times New Roman" w:eastAsiaTheme="minorEastAsia" w:hAnsi="Times New Roman" w:cs="Times New Roman"/>
        </w:rPr>
        <w:t>, and</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sub>
        </m:sSub>
      </m:oMath>
      <w:r w:rsidR="00E85049">
        <w:rPr>
          <w:rFonts w:ascii="Times New Roman" w:eastAsiaTheme="minorEastAsia" w:hAnsi="Times New Roman" w:cs="Times New Roman"/>
        </w:rPr>
        <w:t xml:space="preserve"> could be used to define the “stability” of the conference</w:t>
      </w:r>
      <w:r w:rsidR="00F4740A">
        <w:rPr>
          <w:rFonts w:ascii="Times New Roman" w:eastAsiaTheme="minorEastAsia" w:hAnsi="Times New Roman" w:cs="Times New Roman"/>
        </w:rPr>
        <w:t>.</w:t>
      </w:r>
    </w:p>
    <w:p w:rsidR="00F4740A" w:rsidRDefault="00EC1BAD" w:rsidP="00FF0532">
      <w:pPr>
        <w:rPr>
          <w:rFonts w:ascii="Times New Roman" w:eastAsiaTheme="minorEastAsia" w:hAnsi="Times New Roman" w:cs="Times New Roman"/>
        </w:rPr>
      </w:pP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sub>
        </m:sSub>
        <m:r>
          <w:rPr>
            <w:rFonts w:ascii="Cambria Math" w:eastAsiaTheme="minorEastAsia" w:hAnsi="Cambria Math" w:cs="Times New Roman"/>
          </w:rPr>
          <m:t>=</m:t>
        </m:r>
        <m:r>
          <w:rPr>
            <w:rFonts w:ascii="Cambria Math" w:eastAsiaTheme="minorEastAsia" w:hAnsi="Cambria Math" w:cs="Times New Roman"/>
          </w:rPr>
          <m:t>10</m:t>
        </m:r>
        <m:r>
          <w:rPr>
            <w:rFonts w:ascii="Cambria Math" w:eastAsiaTheme="minorEastAsia" w:hAnsi="Cambria Math" w:cs="Times New Roman"/>
          </w:rPr>
          <m:t>0</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f</m:t>
                    </m:r>
                  </m:sub>
                </m:sSub>
              </m:e>
            </m:acc>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rPr>
          <m:t>10</m:t>
        </m:r>
        <m:r>
          <w:rPr>
            <w:rFonts w:ascii="Cambria Math" w:eastAsiaTheme="minorEastAsia" w:hAnsi="Cambria Math" w:cs="Times New Roman"/>
          </w:rPr>
          <m:t>0</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f</m:t>
                    </m:r>
                  </m:sub>
                </m:sSub>
              </m:e>
            </m:acc>
          </m:den>
        </m:f>
        <m:r>
          <w:rPr>
            <w:rFonts w:ascii="Cambria Math" w:eastAsiaTheme="minorEastAsia" w:hAnsi="Cambria Math" w:cs="Times New Roman"/>
          </w:rPr>
          <m:t xml:space="preserve"> </m:t>
        </m:r>
      </m:oMath>
      <w:r w:rsidR="000E664C">
        <w:rPr>
          <w:rFonts w:ascii="Times New Roman" w:eastAsiaTheme="minorEastAsia" w:hAnsi="Times New Roman" w:cs="Times New Roman"/>
        </w:rPr>
        <w:t xml:space="preserve"> </w:t>
      </w:r>
    </w:p>
    <w:p w:rsidR="00E32082" w:rsidRPr="006F01BC" w:rsidRDefault="00E32082" w:rsidP="00E32082">
      <w:pPr>
        <w:jc w:val="center"/>
        <w:rPr>
          <w:rFonts w:ascii="Times New Roman" w:eastAsiaTheme="minorEastAsia" w:hAnsi="Times New Roman" w:cs="Times New Roman"/>
          <w:sz w:val="18"/>
          <w:szCs w:val="20"/>
        </w:rPr>
      </w:pPr>
      <w:r w:rsidRPr="006F01BC">
        <w:rPr>
          <w:rFonts w:ascii="Times New Roman" w:hAnsi="Times New Roman" w:cs="Times New Roman"/>
          <w:sz w:val="18"/>
          <w:szCs w:val="20"/>
        </w:rPr>
        <w:t xml:space="preserve">NB: </w:t>
      </w:r>
      <m:oMath>
        <m:sSub>
          <m:sSubPr>
            <m:ctrlPr>
              <w:rPr>
                <w:rFonts w:ascii="Cambria Math" w:eastAsiaTheme="minorEastAsia" w:hAnsi="Cambria Math" w:cs="Times New Roman"/>
                <w:i/>
                <w:sz w:val="18"/>
                <w:szCs w:val="20"/>
              </w:rPr>
            </m:ctrlPr>
          </m:sSubPr>
          <m:e>
            <m:r>
              <w:rPr>
                <w:rFonts w:ascii="Cambria Math" w:eastAsiaTheme="minorEastAsia" w:hAnsi="Cambria Math" w:cs="Times New Roman"/>
                <w:sz w:val="18"/>
                <w:szCs w:val="20"/>
              </w:rPr>
              <m:t xml:space="preserve"> s</m:t>
            </m:r>
          </m:e>
          <m:sub>
            <m:r>
              <w:rPr>
                <w:rFonts w:ascii="Cambria Math" w:eastAsiaTheme="minorEastAsia" w:hAnsi="Cambria Math" w:cs="Times New Roman"/>
                <w:sz w:val="18"/>
                <w:szCs w:val="20"/>
              </w:rPr>
              <m:t>f</m:t>
            </m:r>
          </m:sub>
        </m:sSub>
      </m:oMath>
      <w:r w:rsidR="006F01BC" w:rsidRPr="006F01BC">
        <w:rPr>
          <w:rFonts w:ascii="Times New Roman" w:eastAsiaTheme="minorEastAsia" w:hAnsi="Times New Roman" w:cs="Times New Roman"/>
          <w:sz w:val="18"/>
          <w:szCs w:val="20"/>
        </w:rPr>
        <w:t xml:space="preserve"> was scaled</w:t>
      </w:r>
      <w:r w:rsidR="006F01BC">
        <w:rPr>
          <w:rFonts w:ascii="Times New Roman" w:eastAsiaTheme="minorEastAsia" w:hAnsi="Times New Roman" w:cs="Times New Roman"/>
          <w:sz w:val="18"/>
          <w:szCs w:val="20"/>
        </w:rPr>
        <w:t xml:space="preserve"> by 100 </w:t>
      </w:r>
      <w:r w:rsidR="000674B5">
        <w:rPr>
          <w:rFonts w:ascii="Times New Roman" w:eastAsiaTheme="minorEastAsia" w:hAnsi="Times New Roman" w:cs="Times New Roman"/>
          <w:sz w:val="18"/>
          <w:szCs w:val="20"/>
        </w:rPr>
        <w:t xml:space="preserve">to </w:t>
      </w:r>
      <w:r w:rsidR="00B712EE">
        <w:rPr>
          <w:rFonts w:ascii="Times New Roman" w:eastAsiaTheme="minorEastAsia" w:hAnsi="Times New Roman" w:cs="Times New Roman"/>
          <w:sz w:val="18"/>
          <w:szCs w:val="20"/>
        </w:rPr>
        <w:t>normalize its scale to the other variables such as</w:t>
      </w: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 xml:space="preserve"> </m:t>
            </m:r>
            <m:r>
              <w:rPr>
                <w:rFonts w:ascii="Cambria Math" w:eastAsiaTheme="minorEastAsia" w:hAnsi="Cambria Math" w:cs="Times New Roman"/>
                <w:sz w:val="20"/>
              </w:rPr>
              <m:t>v</m:t>
            </m:r>
          </m:e>
          <m:sub>
            <m:r>
              <w:rPr>
                <w:rFonts w:ascii="Cambria Math" w:eastAsiaTheme="minorEastAsia" w:hAnsi="Cambria Math" w:cs="Times New Roman"/>
                <w:sz w:val="20"/>
              </w:rPr>
              <m:t>f</m:t>
            </m:r>
          </m:sub>
        </m:sSub>
      </m:oMath>
    </w:p>
    <w:p w:rsidR="00D63DF8" w:rsidRDefault="00161D3B" w:rsidP="00FF0532">
      <w:pPr>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r>
              <w:rPr>
                <w:rFonts w:ascii="Cambria Math" w:eastAsiaTheme="minorEastAsia" w:hAnsi="Cambria Math" w:cs="Times New Roman"/>
              </w:rPr>
              <m:t>-nocs-perfect</m:t>
            </m:r>
          </m:sub>
        </m:sSub>
      </m:oMath>
      <w:r w:rsidR="00F339E0">
        <w:rPr>
          <w:rFonts w:ascii="Times New Roman" w:eastAsiaTheme="minorEastAsia" w:hAnsi="Times New Roman" w:cs="Times New Roman"/>
        </w:rPr>
        <w:t xml:space="preserve">, computed as stability </w:t>
      </w:r>
      <w:r w:rsidR="00924223">
        <w:rPr>
          <w:rFonts w:ascii="Times New Roman" w:eastAsiaTheme="minorEastAsia" w:hAnsi="Times New Roman" w:cs="Times New Roman"/>
        </w:rPr>
        <w:t>across 2010 and 2011 and 2012 and 2013, was equal to</w:t>
      </w:r>
      <w:r w:rsidR="00970225">
        <w:rPr>
          <w:rFonts w:ascii="Times New Roman" w:eastAsiaTheme="minorEastAsia" w:hAnsi="Times New Roman" w:cs="Times New Roman"/>
        </w:rPr>
        <w:t xml:space="preserve"> 2.99</w:t>
      </w:r>
      <w:r w:rsidR="001331F5">
        <w:rPr>
          <w:rFonts w:ascii="Times New Roman" w:eastAsiaTheme="minorEastAsia" w:hAnsi="Times New Roman" w:cs="Times New Roman"/>
        </w:rPr>
        <w:t xml:space="preserve">. </w:t>
      </w:r>
      <w:r w:rsidR="00F15980">
        <w:rPr>
          <w:rFonts w:ascii="Times New Roman" w:eastAsiaTheme="minorEastAsia" w:hAnsi="Times New Roman" w:cs="Times New Roman"/>
        </w:rPr>
        <w:t xml:space="preserve">When computed using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f</m:t>
            </m:r>
          </m:sub>
        </m:sSub>
      </m:oMath>
      <w:r w:rsidR="00ED79BB">
        <w:rPr>
          <w:rFonts w:ascii="Times New Roman" w:eastAsiaTheme="minorEastAsia" w:hAnsi="Times New Roman" w:cs="Times New Roman"/>
        </w:rPr>
        <w:t xml:space="preserve"> across the other time periods,</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r>
              <w:rPr>
                <w:rFonts w:ascii="Cambria Math" w:eastAsiaTheme="minorEastAsia" w:hAnsi="Cambria Math" w:cs="Times New Roman"/>
              </w:rPr>
              <m:t>-nocs-regular</m:t>
            </m:r>
          </m:sub>
        </m:sSub>
      </m:oMath>
      <w:r w:rsidR="00ED79BB">
        <w:rPr>
          <w:rFonts w:ascii="Times New Roman" w:eastAsiaTheme="minorEastAsia" w:hAnsi="Times New Roman" w:cs="Times New Roman"/>
        </w:rPr>
        <w:t xml:space="preserve"> </w:t>
      </w:r>
      <w:r w:rsidR="004A01A5">
        <w:rPr>
          <w:rFonts w:ascii="Times New Roman" w:eastAsiaTheme="minorEastAsia" w:hAnsi="Times New Roman" w:cs="Times New Roman"/>
        </w:rPr>
        <w:t>was equal to</w:t>
      </w:r>
      <w:r w:rsidR="001C530E">
        <w:rPr>
          <w:rFonts w:ascii="Times New Roman" w:eastAsiaTheme="minorEastAsia" w:hAnsi="Times New Roman" w:cs="Times New Roman"/>
        </w:rPr>
        <w:t xml:space="preserve"> 34.48</w:t>
      </w:r>
      <w:r w:rsidR="00C95318">
        <w:rPr>
          <w:rFonts w:ascii="Times New Roman" w:eastAsiaTheme="minorEastAsia" w:hAnsi="Times New Roman" w:cs="Times New Roman"/>
        </w:rPr>
        <w:t>.</w:t>
      </w:r>
      <w:r w:rsidR="004E3A0E">
        <w:rPr>
          <w:rFonts w:ascii="Times New Roman" w:eastAsiaTheme="minorEastAsia" w:hAnsi="Times New Roman" w:cs="Times New Roman"/>
        </w:rPr>
        <w:t xml:space="preserve"> During the time period of 2010 to 2013,</w:t>
      </w:r>
      <w:r w:rsidR="00CF7FF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r>
              <w:rPr>
                <w:rFonts w:ascii="Cambria Math" w:eastAsiaTheme="minorEastAsia" w:hAnsi="Cambria Math" w:cs="Times New Roman"/>
              </w:rPr>
              <m:t>-</m:t>
            </m:r>
            <m:r>
              <w:rPr>
                <w:rFonts w:ascii="Cambria Math" w:eastAsiaTheme="minorEastAsia" w:hAnsi="Cambria Math" w:cs="Times New Roman"/>
              </w:rPr>
              <m:t>nocs-perfect</m:t>
            </m:r>
          </m:sub>
        </m:sSub>
      </m:oMath>
      <w:r w:rsidR="00A03A3B">
        <w:rPr>
          <w:rFonts w:ascii="Times New Roman" w:eastAsiaTheme="minorEastAsia" w:hAnsi="Times New Roman" w:cs="Times New Roman"/>
        </w:rPr>
        <w:t xml:space="preserve"> approached 3, signifying massive</w:t>
      </w:r>
      <w:r w:rsidR="009C502B">
        <w:rPr>
          <w:rFonts w:ascii="Times New Roman" w:eastAsiaTheme="minorEastAsia" w:hAnsi="Times New Roman" w:cs="Times New Roman"/>
        </w:rPr>
        <w:t xml:space="preserve"> fairness instability</w:t>
      </w:r>
      <w:r w:rsidR="00CF7FFA">
        <w:rPr>
          <w:rFonts w:ascii="Times New Roman" w:eastAsiaTheme="minorEastAsia" w:hAnsi="Times New Roman" w:cs="Times New Roman"/>
        </w:rPr>
        <w:t xml:space="preserve">. </w:t>
      </w:r>
      <w:r w:rsidR="00FA57F4">
        <w:rPr>
          <w:rFonts w:ascii="Times New Roman" w:eastAsiaTheme="minorEastAsia" w:hAnsi="Times New Roman" w:cs="Times New Roman"/>
        </w:rPr>
        <w:t xml:space="preserve">For </w:t>
      </w:r>
      <w:r w:rsidR="00BE13A8">
        <w:rPr>
          <w:rFonts w:ascii="Times New Roman" w:eastAsiaTheme="minorEastAsia" w:hAnsi="Times New Roman" w:cs="Times New Roman"/>
        </w:rPr>
        <w:t>the regular time periods</w:t>
      </w:r>
      <w:r w:rsidR="0034422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r>
              <w:rPr>
                <w:rFonts w:ascii="Cambria Math" w:eastAsiaTheme="minorEastAsia" w:hAnsi="Cambria Math" w:cs="Times New Roman"/>
              </w:rPr>
              <m:t>nocs-</m:t>
            </m:r>
            <m:r>
              <w:rPr>
                <w:rFonts w:ascii="Cambria Math" w:eastAsiaTheme="minorEastAsia" w:hAnsi="Cambria Math" w:cs="Times New Roman"/>
              </w:rPr>
              <m:t>regular</m:t>
            </m:r>
          </m:sub>
        </m:sSub>
      </m:oMath>
      <w:r w:rsidR="00995F89">
        <w:rPr>
          <w:rFonts w:ascii="Times New Roman" w:eastAsiaTheme="minorEastAsia" w:hAnsi="Times New Roman" w:cs="Times New Roman"/>
        </w:rPr>
        <w:t xml:space="preserve"> </w:t>
      </w:r>
      <w:r w:rsidR="0033321F">
        <w:rPr>
          <w:rFonts w:ascii="Times New Roman" w:eastAsiaTheme="minorEastAsia" w:hAnsi="Times New Roman" w:cs="Times New Roman"/>
        </w:rPr>
        <w:t xml:space="preserve">approached 35, signifying a time period of relative stability, but not one completely devoid of tremors. </w:t>
      </w:r>
      <w:r w:rsidR="00503F4C">
        <w:rPr>
          <w:rFonts w:ascii="Times New Roman" w:eastAsiaTheme="minorEastAsia" w:hAnsi="Times New Roman" w:cs="Times New Roman"/>
        </w:rPr>
        <w:t xml:space="preserve">When computed across the entirety of </w:t>
      </w:r>
      <w:r w:rsidR="00FD5F98">
        <w:rPr>
          <w:rFonts w:ascii="Times New Roman" w:eastAsiaTheme="minorEastAsia" w:hAnsi="Times New Roman" w:cs="Times New Roman"/>
        </w:rPr>
        <w:t>NOCS</w:t>
      </w:r>
      <w:r w:rsidR="00503F4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r>
              <w:rPr>
                <w:rFonts w:ascii="Cambria Math" w:eastAsiaTheme="minorEastAsia" w:hAnsi="Cambria Math" w:cs="Times New Roman"/>
              </w:rPr>
              <m:t>-nocs</m:t>
            </m:r>
          </m:sub>
        </m:sSub>
        <m:r>
          <w:rPr>
            <w:rFonts w:ascii="Cambria Math" w:eastAsiaTheme="minorEastAsia" w:hAnsi="Cambria Math" w:cs="Times New Roman"/>
          </w:rPr>
          <m:t xml:space="preserve"> </m:t>
        </m:r>
      </m:oMath>
      <w:r w:rsidR="00503F4C">
        <w:rPr>
          <w:rFonts w:ascii="Times New Roman" w:eastAsiaTheme="minorEastAsia" w:hAnsi="Times New Roman" w:cs="Times New Roman"/>
        </w:rPr>
        <w:t>was equal to</w:t>
      </w:r>
      <w:r w:rsidR="00D63DF8">
        <w:rPr>
          <w:rFonts w:ascii="Times New Roman" w:eastAsiaTheme="minorEastAsia" w:hAnsi="Times New Roman" w:cs="Times New Roman"/>
        </w:rPr>
        <w:t xml:space="preserve"> 18.15.</w:t>
      </w:r>
      <w:r w:rsidR="00407AB5">
        <w:rPr>
          <w:rFonts w:ascii="Times New Roman" w:eastAsiaTheme="minorEastAsia" w:hAnsi="Times New Roman" w:cs="Times New Roman"/>
        </w:rPr>
        <w:t xml:space="preserve"> Despite not being as </w:t>
      </w:r>
      <w:r w:rsidR="00F55A71">
        <w:rPr>
          <w:rFonts w:ascii="Times New Roman" w:eastAsiaTheme="minorEastAsia" w:hAnsi="Times New Roman" w:cs="Times New Roman"/>
        </w:rPr>
        <w:t xml:space="preserve">protean across the five years as it was during the </w:t>
      </w:r>
      <w:r w:rsidR="00F55A71">
        <w:rPr>
          <w:rFonts w:ascii="Times New Roman" w:eastAsiaTheme="minorEastAsia" w:hAnsi="Times New Roman" w:cs="Times New Roman"/>
        </w:rPr>
        <w:lastRenderedPageBreak/>
        <w:t xml:space="preserve">first three, the conference as a whole remained rather unstable. </w:t>
      </w:r>
    </w:p>
    <w:p w:rsidR="00EE0340" w:rsidRDefault="00BD4424" w:rsidP="00FF0532">
      <w:pPr>
        <w:rPr>
          <w:rFonts w:ascii="Times New Roman" w:eastAsiaTheme="minorEastAsia" w:hAnsi="Times New Roman" w:cs="Times New Roman"/>
        </w:rPr>
      </w:pPr>
      <w:r>
        <w:rPr>
          <w:rFonts w:ascii="Times New Roman" w:eastAsiaTheme="minorEastAsia" w:hAnsi="Times New Roman" w:cs="Times New Roman"/>
        </w:rPr>
        <w:t xml:space="preserve">In the ICCAD conference, </w:t>
      </w:r>
      <w:r w:rsidR="0033321F">
        <w:rPr>
          <w:rFonts w:ascii="Times New Roman" w:eastAsiaTheme="minorEastAsia" w:hAnsi="Times New Roman" w:cs="Times New Roman"/>
        </w:rPr>
        <w:t xml:space="preserve">there </w:t>
      </w:r>
      <w:r>
        <w:rPr>
          <w:rFonts w:ascii="Times New Roman" w:eastAsiaTheme="minorEastAsia" w:hAnsi="Times New Roman" w:cs="Times New Roman"/>
        </w:rPr>
        <w:t xml:space="preserve">were </w:t>
      </w:r>
      <w:r w:rsidR="0033321F">
        <w:rPr>
          <w:rFonts w:ascii="Times New Roman" w:eastAsiaTheme="minorEastAsia" w:hAnsi="Times New Roman" w:cs="Times New Roman"/>
        </w:rPr>
        <w:t xml:space="preserve">no </w:t>
      </w:r>
      <w:r w:rsidR="003E191E">
        <w:rPr>
          <w:rFonts w:ascii="Times New Roman" w:eastAsiaTheme="minorEastAsia" w:hAnsi="Times New Roman" w:cs="Times New Roman"/>
        </w:rPr>
        <w:t xml:space="preserve">large changes in fairness necessitating </w:t>
      </w:r>
      <w:r w:rsidR="004C5A35">
        <w:rPr>
          <w:rFonts w:ascii="Times New Roman" w:eastAsiaTheme="minorEastAsia" w:hAnsi="Times New Roman" w:cs="Times New Roman"/>
        </w:rPr>
        <w:t>analysis of subsections of the five year span</w:t>
      </w:r>
      <w:r w:rsidR="007556D1">
        <w:rPr>
          <w:rFonts w:ascii="Times New Roman" w:eastAsiaTheme="minorEastAsia" w:hAnsi="Times New Roman" w:cs="Times New Roman"/>
        </w:rPr>
        <w:t>, so</w:t>
      </w:r>
      <w:r w:rsidR="001E78A8">
        <w:rPr>
          <w:rFonts w:ascii="Times New Roman" w:eastAsiaTheme="minorEastAsia" w:hAnsi="Times New Roman" w:cs="Times New Roman"/>
        </w:rPr>
        <w:t xml:space="preserve"> </w:t>
      </w:r>
      <w:r w:rsidR="004C5A35">
        <w:rPr>
          <w:rFonts w:ascii="Times New Roman" w:eastAsiaTheme="minorEastAsia" w:hAnsi="Times New Roman" w:cs="Times New Roman"/>
        </w:rPr>
        <w:t xml:space="preserve">a single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sub>
        </m:sSub>
      </m:oMath>
      <w:r w:rsidR="001E78A8">
        <w:rPr>
          <w:rFonts w:ascii="Times New Roman" w:eastAsiaTheme="minorEastAsia" w:hAnsi="Times New Roman" w:cs="Times New Roman"/>
        </w:rPr>
        <w:t xml:space="preserve"> value </w:t>
      </w:r>
      <w:r w:rsidR="007556D1">
        <w:rPr>
          <w:rFonts w:ascii="Times New Roman" w:eastAsiaTheme="minorEastAsia" w:hAnsi="Times New Roman" w:cs="Times New Roman"/>
        </w:rPr>
        <w:t xml:space="preserve">sufficed for representing the stability of the entire conference from 2010 to 2014. </w:t>
      </w:r>
      <w:r w:rsidR="004006A0">
        <w:rPr>
          <w:rFonts w:ascii="Times New Roman" w:eastAsiaTheme="minorEastAsia" w:hAnsi="Times New Roman" w:cs="Times New Roman"/>
        </w:rPr>
        <w:t>In the time period,</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r>
              <w:rPr>
                <w:rFonts w:ascii="Cambria Math" w:eastAsiaTheme="minorEastAsia" w:hAnsi="Cambria Math" w:cs="Times New Roman"/>
              </w:rPr>
              <m:t>-iccad</m:t>
            </m:r>
          </m:sub>
        </m:sSub>
      </m:oMath>
      <w:r w:rsidR="00C33353">
        <w:rPr>
          <w:rFonts w:ascii="Times New Roman" w:eastAsiaTheme="minorEastAsia" w:hAnsi="Times New Roman" w:cs="Times New Roman"/>
        </w:rPr>
        <w:t xml:space="preserve"> was </w:t>
      </w:r>
      <w:r w:rsidR="00F453D9">
        <w:rPr>
          <w:rFonts w:ascii="Times New Roman" w:eastAsiaTheme="minorEastAsia" w:hAnsi="Times New Roman" w:cs="Times New Roman"/>
        </w:rPr>
        <w:t>40</w:t>
      </w:r>
      <w:r w:rsidR="001A59BB">
        <w:rPr>
          <w:rFonts w:ascii="Times New Roman" w:eastAsiaTheme="minorEastAsia" w:hAnsi="Times New Roman" w:cs="Times New Roman"/>
        </w:rPr>
        <w:t>.00</w:t>
      </w:r>
      <w:r w:rsidR="00F453D9">
        <w:rPr>
          <w:rFonts w:ascii="Times New Roman" w:eastAsiaTheme="minorEastAsia" w:hAnsi="Times New Roman" w:cs="Times New Roman"/>
        </w:rPr>
        <w:t xml:space="preserve">. </w:t>
      </w:r>
      <w:r w:rsidR="00D63D76">
        <w:rPr>
          <w:rFonts w:ascii="Times New Roman" w:eastAsiaTheme="minorEastAsia" w:hAnsi="Times New Roman" w:cs="Times New Roman"/>
        </w:rPr>
        <w:t xml:space="preserve">Even during the most stable period of NOCS,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f-nocs-regular</m:t>
            </m:r>
          </m:sub>
        </m:sSub>
      </m:oMath>
      <w:r w:rsidR="00665C15">
        <w:rPr>
          <w:rFonts w:ascii="Times New Roman" w:eastAsiaTheme="minorEastAsia" w:hAnsi="Times New Roman" w:cs="Times New Roman"/>
        </w:rPr>
        <w:t xml:space="preserve"> was equal to </w:t>
      </w:r>
      <w:r w:rsidR="003D4E90">
        <w:rPr>
          <w:rFonts w:ascii="Times New Roman" w:eastAsiaTheme="minorEastAsia" w:hAnsi="Times New Roman" w:cs="Times New Roman"/>
        </w:rPr>
        <w:t xml:space="preserve">34.48, </w:t>
      </w:r>
      <w:r w:rsidR="000D7104">
        <w:rPr>
          <w:rFonts w:ascii="Times New Roman" w:eastAsiaTheme="minorEastAsia" w:hAnsi="Times New Roman" w:cs="Times New Roman"/>
        </w:rPr>
        <w:t xml:space="preserve">and less </w:t>
      </w:r>
      <w:r w:rsidR="00B72347">
        <w:rPr>
          <w:rFonts w:ascii="Times New Roman" w:eastAsiaTheme="minorEastAsia" w:hAnsi="Times New Roman" w:cs="Times New Roman"/>
        </w:rPr>
        <w:t>than</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f-iccad</m:t>
            </m:r>
          </m:sub>
        </m:sSub>
      </m:oMath>
      <w:r w:rsidR="00B72347">
        <w:rPr>
          <w:rFonts w:ascii="Times New Roman" w:eastAsiaTheme="minorEastAsia" w:hAnsi="Times New Roman" w:cs="Times New Roman"/>
        </w:rPr>
        <w:t xml:space="preserve">. Especially when considering that the total stability of NOCS,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s</m:t>
            </m:r>
          </m:e>
          <m:sub>
            <m:r>
              <w:rPr>
                <w:rFonts w:ascii="Cambria Math" w:eastAsiaTheme="minorEastAsia" w:hAnsi="Cambria Math" w:cs="Times New Roman"/>
              </w:rPr>
              <m:t>f-</m:t>
            </m:r>
            <m:r>
              <w:rPr>
                <w:rFonts w:ascii="Cambria Math" w:eastAsiaTheme="minorEastAsia" w:hAnsi="Cambria Math" w:cs="Times New Roman"/>
              </w:rPr>
              <m:t>nocs</m:t>
            </m:r>
          </m:sub>
        </m:sSub>
      </m:oMath>
      <w:r w:rsidR="00B72347">
        <w:rPr>
          <w:rFonts w:ascii="Times New Roman" w:eastAsiaTheme="minorEastAsia" w:hAnsi="Times New Roman" w:cs="Times New Roman"/>
        </w:rPr>
        <w:t xml:space="preserve"> was 18.15, it can be said that ICCAD as a conference was far more stable than NOCS. A table of these </w:t>
      </w:r>
      <w:r w:rsidR="007B61DA">
        <w:rPr>
          <w:rFonts w:ascii="Times New Roman" w:eastAsiaTheme="minorEastAsia" w:hAnsi="Times New Roman" w:cs="Times New Roman"/>
        </w:rPr>
        <w:t>values is given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310"/>
        <w:gridCol w:w="711"/>
      </w:tblGrid>
      <w:tr w:rsidR="001A6787" w:rsidRPr="001053F9" w:rsidTr="001A6787">
        <w:trPr>
          <w:trHeight w:val="432"/>
        </w:trPr>
        <w:tc>
          <w:tcPr>
            <w:tcW w:w="0" w:type="auto"/>
            <w:tcBorders>
              <w:bottom w:val="single" w:sz="4" w:space="0" w:color="auto"/>
            </w:tcBorders>
            <w:vAlign w:val="center"/>
          </w:tcPr>
          <w:p w:rsidR="001A6787" w:rsidRPr="001053F9" w:rsidRDefault="001A6787" w:rsidP="00D44847">
            <w:pPr>
              <w:jc w:val="both"/>
              <w:rPr>
                <w:rFonts w:ascii="Times New Roman" w:hAnsi="Times New Roman" w:cs="Times New Roman"/>
                <w:i/>
              </w:rPr>
            </w:pPr>
            <w:r w:rsidRPr="001053F9">
              <w:rPr>
                <w:rFonts w:ascii="Times New Roman" w:hAnsi="Times New Roman" w:cs="Times New Roman"/>
                <w:i/>
              </w:rPr>
              <w:t>Conference</w:t>
            </w:r>
          </w:p>
        </w:tc>
        <w:tc>
          <w:tcPr>
            <w:tcW w:w="0" w:type="auto"/>
            <w:tcBorders>
              <w:bottom w:val="single" w:sz="4" w:space="0" w:color="auto"/>
            </w:tcBorders>
            <w:vAlign w:val="center"/>
          </w:tcPr>
          <w:p w:rsidR="001A6787" w:rsidRPr="001053F9" w:rsidRDefault="001A6787" w:rsidP="001A6787">
            <w:pPr>
              <w:jc w:val="right"/>
              <w:rPr>
                <w:rFonts w:ascii="Times New Roman" w:hAnsi="Times New Roman" w:cs="Times New Roman"/>
                <w:i/>
              </w:rPr>
            </w:pPr>
            <w:r>
              <w:rPr>
                <w:rFonts w:ascii="Times New Roman" w:hAnsi="Times New Roman" w:cs="Times New Roman"/>
                <w:i/>
              </w:rPr>
              <w:t>Time Period</w:t>
            </w:r>
          </w:p>
        </w:tc>
        <w:tc>
          <w:tcPr>
            <w:tcW w:w="0" w:type="auto"/>
            <w:tcBorders>
              <w:bottom w:val="single" w:sz="4" w:space="0" w:color="auto"/>
            </w:tcBorders>
            <w:vAlign w:val="center"/>
          </w:tcPr>
          <w:p w:rsidR="001A6787" w:rsidRPr="001053F9" w:rsidRDefault="001A6787" w:rsidP="001A6787">
            <w:pPr>
              <w:jc w:val="right"/>
              <w:rPr>
                <w:rFonts w:ascii="Times New Roman" w:hAnsi="Times New Roman" w:cs="Times New Roman"/>
                <w:b/>
                <w:i/>
              </w:rPr>
            </w:pPr>
            <m:oMathPara>
              <m:oMathParaPr>
                <m:jc m:val="right"/>
              </m:oMathParaPr>
              <m:oMath>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f</m:t>
                    </m:r>
                  </m:sub>
                </m:sSub>
              </m:oMath>
            </m:oMathPara>
          </w:p>
        </w:tc>
      </w:tr>
      <w:tr w:rsidR="007231E0" w:rsidRPr="001053F9" w:rsidTr="007231E0">
        <w:trPr>
          <w:trHeight w:val="374"/>
        </w:trPr>
        <w:tc>
          <w:tcPr>
            <w:tcW w:w="0" w:type="auto"/>
            <w:tcBorders>
              <w:top w:val="single" w:sz="4" w:space="0" w:color="auto"/>
            </w:tcBorders>
            <w:vAlign w:val="bottom"/>
          </w:tcPr>
          <w:p w:rsidR="007231E0" w:rsidRPr="001053F9" w:rsidRDefault="007231E0" w:rsidP="007231E0">
            <w:pPr>
              <w:rPr>
                <w:rFonts w:ascii="Times New Roman" w:hAnsi="Times New Roman" w:cs="Times New Roman"/>
              </w:rPr>
            </w:pPr>
            <w:r w:rsidRPr="001053F9">
              <w:rPr>
                <w:rFonts w:ascii="Times New Roman" w:hAnsi="Times New Roman" w:cs="Times New Roman"/>
              </w:rPr>
              <w:t>NOCS</w:t>
            </w:r>
          </w:p>
        </w:tc>
        <w:tc>
          <w:tcPr>
            <w:tcW w:w="0" w:type="auto"/>
            <w:tcBorders>
              <w:top w:val="single" w:sz="4" w:space="0" w:color="auto"/>
            </w:tcBorders>
            <w:vAlign w:val="bottom"/>
          </w:tcPr>
          <w:p w:rsidR="007231E0" w:rsidRPr="001053F9" w:rsidRDefault="007231E0" w:rsidP="007231E0">
            <w:pPr>
              <w:jc w:val="right"/>
              <w:rPr>
                <w:rFonts w:ascii="Times New Roman" w:hAnsi="Times New Roman" w:cs="Times New Roman"/>
              </w:rPr>
            </w:pPr>
            <w:r w:rsidRPr="001053F9">
              <w:rPr>
                <w:rFonts w:ascii="Times New Roman" w:hAnsi="Times New Roman" w:cs="Times New Roman"/>
              </w:rPr>
              <w:t>201</w:t>
            </w:r>
            <w:r>
              <w:rPr>
                <w:rFonts w:ascii="Times New Roman" w:hAnsi="Times New Roman" w:cs="Times New Roman"/>
              </w:rPr>
              <w:t>0 - 2014</w:t>
            </w:r>
          </w:p>
        </w:tc>
        <w:tc>
          <w:tcPr>
            <w:tcW w:w="0" w:type="auto"/>
            <w:tcBorders>
              <w:top w:val="single" w:sz="4" w:space="0" w:color="auto"/>
            </w:tcBorders>
            <w:vAlign w:val="bottom"/>
          </w:tcPr>
          <w:p w:rsidR="007231E0" w:rsidRPr="001053F9" w:rsidRDefault="007231E0" w:rsidP="007231E0">
            <w:pPr>
              <w:jc w:val="right"/>
              <w:rPr>
                <w:rFonts w:ascii="Times New Roman" w:hAnsi="Times New Roman" w:cs="Times New Roman"/>
              </w:rPr>
            </w:pPr>
            <w:r>
              <w:rPr>
                <w:rFonts w:ascii="Times New Roman" w:hAnsi="Times New Roman" w:cs="Times New Roman"/>
              </w:rPr>
              <w:t>18.15</w:t>
            </w:r>
          </w:p>
        </w:tc>
      </w:tr>
      <w:tr w:rsidR="00F14056" w:rsidRPr="001053F9" w:rsidTr="001A6787">
        <w:tc>
          <w:tcPr>
            <w:tcW w:w="0" w:type="auto"/>
          </w:tcPr>
          <w:p w:rsidR="00F14056" w:rsidRPr="001053F9" w:rsidRDefault="00F14056" w:rsidP="00D44847">
            <w:pPr>
              <w:jc w:val="both"/>
              <w:rPr>
                <w:rFonts w:ascii="Times New Roman" w:hAnsi="Times New Roman" w:cs="Times New Roman"/>
              </w:rPr>
            </w:pPr>
          </w:p>
        </w:tc>
        <w:tc>
          <w:tcPr>
            <w:tcW w:w="0" w:type="auto"/>
          </w:tcPr>
          <w:p w:rsidR="00F14056" w:rsidRPr="00CE78FF" w:rsidRDefault="00F14056" w:rsidP="00BE0AB4">
            <w:pPr>
              <w:jc w:val="right"/>
              <w:rPr>
                <w:rFonts w:ascii="Times New Roman" w:hAnsi="Times New Roman" w:cs="Times New Roman"/>
                <w:sz w:val="18"/>
              </w:rPr>
            </w:pPr>
            <w:r>
              <w:rPr>
                <w:rFonts w:ascii="Times New Roman" w:hAnsi="Times New Roman" w:cs="Times New Roman"/>
                <w:sz w:val="18"/>
              </w:rPr>
              <w:t>2010</w:t>
            </w:r>
            <w:r w:rsidR="007A0959">
              <w:rPr>
                <w:rFonts w:ascii="Times New Roman" w:hAnsi="Times New Roman" w:cs="Times New Roman"/>
                <w:sz w:val="18"/>
              </w:rPr>
              <w:t xml:space="preserve"> </w:t>
            </w:r>
            <w:r>
              <w:rPr>
                <w:rFonts w:ascii="Times New Roman" w:hAnsi="Times New Roman" w:cs="Times New Roman"/>
                <w:sz w:val="18"/>
              </w:rPr>
              <w:t>-</w:t>
            </w:r>
            <w:r w:rsidR="007A0959">
              <w:rPr>
                <w:rFonts w:ascii="Times New Roman" w:hAnsi="Times New Roman" w:cs="Times New Roman"/>
                <w:sz w:val="18"/>
              </w:rPr>
              <w:t xml:space="preserve"> </w:t>
            </w:r>
            <w:r>
              <w:rPr>
                <w:rFonts w:ascii="Times New Roman" w:hAnsi="Times New Roman" w:cs="Times New Roman"/>
                <w:sz w:val="18"/>
              </w:rPr>
              <w:t>2012</w:t>
            </w:r>
          </w:p>
        </w:tc>
        <w:tc>
          <w:tcPr>
            <w:tcW w:w="0" w:type="auto"/>
          </w:tcPr>
          <w:p w:rsidR="00F14056" w:rsidRPr="00CE78FF" w:rsidRDefault="00F14056" w:rsidP="00D44847">
            <w:pPr>
              <w:jc w:val="right"/>
              <w:rPr>
                <w:rFonts w:ascii="Times New Roman" w:hAnsi="Times New Roman" w:cs="Times New Roman"/>
                <w:sz w:val="18"/>
              </w:rPr>
            </w:pPr>
            <w:r>
              <w:rPr>
                <w:rFonts w:ascii="Times New Roman" w:hAnsi="Times New Roman" w:cs="Times New Roman"/>
                <w:sz w:val="18"/>
              </w:rPr>
              <w:t>34.48</w:t>
            </w:r>
          </w:p>
        </w:tc>
      </w:tr>
      <w:tr w:rsidR="001A6787" w:rsidRPr="001053F9" w:rsidTr="001A6787">
        <w:tc>
          <w:tcPr>
            <w:tcW w:w="0" w:type="auto"/>
          </w:tcPr>
          <w:p w:rsidR="001A6787" w:rsidRPr="001053F9" w:rsidRDefault="001A6787" w:rsidP="00D44847">
            <w:pPr>
              <w:jc w:val="both"/>
              <w:rPr>
                <w:rFonts w:ascii="Times New Roman" w:hAnsi="Times New Roman" w:cs="Times New Roman"/>
              </w:rPr>
            </w:pPr>
          </w:p>
        </w:tc>
        <w:tc>
          <w:tcPr>
            <w:tcW w:w="0" w:type="auto"/>
          </w:tcPr>
          <w:p w:rsidR="001A6787" w:rsidRPr="00CE78FF" w:rsidRDefault="00097452" w:rsidP="00BE0AB4">
            <w:pPr>
              <w:jc w:val="right"/>
              <w:rPr>
                <w:rFonts w:ascii="Times New Roman" w:hAnsi="Times New Roman" w:cs="Times New Roman"/>
                <w:sz w:val="18"/>
              </w:rPr>
            </w:pPr>
            <w:r w:rsidRPr="00CE78FF">
              <w:rPr>
                <w:rFonts w:ascii="Times New Roman" w:hAnsi="Times New Roman" w:cs="Times New Roman"/>
                <w:sz w:val="18"/>
              </w:rPr>
              <w:t>20</w:t>
            </w:r>
            <w:r w:rsidR="000055E6" w:rsidRPr="00CE78FF">
              <w:rPr>
                <w:rFonts w:ascii="Times New Roman" w:hAnsi="Times New Roman" w:cs="Times New Roman"/>
                <w:sz w:val="18"/>
              </w:rPr>
              <w:t>1</w:t>
            </w:r>
            <w:r w:rsidR="00BE0AB4" w:rsidRPr="00CE78FF">
              <w:rPr>
                <w:rFonts w:ascii="Times New Roman" w:hAnsi="Times New Roman" w:cs="Times New Roman"/>
                <w:sz w:val="18"/>
              </w:rPr>
              <w:t>2</w:t>
            </w:r>
            <w:r w:rsidR="00E6231E" w:rsidRPr="00CE78FF">
              <w:rPr>
                <w:rFonts w:ascii="Times New Roman" w:hAnsi="Times New Roman" w:cs="Times New Roman"/>
                <w:sz w:val="18"/>
              </w:rPr>
              <w:t xml:space="preserve"> </w:t>
            </w:r>
            <w:r w:rsidR="000055E6" w:rsidRPr="00CE78FF">
              <w:rPr>
                <w:rFonts w:ascii="Times New Roman" w:hAnsi="Times New Roman" w:cs="Times New Roman"/>
                <w:sz w:val="18"/>
              </w:rPr>
              <w:t>-</w:t>
            </w:r>
            <w:r w:rsidR="00E6231E" w:rsidRPr="00CE78FF">
              <w:rPr>
                <w:rFonts w:ascii="Times New Roman" w:hAnsi="Times New Roman" w:cs="Times New Roman"/>
                <w:sz w:val="18"/>
              </w:rPr>
              <w:t xml:space="preserve"> </w:t>
            </w:r>
            <w:r w:rsidR="000055E6" w:rsidRPr="00CE78FF">
              <w:rPr>
                <w:rFonts w:ascii="Times New Roman" w:hAnsi="Times New Roman" w:cs="Times New Roman"/>
                <w:sz w:val="18"/>
              </w:rPr>
              <w:t>2014</w:t>
            </w:r>
          </w:p>
        </w:tc>
        <w:tc>
          <w:tcPr>
            <w:tcW w:w="0" w:type="auto"/>
          </w:tcPr>
          <w:p w:rsidR="001A6787" w:rsidRPr="00CE78FF" w:rsidRDefault="00B86A27" w:rsidP="00D44847">
            <w:pPr>
              <w:jc w:val="right"/>
              <w:rPr>
                <w:rFonts w:ascii="Times New Roman" w:hAnsi="Times New Roman" w:cs="Times New Roman"/>
                <w:sz w:val="18"/>
              </w:rPr>
            </w:pPr>
            <w:r w:rsidRPr="00CE78FF">
              <w:rPr>
                <w:rFonts w:ascii="Times New Roman" w:hAnsi="Times New Roman" w:cs="Times New Roman"/>
                <w:sz w:val="18"/>
              </w:rPr>
              <w:t>2.99</w:t>
            </w:r>
          </w:p>
        </w:tc>
      </w:tr>
      <w:tr w:rsidR="001A6787" w:rsidRPr="001053F9" w:rsidTr="001A6787">
        <w:trPr>
          <w:trHeight w:val="374"/>
        </w:trPr>
        <w:tc>
          <w:tcPr>
            <w:tcW w:w="0" w:type="auto"/>
            <w:vAlign w:val="bottom"/>
          </w:tcPr>
          <w:p w:rsidR="001A6787" w:rsidRPr="001053F9" w:rsidRDefault="001A6787" w:rsidP="00D44847">
            <w:pPr>
              <w:rPr>
                <w:rFonts w:ascii="Times New Roman" w:hAnsi="Times New Roman" w:cs="Times New Roman"/>
              </w:rPr>
            </w:pPr>
            <w:r w:rsidRPr="001053F9">
              <w:rPr>
                <w:rFonts w:ascii="Times New Roman" w:hAnsi="Times New Roman" w:cs="Times New Roman"/>
              </w:rPr>
              <w:t>ICCAD</w:t>
            </w:r>
          </w:p>
        </w:tc>
        <w:tc>
          <w:tcPr>
            <w:tcW w:w="0" w:type="auto"/>
            <w:vAlign w:val="bottom"/>
          </w:tcPr>
          <w:p w:rsidR="001A6787" w:rsidRPr="001053F9" w:rsidRDefault="001A6787" w:rsidP="00D44847">
            <w:pPr>
              <w:jc w:val="right"/>
              <w:rPr>
                <w:rFonts w:ascii="Times New Roman" w:hAnsi="Times New Roman" w:cs="Times New Roman"/>
              </w:rPr>
            </w:pPr>
            <w:r w:rsidRPr="001053F9">
              <w:rPr>
                <w:rFonts w:ascii="Times New Roman" w:hAnsi="Times New Roman" w:cs="Times New Roman"/>
              </w:rPr>
              <w:t>2010</w:t>
            </w:r>
            <w:r w:rsidR="00DB5186">
              <w:rPr>
                <w:rFonts w:ascii="Times New Roman" w:hAnsi="Times New Roman" w:cs="Times New Roman"/>
              </w:rPr>
              <w:t xml:space="preserve"> - 2014</w:t>
            </w:r>
          </w:p>
        </w:tc>
        <w:tc>
          <w:tcPr>
            <w:tcW w:w="0" w:type="auto"/>
            <w:vAlign w:val="bottom"/>
          </w:tcPr>
          <w:p w:rsidR="001A6787" w:rsidRPr="001053F9" w:rsidRDefault="008F3526" w:rsidP="00D44847">
            <w:pPr>
              <w:jc w:val="right"/>
              <w:rPr>
                <w:rFonts w:ascii="Times New Roman" w:hAnsi="Times New Roman" w:cs="Times New Roman"/>
              </w:rPr>
            </w:pPr>
            <w:r>
              <w:rPr>
                <w:rFonts w:ascii="Times New Roman" w:hAnsi="Times New Roman" w:cs="Times New Roman"/>
              </w:rPr>
              <w:t>40.00</w:t>
            </w:r>
          </w:p>
        </w:tc>
      </w:tr>
    </w:tbl>
    <w:p w:rsidR="001D4281" w:rsidRPr="001053F9" w:rsidRDefault="001D4281" w:rsidP="00755231">
      <w:pPr>
        <w:pStyle w:val="Heading1"/>
        <w:numPr>
          <w:ilvl w:val="0"/>
          <w:numId w:val="6"/>
        </w:numPr>
        <w:spacing w:line="360" w:lineRule="auto"/>
        <w:jc w:val="center"/>
        <w:rPr>
          <w:rFonts w:ascii="Times New Roman" w:hAnsi="Times New Roman" w:cs="Times New Roman"/>
          <w:color w:val="000000" w:themeColor="text1"/>
          <w:sz w:val="16"/>
          <w:szCs w:val="20"/>
        </w:rPr>
      </w:pPr>
      <w:r w:rsidRPr="001053F9">
        <w:rPr>
          <w:rFonts w:ascii="Times New Roman" w:hAnsi="Times New Roman" w:cs="Times New Roman"/>
          <w:color w:val="000000" w:themeColor="text1"/>
          <w:sz w:val="20"/>
          <w:szCs w:val="20"/>
        </w:rPr>
        <w:t>C</w:t>
      </w:r>
      <w:r w:rsidRPr="001053F9">
        <w:rPr>
          <w:rFonts w:ascii="Times New Roman" w:hAnsi="Times New Roman" w:cs="Times New Roman"/>
          <w:color w:val="000000" w:themeColor="text1"/>
          <w:sz w:val="16"/>
          <w:szCs w:val="20"/>
        </w:rPr>
        <w:t>ONCLUSIONS</w:t>
      </w:r>
    </w:p>
    <w:p w:rsidR="008A012D" w:rsidRPr="001053F9" w:rsidRDefault="008A012D" w:rsidP="002D5622">
      <w:pPr>
        <w:pStyle w:val="Heading1"/>
        <w:spacing w:line="360" w:lineRule="auto"/>
        <w:ind w:left="360"/>
        <w:jc w:val="center"/>
        <w:rPr>
          <w:rFonts w:ascii="Times New Roman" w:hAnsi="Times New Roman" w:cs="Times New Roman"/>
          <w:color w:val="000000" w:themeColor="text1"/>
          <w:sz w:val="24"/>
        </w:rPr>
      </w:pPr>
      <w:r w:rsidRPr="001053F9">
        <w:rPr>
          <w:rFonts w:ascii="Times New Roman" w:hAnsi="Times New Roman" w:cs="Times New Roman"/>
          <w:color w:val="000000" w:themeColor="text1"/>
          <w:sz w:val="20"/>
          <w:szCs w:val="20"/>
        </w:rPr>
        <w:t>A</w:t>
      </w:r>
      <w:r w:rsidRPr="001053F9">
        <w:rPr>
          <w:rFonts w:ascii="Times New Roman" w:hAnsi="Times New Roman" w:cs="Times New Roman"/>
          <w:color w:val="000000" w:themeColor="text1"/>
          <w:sz w:val="16"/>
          <w:szCs w:val="20"/>
        </w:rPr>
        <w:t>CKNOWLEDGEMENTS</w:t>
      </w:r>
    </w:p>
    <w:p w:rsidR="0060668D" w:rsidRPr="001053F9" w:rsidRDefault="00BC0085" w:rsidP="00340F6C">
      <w:pPr>
        <w:pStyle w:val="Heading1"/>
        <w:spacing w:line="360" w:lineRule="auto"/>
        <w:ind w:left="360"/>
        <w:jc w:val="center"/>
        <w:rPr>
          <w:rFonts w:ascii="Times New Roman" w:hAnsi="Times New Roman" w:cs="Times New Roman"/>
          <w:color w:val="000000" w:themeColor="text1"/>
          <w:sz w:val="24"/>
        </w:rPr>
      </w:pPr>
      <w:r w:rsidRPr="001053F9">
        <w:rPr>
          <w:rFonts w:ascii="Times New Roman" w:hAnsi="Times New Roman" w:cs="Times New Roman"/>
          <w:color w:val="000000" w:themeColor="text1"/>
          <w:sz w:val="20"/>
          <w:szCs w:val="20"/>
        </w:rPr>
        <w:t>R</w:t>
      </w:r>
      <w:r w:rsidRPr="001053F9">
        <w:rPr>
          <w:rFonts w:ascii="Times New Roman" w:hAnsi="Times New Roman" w:cs="Times New Roman"/>
          <w:color w:val="000000" w:themeColor="text1"/>
          <w:sz w:val="16"/>
          <w:szCs w:val="20"/>
        </w:rPr>
        <w:t>EFERENCES</w:t>
      </w:r>
    </w:p>
    <w:p w:rsidR="008A044B" w:rsidRPr="001053F9" w:rsidRDefault="008A044B" w:rsidP="00AE521B">
      <w:pPr>
        <w:jc w:val="center"/>
        <w:rPr>
          <w:rFonts w:ascii="Times New Roman" w:hAnsi="Times New Roman" w:cs="Times New Roman"/>
          <w:sz w:val="20"/>
          <w:szCs w:val="20"/>
        </w:rPr>
      </w:pPr>
    </w:p>
    <w:sectPr w:rsidR="008A044B" w:rsidRPr="001053F9" w:rsidSect="009D667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6226E"/>
    <w:multiLevelType w:val="hybridMultilevel"/>
    <w:tmpl w:val="4162B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4362"/>
    <w:multiLevelType w:val="multilevel"/>
    <w:tmpl w:val="6F98B23C"/>
    <w:lvl w:ilvl="0">
      <w:start w:val="1"/>
      <w:numFmt w:val="upperRoman"/>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27263"/>
    <w:multiLevelType w:val="multilevel"/>
    <w:tmpl w:val="6F98B23C"/>
    <w:lvl w:ilvl="0">
      <w:start w:val="1"/>
      <w:numFmt w:val="upperRoman"/>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761C2A"/>
    <w:multiLevelType w:val="multilevel"/>
    <w:tmpl w:val="6F98B23C"/>
    <w:lvl w:ilvl="0">
      <w:start w:val="1"/>
      <w:numFmt w:val="upperRoman"/>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FCA4F0E"/>
    <w:multiLevelType w:val="multilevel"/>
    <w:tmpl w:val="91A4E116"/>
    <w:numStyleLink w:val="Headings"/>
  </w:abstractNum>
  <w:abstractNum w:abstractNumId="5" w15:restartNumberingAfterBreak="0">
    <w:nsid w:val="2A856ABA"/>
    <w:multiLevelType w:val="multilevel"/>
    <w:tmpl w:val="91A4E116"/>
    <w:styleLink w:val="Headings"/>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E06537A"/>
    <w:multiLevelType w:val="multilevel"/>
    <w:tmpl w:val="91A4E116"/>
    <w:numStyleLink w:val="Headings"/>
  </w:abstractNum>
  <w:abstractNum w:abstractNumId="7" w15:restartNumberingAfterBreak="0">
    <w:nsid w:val="3AB90298"/>
    <w:multiLevelType w:val="multilevel"/>
    <w:tmpl w:val="91A4E116"/>
    <w:numStyleLink w:val="Headings"/>
  </w:abstractNum>
  <w:abstractNum w:abstractNumId="8" w15:restartNumberingAfterBreak="0">
    <w:nsid w:val="3C7A60E2"/>
    <w:multiLevelType w:val="hybridMultilevel"/>
    <w:tmpl w:val="DCC8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C4001"/>
    <w:multiLevelType w:val="multilevel"/>
    <w:tmpl w:val="91A4E116"/>
    <w:numStyleLink w:val="Headings"/>
  </w:abstractNum>
  <w:abstractNum w:abstractNumId="10" w15:restartNumberingAfterBreak="0">
    <w:nsid w:val="77070724"/>
    <w:multiLevelType w:val="hybridMultilevel"/>
    <w:tmpl w:val="DCC8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D0B8A"/>
    <w:multiLevelType w:val="multilevel"/>
    <w:tmpl w:val="91A4E116"/>
    <w:numStyleLink w:val="Headings"/>
  </w:abstractNum>
  <w:num w:numId="1">
    <w:abstractNumId w:val="10"/>
  </w:num>
  <w:num w:numId="2">
    <w:abstractNumId w:val="0"/>
  </w:num>
  <w:num w:numId="3">
    <w:abstractNumId w:val="8"/>
  </w:num>
  <w:num w:numId="4">
    <w:abstractNumId w:val="5"/>
  </w:num>
  <w:num w:numId="5">
    <w:abstractNumId w:val="9"/>
  </w:num>
  <w:num w:numId="6">
    <w:abstractNumId w:val="4"/>
    <w:lvlOverride w:ilvl="0">
      <w:lvl w:ilvl="0">
        <w:start w:val="1"/>
        <w:numFmt w:val="upperRoman"/>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1"/>
  </w:num>
  <w:num w:numId="8">
    <w:abstractNumId w:val="7"/>
  </w:num>
  <w:num w:numId="9">
    <w:abstractNumId w:val="6"/>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85"/>
    <w:rsid w:val="0000151F"/>
    <w:rsid w:val="00003C5F"/>
    <w:rsid w:val="00004F0D"/>
    <w:rsid w:val="000055E6"/>
    <w:rsid w:val="000074D9"/>
    <w:rsid w:val="000109BD"/>
    <w:rsid w:val="00010B41"/>
    <w:rsid w:val="00016FBA"/>
    <w:rsid w:val="00020D6B"/>
    <w:rsid w:val="00020E6E"/>
    <w:rsid w:val="000276C2"/>
    <w:rsid w:val="00031356"/>
    <w:rsid w:val="00032AFE"/>
    <w:rsid w:val="0003480E"/>
    <w:rsid w:val="000369E5"/>
    <w:rsid w:val="000371BB"/>
    <w:rsid w:val="00037CCD"/>
    <w:rsid w:val="000411CB"/>
    <w:rsid w:val="0004200D"/>
    <w:rsid w:val="000424FD"/>
    <w:rsid w:val="00042C5A"/>
    <w:rsid w:val="000434D0"/>
    <w:rsid w:val="000439A5"/>
    <w:rsid w:val="000445B8"/>
    <w:rsid w:val="00044D0B"/>
    <w:rsid w:val="00045567"/>
    <w:rsid w:val="0004680E"/>
    <w:rsid w:val="00046AC7"/>
    <w:rsid w:val="00050C4E"/>
    <w:rsid w:val="000510D7"/>
    <w:rsid w:val="0005443C"/>
    <w:rsid w:val="000549D5"/>
    <w:rsid w:val="000558D1"/>
    <w:rsid w:val="00057154"/>
    <w:rsid w:val="000572A8"/>
    <w:rsid w:val="00057947"/>
    <w:rsid w:val="00065E62"/>
    <w:rsid w:val="000674B5"/>
    <w:rsid w:val="00070045"/>
    <w:rsid w:val="00072067"/>
    <w:rsid w:val="0007209F"/>
    <w:rsid w:val="00072124"/>
    <w:rsid w:val="00074387"/>
    <w:rsid w:val="000769A6"/>
    <w:rsid w:val="0008120B"/>
    <w:rsid w:val="000825E3"/>
    <w:rsid w:val="0008296B"/>
    <w:rsid w:val="000838CF"/>
    <w:rsid w:val="000930E7"/>
    <w:rsid w:val="00093A4C"/>
    <w:rsid w:val="0009456B"/>
    <w:rsid w:val="00097452"/>
    <w:rsid w:val="000A0CD6"/>
    <w:rsid w:val="000A712F"/>
    <w:rsid w:val="000B0798"/>
    <w:rsid w:val="000B1A56"/>
    <w:rsid w:val="000B2232"/>
    <w:rsid w:val="000B4BFE"/>
    <w:rsid w:val="000B5481"/>
    <w:rsid w:val="000B67FD"/>
    <w:rsid w:val="000B6C7C"/>
    <w:rsid w:val="000B72A4"/>
    <w:rsid w:val="000C1E2C"/>
    <w:rsid w:val="000C4B51"/>
    <w:rsid w:val="000C64E0"/>
    <w:rsid w:val="000D0FD4"/>
    <w:rsid w:val="000D179A"/>
    <w:rsid w:val="000D179E"/>
    <w:rsid w:val="000D2345"/>
    <w:rsid w:val="000D3FF2"/>
    <w:rsid w:val="000D7104"/>
    <w:rsid w:val="000E0357"/>
    <w:rsid w:val="000E1948"/>
    <w:rsid w:val="000E3FF2"/>
    <w:rsid w:val="000E508C"/>
    <w:rsid w:val="000E5F6D"/>
    <w:rsid w:val="000E664C"/>
    <w:rsid w:val="000F0B73"/>
    <w:rsid w:val="000F1306"/>
    <w:rsid w:val="000F2DE3"/>
    <w:rsid w:val="000F6F26"/>
    <w:rsid w:val="000F7449"/>
    <w:rsid w:val="000F7FBC"/>
    <w:rsid w:val="0010361F"/>
    <w:rsid w:val="00103FBC"/>
    <w:rsid w:val="001053F9"/>
    <w:rsid w:val="001053FF"/>
    <w:rsid w:val="00106807"/>
    <w:rsid w:val="00106894"/>
    <w:rsid w:val="00106AFF"/>
    <w:rsid w:val="00115269"/>
    <w:rsid w:val="001219F5"/>
    <w:rsid w:val="0012353A"/>
    <w:rsid w:val="00126319"/>
    <w:rsid w:val="00127ACA"/>
    <w:rsid w:val="00130632"/>
    <w:rsid w:val="001310EE"/>
    <w:rsid w:val="00132434"/>
    <w:rsid w:val="001331F5"/>
    <w:rsid w:val="00136F57"/>
    <w:rsid w:val="00137C23"/>
    <w:rsid w:val="00146B6E"/>
    <w:rsid w:val="00146C5B"/>
    <w:rsid w:val="00150FE6"/>
    <w:rsid w:val="00153F59"/>
    <w:rsid w:val="00161D3B"/>
    <w:rsid w:val="00163311"/>
    <w:rsid w:val="00165508"/>
    <w:rsid w:val="001664C5"/>
    <w:rsid w:val="00170E2D"/>
    <w:rsid w:val="00174F60"/>
    <w:rsid w:val="001810A8"/>
    <w:rsid w:val="00187A40"/>
    <w:rsid w:val="00190B8F"/>
    <w:rsid w:val="001935F1"/>
    <w:rsid w:val="0019422C"/>
    <w:rsid w:val="00196619"/>
    <w:rsid w:val="00196B03"/>
    <w:rsid w:val="001A059E"/>
    <w:rsid w:val="001A1B22"/>
    <w:rsid w:val="001A1C35"/>
    <w:rsid w:val="001A2187"/>
    <w:rsid w:val="001A59BB"/>
    <w:rsid w:val="001A6787"/>
    <w:rsid w:val="001B1159"/>
    <w:rsid w:val="001B15B0"/>
    <w:rsid w:val="001B1C7E"/>
    <w:rsid w:val="001B2952"/>
    <w:rsid w:val="001B4E6B"/>
    <w:rsid w:val="001B6128"/>
    <w:rsid w:val="001B61BB"/>
    <w:rsid w:val="001B7997"/>
    <w:rsid w:val="001C1135"/>
    <w:rsid w:val="001C11BD"/>
    <w:rsid w:val="001C1B02"/>
    <w:rsid w:val="001C233A"/>
    <w:rsid w:val="001C530E"/>
    <w:rsid w:val="001C5D1C"/>
    <w:rsid w:val="001C5DDB"/>
    <w:rsid w:val="001D3712"/>
    <w:rsid w:val="001D4281"/>
    <w:rsid w:val="001E2F5F"/>
    <w:rsid w:val="001E78A8"/>
    <w:rsid w:val="001F0F47"/>
    <w:rsid w:val="001F2891"/>
    <w:rsid w:val="001F3C1C"/>
    <w:rsid w:val="001F5A72"/>
    <w:rsid w:val="001F66CE"/>
    <w:rsid w:val="002001EE"/>
    <w:rsid w:val="00201F44"/>
    <w:rsid w:val="00202C73"/>
    <w:rsid w:val="002055D4"/>
    <w:rsid w:val="002117C4"/>
    <w:rsid w:val="00216075"/>
    <w:rsid w:val="002160F7"/>
    <w:rsid w:val="00216F9D"/>
    <w:rsid w:val="00217902"/>
    <w:rsid w:val="002202FB"/>
    <w:rsid w:val="00225F98"/>
    <w:rsid w:val="00227969"/>
    <w:rsid w:val="002330AB"/>
    <w:rsid w:val="0023312E"/>
    <w:rsid w:val="00235038"/>
    <w:rsid w:val="002433E1"/>
    <w:rsid w:val="0024402B"/>
    <w:rsid w:val="00245AEA"/>
    <w:rsid w:val="00246C72"/>
    <w:rsid w:val="00251E4B"/>
    <w:rsid w:val="0025395D"/>
    <w:rsid w:val="00255D49"/>
    <w:rsid w:val="002612BA"/>
    <w:rsid w:val="00262734"/>
    <w:rsid w:val="002629A2"/>
    <w:rsid w:val="0026460F"/>
    <w:rsid w:val="00271287"/>
    <w:rsid w:val="00273179"/>
    <w:rsid w:val="00273C25"/>
    <w:rsid w:val="002746C8"/>
    <w:rsid w:val="0028144E"/>
    <w:rsid w:val="00281FC2"/>
    <w:rsid w:val="002932A8"/>
    <w:rsid w:val="002933DF"/>
    <w:rsid w:val="002935E7"/>
    <w:rsid w:val="002960BF"/>
    <w:rsid w:val="00297830"/>
    <w:rsid w:val="002A1B06"/>
    <w:rsid w:val="002A2C67"/>
    <w:rsid w:val="002A545D"/>
    <w:rsid w:val="002A5C90"/>
    <w:rsid w:val="002B0FA8"/>
    <w:rsid w:val="002B402C"/>
    <w:rsid w:val="002B58CD"/>
    <w:rsid w:val="002B6121"/>
    <w:rsid w:val="002C057D"/>
    <w:rsid w:val="002C075F"/>
    <w:rsid w:val="002C5531"/>
    <w:rsid w:val="002C6579"/>
    <w:rsid w:val="002C679C"/>
    <w:rsid w:val="002C6BFD"/>
    <w:rsid w:val="002C7434"/>
    <w:rsid w:val="002C7946"/>
    <w:rsid w:val="002D0236"/>
    <w:rsid w:val="002D407A"/>
    <w:rsid w:val="002D5100"/>
    <w:rsid w:val="002D5622"/>
    <w:rsid w:val="002E257A"/>
    <w:rsid w:val="002E2CA1"/>
    <w:rsid w:val="002E2D6D"/>
    <w:rsid w:val="002E684E"/>
    <w:rsid w:val="002E7A41"/>
    <w:rsid w:val="002F0134"/>
    <w:rsid w:val="002F4FFE"/>
    <w:rsid w:val="002F53ED"/>
    <w:rsid w:val="002F6506"/>
    <w:rsid w:val="002F6B92"/>
    <w:rsid w:val="0030005F"/>
    <w:rsid w:val="003007CB"/>
    <w:rsid w:val="003011D1"/>
    <w:rsid w:val="00302E96"/>
    <w:rsid w:val="00303BD3"/>
    <w:rsid w:val="00304C0A"/>
    <w:rsid w:val="00310070"/>
    <w:rsid w:val="003109B5"/>
    <w:rsid w:val="003156B4"/>
    <w:rsid w:val="00316E59"/>
    <w:rsid w:val="00320554"/>
    <w:rsid w:val="00321689"/>
    <w:rsid w:val="00322578"/>
    <w:rsid w:val="00323E5E"/>
    <w:rsid w:val="0032522C"/>
    <w:rsid w:val="00327BE6"/>
    <w:rsid w:val="003303D0"/>
    <w:rsid w:val="00332303"/>
    <w:rsid w:val="0033321F"/>
    <w:rsid w:val="00337D8F"/>
    <w:rsid w:val="00340381"/>
    <w:rsid w:val="00340F6C"/>
    <w:rsid w:val="00344165"/>
    <w:rsid w:val="00344220"/>
    <w:rsid w:val="003513A9"/>
    <w:rsid w:val="00352CA6"/>
    <w:rsid w:val="003534C9"/>
    <w:rsid w:val="003563A9"/>
    <w:rsid w:val="003604D6"/>
    <w:rsid w:val="00361108"/>
    <w:rsid w:val="0036377F"/>
    <w:rsid w:val="00364457"/>
    <w:rsid w:val="00367EA6"/>
    <w:rsid w:val="00370D0D"/>
    <w:rsid w:val="00370E95"/>
    <w:rsid w:val="00374B67"/>
    <w:rsid w:val="003759CB"/>
    <w:rsid w:val="003803B5"/>
    <w:rsid w:val="00380659"/>
    <w:rsid w:val="003815E6"/>
    <w:rsid w:val="00384A0E"/>
    <w:rsid w:val="00385541"/>
    <w:rsid w:val="003879AF"/>
    <w:rsid w:val="00392F71"/>
    <w:rsid w:val="003A23DE"/>
    <w:rsid w:val="003A448D"/>
    <w:rsid w:val="003A5D1A"/>
    <w:rsid w:val="003A7821"/>
    <w:rsid w:val="003A7ACB"/>
    <w:rsid w:val="003B1899"/>
    <w:rsid w:val="003B3BE5"/>
    <w:rsid w:val="003B6409"/>
    <w:rsid w:val="003B6DA8"/>
    <w:rsid w:val="003B7E9C"/>
    <w:rsid w:val="003C0A36"/>
    <w:rsid w:val="003C3FC7"/>
    <w:rsid w:val="003C4B90"/>
    <w:rsid w:val="003C7FA3"/>
    <w:rsid w:val="003D04CC"/>
    <w:rsid w:val="003D0A4A"/>
    <w:rsid w:val="003D4E90"/>
    <w:rsid w:val="003D73F4"/>
    <w:rsid w:val="003D7A46"/>
    <w:rsid w:val="003E191E"/>
    <w:rsid w:val="003E3C95"/>
    <w:rsid w:val="003E5BA1"/>
    <w:rsid w:val="003E655C"/>
    <w:rsid w:val="003F1809"/>
    <w:rsid w:val="003F243E"/>
    <w:rsid w:val="003F2EF3"/>
    <w:rsid w:val="003F3755"/>
    <w:rsid w:val="003F75E9"/>
    <w:rsid w:val="004006A0"/>
    <w:rsid w:val="004009B7"/>
    <w:rsid w:val="00401A3C"/>
    <w:rsid w:val="00401FD2"/>
    <w:rsid w:val="004079FB"/>
    <w:rsid w:val="00407AB5"/>
    <w:rsid w:val="0041464C"/>
    <w:rsid w:val="00420BFC"/>
    <w:rsid w:val="00421EF0"/>
    <w:rsid w:val="00423152"/>
    <w:rsid w:val="00423D3F"/>
    <w:rsid w:val="00424144"/>
    <w:rsid w:val="00436E01"/>
    <w:rsid w:val="004478DB"/>
    <w:rsid w:val="00447C19"/>
    <w:rsid w:val="0045040D"/>
    <w:rsid w:val="00451B1B"/>
    <w:rsid w:val="00454F1B"/>
    <w:rsid w:val="004568E5"/>
    <w:rsid w:val="0045723A"/>
    <w:rsid w:val="0045762E"/>
    <w:rsid w:val="00461CFA"/>
    <w:rsid w:val="00464BBC"/>
    <w:rsid w:val="0046713F"/>
    <w:rsid w:val="004726D8"/>
    <w:rsid w:val="004741E2"/>
    <w:rsid w:val="004743F4"/>
    <w:rsid w:val="004828E2"/>
    <w:rsid w:val="00482BBA"/>
    <w:rsid w:val="004832F5"/>
    <w:rsid w:val="00485442"/>
    <w:rsid w:val="00486185"/>
    <w:rsid w:val="00490F75"/>
    <w:rsid w:val="004925DC"/>
    <w:rsid w:val="00492DFA"/>
    <w:rsid w:val="0049576A"/>
    <w:rsid w:val="00495F65"/>
    <w:rsid w:val="004A01A5"/>
    <w:rsid w:val="004A217F"/>
    <w:rsid w:val="004A2928"/>
    <w:rsid w:val="004A318F"/>
    <w:rsid w:val="004A63C6"/>
    <w:rsid w:val="004A77AF"/>
    <w:rsid w:val="004B0EEE"/>
    <w:rsid w:val="004B1B49"/>
    <w:rsid w:val="004B2D44"/>
    <w:rsid w:val="004C0BD9"/>
    <w:rsid w:val="004C0D79"/>
    <w:rsid w:val="004C5A35"/>
    <w:rsid w:val="004C634D"/>
    <w:rsid w:val="004D0A4E"/>
    <w:rsid w:val="004D1201"/>
    <w:rsid w:val="004D2011"/>
    <w:rsid w:val="004D5171"/>
    <w:rsid w:val="004D536A"/>
    <w:rsid w:val="004E176D"/>
    <w:rsid w:val="004E19D4"/>
    <w:rsid w:val="004E2088"/>
    <w:rsid w:val="004E3A0E"/>
    <w:rsid w:val="004E45E2"/>
    <w:rsid w:val="004E4AB6"/>
    <w:rsid w:val="004E5F88"/>
    <w:rsid w:val="004E628F"/>
    <w:rsid w:val="004E795D"/>
    <w:rsid w:val="004F2FE4"/>
    <w:rsid w:val="004F5857"/>
    <w:rsid w:val="004F5CF6"/>
    <w:rsid w:val="005013C6"/>
    <w:rsid w:val="00503928"/>
    <w:rsid w:val="00503F4C"/>
    <w:rsid w:val="005116F8"/>
    <w:rsid w:val="00511E7A"/>
    <w:rsid w:val="005133E7"/>
    <w:rsid w:val="00513C23"/>
    <w:rsid w:val="005161AB"/>
    <w:rsid w:val="00516576"/>
    <w:rsid w:val="00517D67"/>
    <w:rsid w:val="0052634B"/>
    <w:rsid w:val="00531EF3"/>
    <w:rsid w:val="0053226E"/>
    <w:rsid w:val="005338E5"/>
    <w:rsid w:val="00537B09"/>
    <w:rsid w:val="00537E2C"/>
    <w:rsid w:val="005411D1"/>
    <w:rsid w:val="005416BB"/>
    <w:rsid w:val="005476F3"/>
    <w:rsid w:val="00551196"/>
    <w:rsid w:val="0055119D"/>
    <w:rsid w:val="00552417"/>
    <w:rsid w:val="00552518"/>
    <w:rsid w:val="0055296A"/>
    <w:rsid w:val="00553C9F"/>
    <w:rsid w:val="005603BF"/>
    <w:rsid w:val="00560548"/>
    <w:rsid w:val="005605C9"/>
    <w:rsid w:val="00560D1E"/>
    <w:rsid w:val="00562DD8"/>
    <w:rsid w:val="00566303"/>
    <w:rsid w:val="0056630E"/>
    <w:rsid w:val="0056647A"/>
    <w:rsid w:val="005668E2"/>
    <w:rsid w:val="005676F6"/>
    <w:rsid w:val="00570669"/>
    <w:rsid w:val="005713B6"/>
    <w:rsid w:val="00571C5F"/>
    <w:rsid w:val="00573532"/>
    <w:rsid w:val="0057493F"/>
    <w:rsid w:val="0057504F"/>
    <w:rsid w:val="00575EB4"/>
    <w:rsid w:val="005762A0"/>
    <w:rsid w:val="00576EDC"/>
    <w:rsid w:val="005779F9"/>
    <w:rsid w:val="00581EE5"/>
    <w:rsid w:val="0058263B"/>
    <w:rsid w:val="00587443"/>
    <w:rsid w:val="00595DA0"/>
    <w:rsid w:val="005963D3"/>
    <w:rsid w:val="00596C76"/>
    <w:rsid w:val="005A0240"/>
    <w:rsid w:val="005A2707"/>
    <w:rsid w:val="005B6A92"/>
    <w:rsid w:val="005C25B7"/>
    <w:rsid w:val="005C761B"/>
    <w:rsid w:val="005D3DEA"/>
    <w:rsid w:val="005D5DEF"/>
    <w:rsid w:val="005D7CA4"/>
    <w:rsid w:val="005E2964"/>
    <w:rsid w:val="005E39A3"/>
    <w:rsid w:val="005E4D8B"/>
    <w:rsid w:val="005E7284"/>
    <w:rsid w:val="005E7962"/>
    <w:rsid w:val="005E7F12"/>
    <w:rsid w:val="005F1E34"/>
    <w:rsid w:val="005F2637"/>
    <w:rsid w:val="005F50AE"/>
    <w:rsid w:val="005F7581"/>
    <w:rsid w:val="006065D2"/>
    <w:rsid w:val="0060668D"/>
    <w:rsid w:val="00607409"/>
    <w:rsid w:val="00607D62"/>
    <w:rsid w:val="006102B0"/>
    <w:rsid w:val="0061519C"/>
    <w:rsid w:val="00625EF6"/>
    <w:rsid w:val="006267CC"/>
    <w:rsid w:val="00627675"/>
    <w:rsid w:val="00627CFA"/>
    <w:rsid w:val="00630C35"/>
    <w:rsid w:val="006323EA"/>
    <w:rsid w:val="00633E8C"/>
    <w:rsid w:val="00633F22"/>
    <w:rsid w:val="00635C8F"/>
    <w:rsid w:val="00637705"/>
    <w:rsid w:val="00646605"/>
    <w:rsid w:val="006470EC"/>
    <w:rsid w:val="00647CD7"/>
    <w:rsid w:val="00647FED"/>
    <w:rsid w:val="0065081D"/>
    <w:rsid w:val="00652FCE"/>
    <w:rsid w:val="006531CB"/>
    <w:rsid w:val="00655A77"/>
    <w:rsid w:val="00660962"/>
    <w:rsid w:val="00665C15"/>
    <w:rsid w:val="0066655A"/>
    <w:rsid w:val="00670C20"/>
    <w:rsid w:val="00673774"/>
    <w:rsid w:val="0067490A"/>
    <w:rsid w:val="00675DB8"/>
    <w:rsid w:val="00682D76"/>
    <w:rsid w:val="006832FD"/>
    <w:rsid w:val="00683ACB"/>
    <w:rsid w:val="00685649"/>
    <w:rsid w:val="00687EC9"/>
    <w:rsid w:val="0069739F"/>
    <w:rsid w:val="006A26AF"/>
    <w:rsid w:val="006A4D75"/>
    <w:rsid w:val="006A5A9C"/>
    <w:rsid w:val="006A5C39"/>
    <w:rsid w:val="006A76D9"/>
    <w:rsid w:val="006B2EAE"/>
    <w:rsid w:val="006B5FAF"/>
    <w:rsid w:val="006B7885"/>
    <w:rsid w:val="006C0BD0"/>
    <w:rsid w:val="006C0E15"/>
    <w:rsid w:val="006C46E9"/>
    <w:rsid w:val="006C49B7"/>
    <w:rsid w:val="006C4FE7"/>
    <w:rsid w:val="006C6BDD"/>
    <w:rsid w:val="006C7918"/>
    <w:rsid w:val="006D355E"/>
    <w:rsid w:val="006D3849"/>
    <w:rsid w:val="006E05A9"/>
    <w:rsid w:val="006E0DF1"/>
    <w:rsid w:val="006E7215"/>
    <w:rsid w:val="006E7B98"/>
    <w:rsid w:val="006F01BC"/>
    <w:rsid w:val="006F0975"/>
    <w:rsid w:val="006F2223"/>
    <w:rsid w:val="006F2BA3"/>
    <w:rsid w:val="006F3260"/>
    <w:rsid w:val="006F652B"/>
    <w:rsid w:val="006F6EE5"/>
    <w:rsid w:val="007025F9"/>
    <w:rsid w:val="00702705"/>
    <w:rsid w:val="0070324A"/>
    <w:rsid w:val="00704750"/>
    <w:rsid w:val="0070581A"/>
    <w:rsid w:val="007077FB"/>
    <w:rsid w:val="007110F8"/>
    <w:rsid w:val="00713A58"/>
    <w:rsid w:val="00713F97"/>
    <w:rsid w:val="00715933"/>
    <w:rsid w:val="0071723E"/>
    <w:rsid w:val="00720F4E"/>
    <w:rsid w:val="007231E0"/>
    <w:rsid w:val="007279E5"/>
    <w:rsid w:val="007305C3"/>
    <w:rsid w:val="007345BE"/>
    <w:rsid w:val="00737C0B"/>
    <w:rsid w:val="0074048E"/>
    <w:rsid w:val="00740694"/>
    <w:rsid w:val="0074073D"/>
    <w:rsid w:val="00741D6A"/>
    <w:rsid w:val="00742416"/>
    <w:rsid w:val="00745DE9"/>
    <w:rsid w:val="00746FBC"/>
    <w:rsid w:val="00747FB8"/>
    <w:rsid w:val="00750034"/>
    <w:rsid w:val="00750430"/>
    <w:rsid w:val="00753A4B"/>
    <w:rsid w:val="00755231"/>
    <w:rsid w:val="007556D1"/>
    <w:rsid w:val="00761272"/>
    <w:rsid w:val="00761A4E"/>
    <w:rsid w:val="007649CD"/>
    <w:rsid w:val="00770575"/>
    <w:rsid w:val="00770AA5"/>
    <w:rsid w:val="00771831"/>
    <w:rsid w:val="00771E52"/>
    <w:rsid w:val="00773F27"/>
    <w:rsid w:val="00776767"/>
    <w:rsid w:val="00777395"/>
    <w:rsid w:val="00777E9B"/>
    <w:rsid w:val="00777F75"/>
    <w:rsid w:val="00781E97"/>
    <w:rsid w:val="00782714"/>
    <w:rsid w:val="0078504B"/>
    <w:rsid w:val="00785132"/>
    <w:rsid w:val="00787A54"/>
    <w:rsid w:val="00791723"/>
    <w:rsid w:val="00792BDD"/>
    <w:rsid w:val="00794DFF"/>
    <w:rsid w:val="0079572A"/>
    <w:rsid w:val="00796EE8"/>
    <w:rsid w:val="007A0959"/>
    <w:rsid w:val="007A1670"/>
    <w:rsid w:val="007A483F"/>
    <w:rsid w:val="007A7FFE"/>
    <w:rsid w:val="007B0355"/>
    <w:rsid w:val="007B2AEB"/>
    <w:rsid w:val="007B3861"/>
    <w:rsid w:val="007B61DA"/>
    <w:rsid w:val="007C1C62"/>
    <w:rsid w:val="007C2612"/>
    <w:rsid w:val="007C2ED0"/>
    <w:rsid w:val="007D1055"/>
    <w:rsid w:val="007D1757"/>
    <w:rsid w:val="007D2CB9"/>
    <w:rsid w:val="007D3954"/>
    <w:rsid w:val="007D494D"/>
    <w:rsid w:val="007D7275"/>
    <w:rsid w:val="007D757C"/>
    <w:rsid w:val="007D7A51"/>
    <w:rsid w:val="007E048A"/>
    <w:rsid w:val="007E234B"/>
    <w:rsid w:val="007E4A74"/>
    <w:rsid w:val="007E5FC5"/>
    <w:rsid w:val="007E68A4"/>
    <w:rsid w:val="007F535F"/>
    <w:rsid w:val="007F7B03"/>
    <w:rsid w:val="0080293D"/>
    <w:rsid w:val="00803EAB"/>
    <w:rsid w:val="00804539"/>
    <w:rsid w:val="00804CF0"/>
    <w:rsid w:val="00805969"/>
    <w:rsid w:val="00806664"/>
    <w:rsid w:val="008077B2"/>
    <w:rsid w:val="008077E4"/>
    <w:rsid w:val="008113CD"/>
    <w:rsid w:val="00814D9C"/>
    <w:rsid w:val="008162B1"/>
    <w:rsid w:val="0081779F"/>
    <w:rsid w:val="00817861"/>
    <w:rsid w:val="008216FD"/>
    <w:rsid w:val="0082576E"/>
    <w:rsid w:val="00830922"/>
    <w:rsid w:val="008350DA"/>
    <w:rsid w:val="00836DA8"/>
    <w:rsid w:val="00837703"/>
    <w:rsid w:val="00842448"/>
    <w:rsid w:val="00843352"/>
    <w:rsid w:val="008439A7"/>
    <w:rsid w:val="008525CA"/>
    <w:rsid w:val="008530AB"/>
    <w:rsid w:val="008542FD"/>
    <w:rsid w:val="0086093F"/>
    <w:rsid w:val="00865397"/>
    <w:rsid w:val="008665AB"/>
    <w:rsid w:val="00871577"/>
    <w:rsid w:val="0087239B"/>
    <w:rsid w:val="00877813"/>
    <w:rsid w:val="008808C1"/>
    <w:rsid w:val="00882481"/>
    <w:rsid w:val="00882BC7"/>
    <w:rsid w:val="00885049"/>
    <w:rsid w:val="00886E45"/>
    <w:rsid w:val="008917CD"/>
    <w:rsid w:val="0089278E"/>
    <w:rsid w:val="008938C7"/>
    <w:rsid w:val="00896E43"/>
    <w:rsid w:val="00896F3B"/>
    <w:rsid w:val="008A012D"/>
    <w:rsid w:val="008A044B"/>
    <w:rsid w:val="008A1FA5"/>
    <w:rsid w:val="008A3C38"/>
    <w:rsid w:val="008A4F38"/>
    <w:rsid w:val="008A61E9"/>
    <w:rsid w:val="008A7475"/>
    <w:rsid w:val="008B1948"/>
    <w:rsid w:val="008C0243"/>
    <w:rsid w:val="008C30D7"/>
    <w:rsid w:val="008C30E3"/>
    <w:rsid w:val="008C4C91"/>
    <w:rsid w:val="008D21D1"/>
    <w:rsid w:val="008D50D7"/>
    <w:rsid w:val="008D6193"/>
    <w:rsid w:val="008D7AEB"/>
    <w:rsid w:val="008E0385"/>
    <w:rsid w:val="008E083A"/>
    <w:rsid w:val="008E192D"/>
    <w:rsid w:val="008E2F56"/>
    <w:rsid w:val="008E544E"/>
    <w:rsid w:val="008E578D"/>
    <w:rsid w:val="008E61E9"/>
    <w:rsid w:val="008E6F93"/>
    <w:rsid w:val="008F01F5"/>
    <w:rsid w:val="008F1A47"/>
    <w:rsid w:val="008F2BAA"/>
    <w:rsid w:val="008F3526"/>
    <w:rsid w:val="00901959"/>
    <w:rsid w:val="009038E2"/>
    <w:rsid w:val="00904092"/>
    <w:rsid w:val="009049FD"/>
    <w:rsid w:val="00904EA3"/>
    <w:rsid w:val="009058FD"/>
    <w:rsid w:val="00907E4E"/>
    <w:rsid w:val="0091226E"/>
    <w:rsid w:val="009140E0"/>
    <w:rsid w:val="009144C8"/>
    <w:rsid w:val="009164A3"/>
    <w:rsid w:val="00916F43"/>
    <w:rsid w:val="00920C8E"/>
    <w:rsid w:val="00924223"/>
    <w:rsid w:val="00926804"/>
    <w:rsid w:val="00934B90"/>
    <w:rsid w:val="00934DF4"/>
    <w:rsid w:val="00936FBB"/>
    <w:rsid w:val="0093701B"/>
    <w:rsid w:val="00937CA4"/>
    <w:rsid w:val="00943213"/>
    <w:rsid w:val="009516F1"/>
    <w:rsid w:val="00951AAD"/>
    <w:rsid w:val="009523BB"/>
    <w:rsid w:val="00953905"/>
    <w:rsid w:val="0095710C"/>
    <w:rsid w:val="009629C4"/>
    <w:rsid w:val="009631B1"/>
    <w:rsid w:val="00963612"/>
    <w:rsid w:val="0096526C"/>
    <w:rsid w:val="00966323"/>
    <w:rsid w:val="00966527"/>
    <w:rsid w:val="00967E26"/>
    <w:rsid w:val="00970225"/>
    <w:rsid w:val="009808E9"/>
    <w:rsid w:val="00984F94"/>
    <w:rsid w:val="00986C66"/>
    <w:rsid w:val="009879FD"/>
    <w:rsid w:val="00990806"/>
    <w:rsid w:val="009930D6"/>
    <w:rsid w:val="00994047"/>
    <w:rsid w:val="00994C9B"/>
    <w:rsid w:val="00995F89"/>
    <w:rsid w:val="00997FD3"/>
    <w:rsid w:val="009A558C"/>
    <w:rsid w:val="009A5936"/>
    <w:rsid w:val="009A7516"/>
    <w:rsid w:val="009B1BA5"/>
    <w:rsid w:val="009B1DCD"/>
    <w:rsid w:val="009B24DC"/>
    <w:rsid w:val="009B296B"/>
    <w:rsid w:val="009B3F3D"/>
    <w:rsid w:val="009B45C1"/>
    <w:rsid w:val="009B6EF9"/>
    <w:rsid w:val="009B7FD3"/>
    <w:rsid w:val="009C01BE"/>
    <w:rsid w:val="009C26C9"/>
    <w:rsid w:val="009C39CC"/>
    <w:rsid w:val="009C502B"/>
    <w:rsid w:val="009D0E09"/>
    <w:rsid w:val="009D205C"/>
    <w:rsid w:val="009D27BA"/>
    <w:rsid w:val="009D35FD"/>
    <w:rsid w:val="009D5C9B"/>
    <w:rsid w:val="009D5FD1"/>
    <w:rsid w:val="009D667C"/>
    <w:rsid w:val="009E74EC"/>
    <w:rsid w:val="009F109E"/>
    <w:rsid w:val="00A00D0C"/>
    <w:rsid w:val="00A03195"/>
    <w:rsid w:val="00A03A3B"/>
    <w:rsid w:val="00A056AD"/>
    <w:rsid w:val="00A06FE4"/>
    <w:rsid w:val="00A10C7D"/>
    <w:rsid w:val="00A12A2B"/>
    <w:rsid w:val="00A137F3"/>
    <w:rsid w:val="00A14EB4"/>
    <w:rsid w:val="00A22965"/>
    <w:rsid w:val="00A235CF"/>
    <w:rsid w:val="00A23C13"/>
    <w:rsid w:val="00A24942"/>
    <w:rsid w:val="00A2672A"/>
    <w:rsid w:val="00A310E0"/>
    <w:rsid w:val="00A3130F"/>
    <w:rsid w:val="00A34431"/>
    <w:rsid w:val="00A43DED"/>
    <w:rsid w:val="00A45B07"/>
    <w:rsid w:val="00A46338"/>
    <w:rsid w:val="00A60275"/>
    <w:rsid w:val="00A606D7"/>
    <w:rsid w:val="00A714AD"/>
    <w:rsid w:val="00A726C4"/>
    <w:rsid w:val="00A744A4"/>
    <w:rsid w:val="00A923E6"/>
    <w:rsid w:val="00A95BFC"/>
    <w:rsid w:val="00A9604F"/>
    <w:rsid w:val="00A96D64"/>
    <w:rsid w:val="00A97137"/>
    <w:rsid w:val="00AA2133"/>
    <w:rsid w:val="00AA4B24"/>
    <w:rsid w:val="00AA6D7E"/>
    <w:rsid w:val="00AB2BF4"/>
    <w:rsid w:val="00AB3AF4"/>
    <w:rsid w:val="00AC03E6"/>
    <w:rsid w:val="00AC198D"/>
    <w:rsid w:val="00AC2C14"/>
    <w:rsid w:val="00AC3135"/>
    <w:rsid w:val="00AC4F2F"/>
    <w:rsid w:val="00AC5184"/>
    <w:rsid w:val="00AC5355"/>
    <w:rsid w:val="00AC7915"/>
    <w:rsid w:val="00AC7BC1"/>
    <w:rsid w:val="00AD034F"/>
    <w:rsid w:val="00AD10E6"/>
    <w:rsid w:val="00AD3269"/>
    <w:rsid w:val="00AD59F2"/>
    <w:rsid w:val="00AE1B3D"/>
    <w:rsid w:val="00AE2A3D"/>
    <w:rsid w:val="00AE366A"/>
    <w:rsid w:val="00AE4BA7"/>
    <w:rsid w:val="00AE5201"/>
    <w:rsid w:val="00AE521B"/>
    <w:rsid w:val="00AE5A5C"/>
    <w:rsid w:val="00AF0683"/>
    <w:rsid w:val="00AF1153"/>
    <w:rsid w:val="00AF535F"/>
    <w:rsid w:val="00B00A25"/>
    <w:rsid w:val="00B00B27"/>
    <w:rsid w:val="00B01446"/>
    <w:rsid w:val="00B028C9"/>
    <w:rsid w:val="00B02F79"/>
    <w:rsid w:val="00B10134"/>
    <w:rsid w:val="00B109CF"/>
    <w:rsid w:val="00B10F9A"/>
    <w:rsid w:val="00B118E1"/>
    <w:rsid w:val="00B137BF"/>
    <w:rsid w:val="00B14666"/>
    <w:rsid w:val="00B1527B"/>
    <w:rsid w:val="00B1795F"/>
    <w:rsid w:val="00B17C93"/>
    <w:rsid w:val="00B17EF7"/>
    <w:rsid w:val="00B2265A"/>
    <w:rsid w:val="00B23588"/>
    <w:rsid w:val="00B23B5A"/>
    <w:rsid w:val="00B25B88"/>
    <w:rsid w:val="00B27395"/>
    <w:rsid w:val="00B31122"/>
    <w:rsid w:val="00B33913"/>
    <w:rsid w:val="00B3445E"/>
    <w:rsid w:val="00B36B98"/>
    <w:rsid w:val="00B40EA4"/>
    <w:rsid w:val="00B427AB"/>
    <w:rsid w:val="00B43182"/>
    <w:rsid w:val="00B50F81"/>
    <w:rsid w:val="00B53885"/>
    <w:rsid w:val="00B60327"/>
    <w:rsid w:val="00B622D7"/>
    <w:rsid w:val="00B63F75"/>
    <w:rsid w:val="00B64E7A"/>
    <w:rsid w:val="00B661A0"/>
    <w:rsid w:val="00B712EE"/>
    <w:rsid w:val="00B72347"/>
    <w:rsid w:val="00B75B7F"/>
    <w:rsid w:val="00B75EFB"/>
    <w:rsid w:val="00B771B7"/>
    <w:rsid w:val="00B821D6"/>
    <w:rsid w:val="00B8367B"/>
    <w:rsid w:val="00B86A27"/>
    <w:rsid w:val="00B875A8"/>
    <w:rsid w:val="00B90414"/>
    <w:rsid w:val="00B9078D"/>
    <w:rsid w:val="00B91BB3"/>
    <w:rsid w:val="00B928D1"/>
    <w:rsid w:val="00B92A18"/>
    <w:rsid w:val="00B93E4F"/>
    <w:rsid w:val="00B94321"/>
    <w:rsid w:val="00B94582"/>
    <w:rsid w:val="00B94B21"/>
    <w:rsid w:val="00B95B5B"/>
    <w:rsid w:val="00BA0658"/>
    <w:rsid w:val="00BA2F3A"/>
    <w:rsid w:val="00BA39B7"/>
    <w:rsid w:val="00BA76B1"/>
    <w:rsid w:val="00BB0EDE"/>
    <w:rsid w:val="00BB1AC8"/>
    <w:rsid w:val="00BB56D1"/>
    <w:rsid w:val="00BB573C"/>
    <w:rsid w:val="00BB7E2C"/>
    <w:rsid w:val="00BC0085"/>
    <w:rsid w:val="00BC0F0A"/>
    <w:rsid w:val="00BC1F58"/>
    <w:rsid w:val="00BC5C1F"/>
    <w:rsid w:val="00BD1D53"/>
    <w:rsid w:val="00BD3F79"/>
    <w:rsid w:val="00BD4424"/>
    <w:rsid w:val="00BD574F"/>
    <w:rsid w:val="00BD71C1"/>
    <w:rsid w:val="00BD7C5E"/>
    <w:rsid w:val="00BE0768"/>
    <w:rsid w:val="00BE0AB0"/>
    <w:rsid w:val="00BE0AB4"/>
    <w:rsid w:val="00BE13A8"/>
    <w:rsid w:val="00BE4217"/>
    <w:rsid w:val="00BE74E0"/>
    <w:rsid w:val="00BE7C6F"/>
    <w:rsid w:val="00BE7F53"/>
    <w:rsid w:val="00BF3B53"/>
    <w:rsid w:val="00BF48B1"/>
    <w:rsid w:val="00BF5E87"/>
    <w:rsid w:val="00BF7F74"/>
    <w:rsid w:val="00C025AA"/>
    <w:rsid w:val="00C040A3"/>
    <w:rsid w:val="00C10197"/>
    <w:rsid w:val="00C10D47"/>
    <w:rsid w:val="00C145B2"/>
    <w:rsid w:val="00C14B04"/>
    <w:rsid w:val="00C15712"/>
    <w:rsid w:val="00C17EA8"/>
    <w:rsid w:val="00C20559"/>
    <w:rsid w:val="00C219FF"/>
    <w:rsid w:val="00C257B9"/>
    <w:rsid w:val="00C25965"/>
    <w:rsid w:val="00C2734D"/>
    <w:rsid w:val="00C275B1"/>
    <w:rsid w:val="00C30228"/>
    <w:rsid w:val="00C33353"/>
    <w:rsid w:val="00C33E7B"/>
    <w:rsid w:val="00C3621C"/>
    <w:rsid w:val="00C37746"/>
    <w:rsid w:val="00C40198"/>
    <w:rsid w:val="00C4140E"/>
    <w:rsid w:val="00C4294F"/>
    <w:rsid w:val="00C466E7"/>
    <w:rsid w:val="00C53B14"/>
    <w:rsid w:val="00C61753"/>
    <w:rsid w:val="00C63610"/>
    <w:rsid w:val="00C665F6"/>
    <w:rsid w:val="00C70173"/>
    <w:rsid w:val="00C71CD8"/>
    <w:rsid w:val="00C73874"/>
    <w:rsid w:val="00C75E77"/>
    <w:rsid w:val="00C7776A"/>
    <w:rsid w:val="00C802E1"/>
    <w:rsid w:val="00C803E0"/>
    <w:rsid w:val="00C8209E"/>
    <w:rsid w:val="00C837F1"/>
    <w:rsid w:val="00C83D90"/>
    <w:rsid w:val="00C863D8"/>
    <w:rsid w:val="00C91203"/>
    <w:rsid w:val="00C93F60"/>
    <w:rsid w:val="00C95318"/>
    <w:rsid w:val="00C96950"/>
    <w:rsid w:val="00C96B6F"/>
    <w:rsid w:val="00CA4409"/>
    <w:rsid w:val="00CA590F"/>
    <w:rsid w:val="00CA75BA"/>
    <w:rsid w:val="00CA76AF"/>
    <w:rsid w:val="00CB189B"/>
    <w:rsid w:val="00CB50E3"/>
    <w:rsid w:val="00CC4CE9"/>
    <w:rsid w:val="00CC62DA"/>
    <w:rsid w:val="00CC654C"/>
    <w:rsid w:val="00CC768B"/>
    <w:rsid w:val="00CD44FF"/>
    <w:rsid w:val="00CD7D39"/>
    <w:rsid w:val="00CE0CF4"/>
    <w:rsid w:val="00CE12F9"/>
    <w:rsid w:val="00CE78FF"/>
    <w:rsid w:val="00CE7B18"/>
    <w:rsid w:val="00CF1005"/>
    <w:rsid w:val="00CF3B12"/>
    <w:rsid w:val="00CF73B7"/>
    <w:rsid w:val="00CF7FFA"/>
    <w:rsid w:val="00D01BFF"/>
    <w:rsid w:val="00D02956"/>
    <w:rsid w:val="00D042EF"/>
    <w:rsid w:val="00D05424"/>
    <w:rsid w:val="00D07AA7"/>
    <w:rsid w:val="00D10507"/>
    <w:rsid w:val="00D1283B"/>
    <w:rsid w:val="00D15916"/>
    <w:rsid w:val="00D15DCC"/>
    <w:rsid w:val="00D1688E"/>
    <w:rsid w:val="00D2351A"/>
    <w:rsid w:val="00D24788"/>
    <w:rsid w:val="00D3092E"/>
    <w:rsid w:val="00D3163E"/>
    <w:rsid w:val="00D31EEF"/>
    <w:rsid w:val="00D331F4"/>
    <w:rsid w:val="00D3603A"/>
    <w:rsid w:val="00D40667"/>
    <w:rsid w:val="00D4364C"/>
    <w:rsid w:val="00D47FB3"/>
    <w:rsid w:val="00D52A94"/>
    <w:rsid w:val="00D531F5"/>
    <w:rsid w:val="00D536D8"/>
    <w:rsid w:val="00D54838"/>
    <w:rsid w:val="00D551A6"/>
    <w:rsid w:val="00D56202"/>
    <w:rsid w:val="00D60F38"/>
    <w:rsid w:val="00D61ECB"/>
    <w:rsid w:val="00D63A5E"/>
    <w:rsid w:val="00D63D76"/>
    <w:rsid w:val="00D63DF8"/>
    <w:rsid w:val="00D64AE2"/>
    <w:rsid w:val="00D709F2"/>
    <w:rsid w:val="00D71A22"/>
    <w:rsid w:val="00D73143"/>
    <w:rsid w:val="00D73C9F"/>
    <w:rsid w:val="00D75BFF"/>
    <w:rsid w:val="00D8133B"/>
    <w:rsid w:val="00D8374E"/>
    <w:rsid w:val="00D83EB9"/>
    <w:rsid w:val="00D86F4C"/>
    <w:rsid w:val="00D9246E"/>
    <w:rsid w:val="00D92706"/>
    <w:rsid w:val="00D93521"/>
    <w:rsid w:val="00D9391F"/>
    <w:rsid w:val="00D94674"/>
    <w:rsid w:val="00D9545D"/>
    <w:rsid w:val="00D95539"/>
    <w:rsid w:val="00D95E35"/>
    <w:rsid w:val="00D96C13"/>
    <w:rsid w:val="00DA04A7"/>
    <w:rsid w:val="00DA1144"/>
    <w:rsid w:val="00DA3499"/>
    <w:rsid w:val="00DA49B4"/>
    <w:rsid w:val="00DA541B"/>
    <w:rsid w:val="00DA5DA4"/>
    <w:rsid w:val="00DA626C"/>
    <w:rsid w:val="00DB14D8"/>
    <w:rsid w:val="00DB5186"/>
    <w:rsid w:val="00DB62E3"/>
    <w:rsid w:val="00DB7EAD"/>
    <w:rsid w:val="00DC15F3"/>
    <w:rsid w:val="00DC28DA"/>
    <w:rsid w:val="00DC2DE8"/>
    <w:rsid w:val="00DC62FC"/>
    <w:rsid w:val="00DC66B5"/>
    <w:rsid w:val="00DD2BED"/>
    <w:rsid w:val="00DD2ED0"/>
    <w:rsid w:val="00DD40EE"/>
    <w:rsid w:val="00DD416C"/>
    <w:rsid w:val="00DD6646"/>
    <w:rsid w:val="00DE3932"/>
    <w:rsid w:val="00DE5C7C"/>
    <w:rsid w:val="00DE6856"/>
    <w:rsid w:val="00DF055D"/>
    <w:rsid w:val="00DF1B7C"/>
    <w:rsid w:val="00DF1CA3"/>
    <w:rsid w:val="00DF2458"/>
    <w:rsid w:val="00DF64F4"/>
    <w:rsid w:val="00DF7B56"/>
    <w:rsid w:val="00DF7CA3"/>
    <w:rsid w:val="00E01049"/>
    <w:rsid w:val="00E019DB"/>
    <w:rsid w:val="00E01DC7"/>
    <w:rsid w:val="00E0636C"/>
    <w:rsid w:val="00E1051D"/>
    <w:rsid w:val="00E10BF5"/>
    <w:rsid w:val="00E11EEC"/>
    <w:rsid w:val="00E1297F"/>
    <w:rsid w:val="00E140B7"/>
    <w:rsid w:val="00E15B68"/>
    <w:rsid w:val="00E15DFE"/>
    <w:rsid w:val="00E1775C"/>
    <w:rsid w:val="00E22345"/>
    <w:rsid w:val="00E24551"/>
    <w:rsid w:val="00E27C5C"/>
    <w:rsid w:val="00E30841"/>
    <w:rsid w:val="00E32082"/>
    <w:rsid w:val="00E3225A"/>
    <w:rsid w:val="00E341CA"/>
    <w:rsid w:val="00E36771"/>
    <w:rsid w:val="00E3788B"/>
    <w:rsid w:val="00E41ED3"/>
    <w:rsid w:val="00E42542"/>
    <w:rsid w:val="00E42821"/>
    <w:rsid w:val="00E42E7A"/>
    <w:rsid w:val="00E43A7E"/>
    <w:rsid w:val="00E4599E"/>
    <w:rsid w:val="00E50501"/>
    <w:rsid w:val="00E50696"/>
    <w:rsid w:val="00E50D81"/>
    <w:rsid w:val="00E51F7C"/>
    <w:rsid w:val="00E51F87"/>
    <w:rsid w:val="00E531A5"/>
    <w:rsid w:val="00E55171"/>
    <w:rsid w:val="00E56D65"/>
    <w:rsid w:val="00E602EB"/>
    <w:rsid w:val="00E60989"/>
    <w:rsid w:val="00E61659"/>
    <w:rsid w:val="00E6231E"/>
    <w:rsid w:val="00E63E37"/>
    <w:rsid w:val="00E659E9"/>
    <w:rsid w:val="00E65BE3"/>
    <w:rsid w:val="00E65F14"/>
    <w:rsid w:val="00E67161"/>
    <w:rsid w:val="00E70EB5"/>
    <w:rsid w:val="00E76299"/>
    <w:rsid w:val="00E8221E"/>
    <w:rsid w:val="00E84CD2"/>
    <w:rsid w:val="00E85049"/>
    <w:rsid w:val="00E926E9"/>
    <w:rsid w:val="00E94145"/>
    <w:rsid w:val="00E96EA2"/>
    <w:rsid w:val="00EA0721"/>
    <w:rsid w:val="00EA0A91"/>
    <w:rsid w:val="00EA0AC1"/>
    <w:rsid w:val="00EA4E0A"/>
    <w:rsid w:val="00EB5276"/>
    <w:rsid w:val="00EB6DB2"/>
    <w:rsid w:val="00EB6EA8"/>
    <w:rsid w:val="00EC0B94"/>
    <w:rsid w:val="00EC1BAD"/>
    <w:rsid w:val="00ED32E8"/>
    <w:rsid w:val="00ED79BB"/>
    <w:rsid w:val="00EE0340"/>
    <w:rsid w:val="00EE3B38"/>
    <w:rsid w:val="00EE61BF"/>
    <w:rsid w:val="00EF1DC7"/>
    <w:rsid w:val="00EF233F"/>
    <w:rsid w:val="00EF3E82"/>
    <w:rsid w:val="00EF4A91"/>
    <w:rsid w:val="00F00810"/>
    <w:rsid w:val="00F00C63"/>
    <w:rsid w:val="00F019AF"/>
    <w:rsid w:val="00F01E93"/>
    <w:rsid w:val="00F048E0"/>
    <w:rsid w:val="00F0496F"/>
    <w:rsid w:val="00F06514"/>
    <w:rsid w:val="00F102E6"/>
    <w:rsid w:val="00F106C6"/>
    <w:rsid w:val="00F11A1C"/>
    <w:rsid w:val="00F1242E"/>
    <w:rsid w:val="00F12CD6"/>
    <w:rsid w:val="00F14056"/>
    <w:rsid w:val="00F148D8"/>
    <w:rsid w:val="00F1556C"/>
    <w:rsid w:val="00F15980"/>
    <w:rsid w:val="00F15F62"/>
    <w:rsid w:val="00F175AB"/>
    <w:rsid w:val="00F25F8E"/>
    <w:rsid w:val="00F26E39"/>
    <w:rsid w:val="00F27E31"/>
    <w:rsid w:val="00F300C3"/>
    <w:rsid w:val="00F3148C"/>
    <w:rsid w:val="00F32371"/>
    <w:rsid w:val="00F339E0"/>
    <w:rsid w:val="00F35F67"/>
    <w:rsid w:val="00F4037A"/>
    <w:rsid w:val="00F405B3"/>
    <w:rsid w:val="00F40914"/>
    <w:rsid w:val="00F42AED"/>
    <w:rsid w:val="00F44475"/>
    <w:rsid w:val="00F453D9"/>
    <w:rsid w:val="00F4582B"/>
    <w:rsid w:val="00F458D8"/>
    <w:rsid w:val="00F462D4"/>
    <w:rsid w:val="00F46632"/>
    <w:rsid w:val="00F46CF9"/>
    <w:rsid w:val="00F4740A"/>
    <w:rsid w:val="00F5293A"/>
    <w:rsid w:val="00F53E79"/>
    <w:rsid w:val="00F55A71"/>
    <w:rsid w:val="00F56654"/>
    <w:rsid w:val="00F612E3"/>
    <w:rsid w:val="00F62E49"/>
    <w:rsid w:val="00F6312E"/>
    <w:rsid w:val="00F66EEA"/>
    <w:rsid w:val="00F729C0"/>
    <w:rsid w:val="00F74358"/>
    <w:rsid w:val="00F74EA5"/>
    <w:rsid w:val="00F81E44"/>
    <w:rsid w:val="00F83BCD"/>
    <w:rsid w:val="00F84FA9"/>
    <w:rsid w:val="00F87504"/>
    <w:rsid w:val="00F87D9B"/>
    <w:rsid w:val="00F9134A"/>
    <w:rsid w:val="00F95B71"/>
    <w:rsid w:val="00FA054C"/>
    <w:rsid w:val="00FA05EE"/>
    <w:rsid w:val="00FA31AD"/>
    <w:rsid w:val="00FA3B06"/>
    <w:rsid w:val="00FA57F4"/>
    <w:rsid w:val="00FA5B03"/>
    <w:rsid w:val="00FB13C6"/>
    <w:rsid w:val="00FB2DE3"/>
    <w:rsid w:val="00FB3FBC"/>
    <w:rsid w:val="00FB5E85"/>
    <w:rsid w:val="00FB6DFA"/>
    <w:rsid w:val="00FC2C7A"/>
    <w:rsid w:val="00FC3E2D"/>
    <w:rsid w:val="00FC5C41"/>
    <w:rsid w:val="00FC79F5"/>
    <w:rsid w:val="00FD13D3"/>
    <w:rsid w:val="00FD4FA6"/>
    <w:rsid w:val="00FD54CC"/>
    <w:rsid w:val="00FD5F98"/>
    <w:rsid w:val="00FE1B21"/>
    <w:rsid w:val="00FE46B8"/>
    <w:rsid w:val="00FE50A0"/>
    <w:rsid w:val="00FE6D60"/>
    <w:rsid w:val="00FE7FC6"/>
    <w:rsid w:val="00FF0532"/>
    <w:rsid w:val="00FF4C75"/>
    <w:rsid w:val="00FF4E8A"/>
    <w:rsid w:val="00FF57AB"/>
    <w:rsid w:val="00FF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CC3D7-3D42-46A3-A741-4C5327D8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1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FBA"/>
    <w:rPr>
      <w:color w:val="808080"/>
    </w:rPr>
  </w:style>
  <w:style w:type="paragraph" w:styleId="ListParagraph">
    <w:name w:val="List Paragraph"/>
    <w:basedOn w:val="Normal"/>
    <w:uiPriority w:val="34"/>
    <w:qFormat/>
    <w:rsid w:val="001B1159"/>
    <w:pPr>
      <w:ind w:left="720"/>
      <w:contextualSpacing/>
    </w:pPr>
  </w:style>
  <w:style w:type="character" w:customStyle="1" w:styleId="Heading1Char">
    <w:name w:val="Heading 1 Char"/>
    <w:basedOn w:val="DefaultParagraphFont"/>
    <w:link w:val="Heading1"/>
    <w:uiPriority w:val="9"/>
    <w:rsid w:val="007B38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3861"/>
    <w:pPr>
      <w:outlineLvl w:val="9"/>
    </w:pPr>
  </w:style>
  <w:style w:type="character" w:customStyle="1" w:styleId="Heading2Char">
    <w:name w:val="Heading 2 Char"/>
    <w:basedOn w:val="DefaultParagraphFont"/>
    <w:link w:val="Heading2"/>
    <w:uiPriority w:val="9"/>
    <w:rsid w:val="003513A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513A9"/>
    <w:pPr>
      <w:spacing w:after="100"/>
    </w:pPr>
  </w:style>
  <w:style w:type="character" w:styleId="Hyperlink">
    <w:name w:val="Hyperlink"/>
    <w:basedOn w:val="DefaultParagraphFont"/>
    <w:uiPriority w:val="99"/>
    <w:unhideWhenUsed/>
    <w:rsid w:val="003513A9"/>
    <w:rPr>
      <w:color w:val="0563C1" w:themeColor="hyperlink"/>
      <w:u w:val="single"/>
    </w:rPr>
  </w:style>
  <w:style w:type="character" w:styleId="SubtleReference">
    <w:name w:val="Subtle Reference"/>
    <w:basedOn w:val="DefaultParagraphFont"/>
    <w:uiPriority w:val="31"/>
    <w:qFormat/>
    <w:rsid w:val="003B6DA8"/>
    <w:rPr>
      <w:smallCaps/>
      <w:color w:val="5A5A5A" w:themeColor="text1" w:themeTint="A5"/>
    </w:rPr>
  </w:style>
  <w:style w:type="numbering" w:customStyle="1" w:styleId="Headings">
    <w:name w:val="Headings"/>
    <w:uiPriority w:val="99"/>
    <w:rsid w:val="00A137F3"/>
    <w:pPr>
      <w:numPr>
        <w:numId w:val="4"/>
      </w:numPr>
    </w:pPr>
  </w:style>
  <w:style w:type="table" w:styleId="TableGrid">
    <w:name w:val="Table Grid"/>
    <w:basedOn w:val="TableNormal"/>
    <w:uiPriority w:val="39"/>
    <w:rsid w:val="00785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3C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12742">
      <w:bodyDiv w:val="1"/>
      <w:marLeft w:val="0"/>
      <w:marRight w:val="0"/>
      <w:marTop w:val="0"/>
      <w:marBottom w:val="0"/>
      <w:divBdr>
        <w:top w:val="none" w:sz="0" w:space="0" w:color="auto"/>
        <w:left w:val="none" w:sz="0" w:space="0" w:color="auto"/>
        <w:bottom w:val="none" w:sz="0" w:space="0" w:color="auto"/>
        <w:right w:val="none" w:sz="0" w:space="0" w:color="auto"/>
      </w:divBdr>
    </w:div>
    <w:div w:id="19447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EF9DEF-A5F2-4C26-8B38-80C014714607}">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269F0-248F-4AE8-9085-F722B4AD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Dutta</dc:creator>
  <cp:keywords/>
  <dc:description/>
  <cp:lastModifiedBy>Ritwik Dutta</cp:lastModifiedBy>
  <cp:revision>659</cp:revision>
  <cp:lastPrinted>2015-08-19T07:09:00Z</cp:lastPrinted>
  <dcterms:created xsi:type="dcterms:W3CDTF">2015-08-19T02:57:00Z</dcterms:created>
  <dcterms:modified xsi:type="dcterms:W3CDTF">2015-08-19T07:10:00Z</dcterms:modified>
</cp:coreProperties>
</file>