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882" w:rsidRPr="004B7E36" w:rsidRDefault="00C86AE0" w:rsidP="003B336C">
      <w:pPr>
        <w:pStyle w:val="Authors"/>
        <w:framePr w:h="312" w:hRule="exact" w:wrap="notBeside" w:vAnchor="page" w:x="1809" w:y="2506"/>
      </w:pPr>
      <w:bookmarkStart w:id="0" w:name="_GoBack"/>
      <w:bookmarkEnd w:id="0"/>
      <w:r>
        <w:t>Ritwik Dutta</w:t>
      </w:r>
      <w:r w:rsidR="00050578">
        <w:t xml:space="preserve">, </w:t>
      </w:r>
      <w:r w:rsidR="00050578" w:rsidRPr="00050578">
        <w:t>Irina Cazan,</w:t>
      </w:r>
      <w:r>
        <w:t xml:space="preserve"> and </w:t>
      </w:r>
      <w:r w:rsidR="003B336C">
        <w:t>Radu Marculescu</w:t>
      </w:r>
    </w:p>
    <w:p w:rsidR="00F54DA3" w:rsidRPr="004B7E36" w:rsidRDefault="00F54DA3">
      <w:pPr>
        <w:pStyle w:val="Text"/>
        <w:ind w:firstLine="0"/>
        <w:rPr>
          <w:sz w:val="18"/>
          <w:szCs w:val="18"/>
        </w:rPr>
      </w:pPr>
      <w:r w:rsidRPr="004B7E36">
        <w:rPr>
          <w:sz w:val="18"/>
          <w:szCs w:val="18"/>
        </w:rPr>
        <w:footnoteReference w:customMarkFollows="1" w:id="1"/>
        <w:sym w:font="Symbol" w:char="F020"/>
      </w:r>
    </w:p>
    <w:p w:rsidR="00F54DA3" w:rsidRPr="004B7E36" w:rsidRDefault="003B336C" w:rsidP="004B7E36">
      <w:pPr>
        <w:pStyle w:val="Title"/>
        <w:framePr w:w="10592" w:wrap="notBeside" w:vAnchor="page" w:y="1220"/>
      </w:pPr>
      <w:r w:rsidRPr="003B336C">
        <w:t>Fairness of Scientific Collaboration Networks in Academic Confere</w:t>
      </w:r>
      <w:r>
        <w:t>nces</w:t>
      </w:r>
      <w:r w:rsidR="0003467A" w:rsidRPr="004B7E36">
        <w:t xml:space="preserve"> </w:t>
      </w:r>
    </w:p>
    <w:p w:rsidR="00F54DA3" w:rsidRPr="004B7E36" w:rsidRDefault="00F54DA3" w:rsidP="00AC48F2">
      <w:pPr>
        <w:pStyle w:val="Abstract"/>
        <w:ind w:firstLine="204"/>
        <w:rPr>
          <w:b w:val="0"/>
        </w:rPr>
      </w:pPr>
      <w:r w:rsidRPr="004B7E36">
        <w:rPr>
          <w:i/>
          <w:iCs/>
          <w:sz w:val="20"/>
          <w:szCs w:val="20"/>
        </w:rPr>
        <w:t>Abstract</w:t>
      </w:r>
      <w:r w:rsidRPr="004B7E36">
        <w:rPr>
          <w:sz w:val="20"/>
          <w:szCs w:val="20"/>
        </w:rPr>
        <w:t>—</w:t>
      </w:r>
      <w:proofErr w:type="gramStart"/>
      <w:r w:rsidR="003B336C" w:rsidRPr="003B336C">
        <w:t>This</w:t>
      </w:r>
      <w:proofErr w:type="gramEnd"/>
      <w:r w:rsidR="003B336C" w:rsidRPr="003B336C">
        <w:t xml:space="preserve"> paper outlines our research in academic social networks. We analyze the complex collaboration structure among the participants of academic conferences, and outline a methodology to characterize a conference in terms of its important personality metrics. In particular, we focus on networks capturing the collaboration between the program committee members and regular authors of a conference, including co-authorship and institutional linkages, and derive a quotient to quantify the fairness of scientific collaborations for the conference.  Using a simple model, we show how the stability of a conference can be evaluated as an inverse measure of the fairness quotient. We have found that the fairness factor of a conference is a dynamic property that can vary from one year to another based upon the co-authorship network of the conference. Our findings offer fundamental insight into the evolution of special communities or interest groups that tend to form in an academic network with the sole purpose of promoting interests with regard to professional growth of individuals in the community at the cost of denying privileges to individuals outside the community. We have presented our results in the light of two popular conferences that we have analyzed over a period of five years, but our methodology is applicable to any conference and over any number of years, and can be extended to a study of other complex social networks as well</w:t>
      </w:r>
      <w:r w:rsidR="00961A94" w:rsidRPr="005157D4">
        <w:t>.</w:t>
      </w:r>
      <w:r w:rsidR="00762761">
        <w:rPr>
          <w:b w:val="0"/>
        </w:rPr>
        <w:t xml:space="preserve"> </w:t>
      </w:r>
    </w:p>
    <w:p w:rsidR="00F54DA3" w:rsidRPr="004B7E36" w:rsidRDefault="00F54DA3" w:rsidP="004B7E36">
      <w:pPr>
        <w:pStyle w:val="Style1"/>
        <w:spacing w:line="240" w:lineRule="auto"/>
      </w:pPr>
    </w:p>
    <w:p w:rsidR="00F54DA3" w:rsidRPr="004B7E36" w:rsidRDefault="00903455" w:rsidP="004B7E36">
      <w:pPr>
        <w:pStyle w:val="IndexTerms"/>
        <w:rPr>
          <w:b w:val="0"/>
          <w:sz w:val="20"/>
          <w:szCs w:val="20"/>
        </w:rPr>
      </w:pPr>
      <w:bookmarkStart w:id="1" w:name="PointTmp"/>
      <w:r w:rsidRPr="004B7E36">
        <w:rPr>
          <w:i/>
          <w:iCs/>
          <w:sz w:val="20"/>
          <w:szCs w:val="20"/>
        </w:rPr>
        <w:t>Keywords</w:t>
      </w:r>
      <w:r w:rsidR="00F54DA3" w:rsidRPr="004B7E36">
        <w:rPr>
          <w:sz w:val="20"/>
          <w:szCs w:val="20"/>
        </w:rPr>
        <w:t>—</w:t>
      </w:r>
      <w:r w:rsidR="003B336C" w:rsidRPr="003B336C">
        <w:t>ForceAtlas, Gephi, network communities, network graphs, OpenOrd, scientific collaboration, social networks</w:t>
      </w:r>
      <w:r w:rsidR="00F54DA3" w:rsidRPr="00A32C41">
        <w:t>.</w:t>
      </w:r>
      <w:r w:rsidR="00F54DA3" w:rsidRPr="004B7E36">
        <w:rPr>
          <w:b w:val="0"/>
        </w:rPr>
        <w:t xml:space="preserve"> </w:t>
      </w:r>
    </w:p>
    <w:bookmarkEnd w:id="1"/>
    <w:p w:rsidR="00F54DA3" w:rsidRPr="004B7E36" w:rsidRDefault="00F54DA3" w:rsidP="00725705">
      <w:pPr>
        <w:pStyle w:val="Heading1"/>
      </w:pPr>
      <w:r w:rsidRPr="004B7E36">
        <w:t>I</w:t>
      </w:r>
      <w:r w:rsidRPr="004B7E36">
        <w:rPr>
          <w:sz w:val="16"/>
          <w:szCs w:val="16"/>
        </w:rPr>
        <w:t>NTRODUCTION</w:t>
      </w:r>
    </w:p>
    <w:p w:rsidR="00F54DA3" w:rsidRPr="004B7E36" w:rsidRDefault="003B336C">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3B336C" w:rsidRDefault="003B336C" w:rsidP="003B336C">
      <w:pPr>
        <w:pStyle w:val="Text"/>
        <w:ind w:firstLine="0"/>
      </w:pPr>
      <w:r>
        <w:t xml:space="preserve">CADEMIC conferences </w:t>
      </w:r>
      <w:r w:rsidR="001674B2" w:rsidRPr="004B7E36">
        <w:t xml:space="preserve"> </w:t>
      </w:r>
      <w:r w:rsidRPr="00DB4C3C">
        <w:t xml:space="preserve">are </w:t>
      </w:r>
      <w:r>
        <w:t xml:space="preserve">collaborative </w:t>
      </w:r>
      <w:r w:rsidRPr="00DB4C3C">
        <w:t xml:space="preserve">and multi-site initiatives </w:t>
      </w:r>
      <w:r>
        <w:t>that involve</w:t>
      </w:r>
      <w:r w:rsidRPr="00DB4C3C">
        <w:t xml:space="preserve"> students, </w:t>
      </w:r>
      <w:r>
        <w:t xml:space="preserve">researchers, </w:t>
      </w:r>
      <w:r w:rsidRPr="00DB4C3C">
        <w:t xml:space="preserve">educators, and organizations.  </w:t>
      </w:r>
      <w:r>
        <w:t>Such a</w:t>
      </w:r>
      <w:r w:rsidRPr="00DB4C3C">
        <w:t xml:space="preserve"> conference is usually characterized by scientific collaborative networks of people, institutions, and organizations that are largely </w:t>
      </w:r>
      <w:r>
        <w:t>independent</w:t>
      </w:r>
      <w:r w:rsidRPr="00DB4C3C">
        <w:t xml:space="preserve">, geographically distributed, and </w:t>
      </w:r>
      <w:r>
        <w:t>diverse</w:t>
      </w:r>
      <w:r w:rsidRPr="00DB4C3C">
        <w:t xml:space="preserve"> in terms of their operating environment, society, and culture. </w:t>
      </w:r>
      <w:r>
        <w:t xml:space="preserve">Given the importance of academic conferences in influencing professional careers in terms of hiring and promotions, it is imperative that fair and stringent policies should exist with respect to authorship credit, paper review, paper acceptance, plagiarism, and resubmission of previous work for publications in an academic conference. </w:t>
      </w:r>
    </w:p>
    <w:p w:rsidR="003B336C" w:rsidRDefault="003B336C" w:rsidP="003B336C">
      <w:pPr>
        <w:pStyle w:val="Text"/>
      </w:pPr>
      <w:r>
        <w:t xml:space="preserve">For a conference, particularly a selective one, the review process needs to be unbiased, balanced, and free of conflicts of interest. In this regard, the Technical Program Committee (TPC) plays a crucial role in terms of its goals, composition, and responsibility as a steering committee to handle the TPC’s influence on reviewers, authors and TPC-authored papers. A “common interest clique” formed between one or more TPC members and regular authors can jeopardize the ideals on which a conference is founded; moreover, the existence of such a special-interest community or group can unfairly promote </w:t>
      </w:r>
      <w:r w:rsidRPr="006B5D13">
        <w:t xml:space="preserve">professional growth of individuals in the community at the cost of denying </w:t>
      </w:r>
      <w:r>
        <w:t xml:space="preserve">the same </w:t>
      </w:r>
      <w:r w:rsidRPr="006B5D13">
        <w:t xml:space="preserve">privileges to </w:t>
      </w:r>
      <w:r>
        <w:t>those</w:t>
      </w:r>
      <w:r w:rsidRPr="006B5D13">
        <w:t xml:space="preserve"> outside the community.</w:t>
      </w:r>
    </w:p>
    <w:p w:rsidR="003B336C" w:rsidRPr="00DB4C3C" w:rsidRDefault="003B336C" w:rsidP="003B336C">
      <w:pPr>
        <w:pStyle w:val="Text"/>
      </w:pPr>
      <w:r>
        <w:t>The work presented in this paper concerns coming up with a systematic analysis</w:t>
      </w:r>
      <w:r w:rsidRPr="00DB4C3C">
        <w:t xml:space="preserve"> methodology</w:t>
      </w:r>
      <w:r>
        <w:t xml:space="preserve"> to characterize</w:t>
      </w:r>
      <w:r w:rsidRPr="00DB4C3C">
        <w:t xml:space="preserve"> academic conferences in terms of </w:t>
      </w:r>
      <w:r>
        <w:t>some</w:t>
      </w:r>
      <w:r w:rsidRPr="00DB4C3C">
        <w:t xml:space="preserve"> important personality</w:t>
      </w:r>
      <w:r>
        <w:t xml:space="preserve"> metrics. The metric that </w:t>
      </w:r>
      <w:r w:rsidRPr="00DB4C3C">
        <w:t xml:space="preserve">we </w:t>
      </w:r>
      <w:r>
        <w:t xml:space="preserve">have </w:t>
      </w:r>
      <w:r w:rsidRPr="00DB4C3C">
        <w:t>focus</w:t>
      </w:r>
      <w:r>
        <w:t>ed</w:t>
      </w:r>
      <w:r w:rsidRPr="00DB4C3C">
        <w:t xml:space="preserve"> on</w:t>
      </w:r>
      <w:r>
        <w:t xml:space="preserve"> </w:t>
      </w:r>
      <w:r w:rsidRPr="00DB4C3C">
        <w:t xml:space="preserve">is </w:t>
      </w:r>
      <w:r w:rsidRPr="00A1389A">
        <w:rPr>
          <w:i/>
        </w:rPr>
        <w:t>fairness</w:t>
      </w:r>
      <w:r>
        <w:t xml:space="preserve"> and we have outlined a method to derive the </w:t>
      </w:r>
      <w:r w:rsidRPr="00492A5B">
        <w:rPr>
          <w:i/>
        </w:rPr>
        <w:t>fairness quotien</w:t>
      </w:r>
      <w:r>
        <w:t>t</w:t>
      </w:r>
      <w:r w:rsidRPr="00DB4C3C">
        <w:t xml:space="preserve"> of a conference. </w:t>
      </w:r>
      <w:r w:rsidRPr="00381A8A">
        <w:t xml:space="preserve">Using a simple model, we </w:t>
      </w:r>
      <w:r>
        <w:t xml:space="preserve">also </w:t>
      </w:r>
      <w:r w:rsidRPr="00381A8A">
        <w:t xml:space="preserve">show how the </w:t>
      </w:r>
      <w:r w:rsidRPr="00554F97">
        <w:rPr>
          <w:i/>
        </w:rPr>
        <w:t>fairness</w:t>
      </w:r>
      <w:r>
        <w:t xml:space="preserve"> </w:t>
      </w:r>
      <w:r w:rsidRPr="00554F97">
        <w:rPr>
          <w:i/>
        </w:rPr>
        <w:t>stability</w:t>
      </w:r>
      <w:r w:rsidRPr="00381A8A">
        <w:t xml:space="preserve"> of a conference can be evaluated as an inverse measure of the fairness quotient. We have found that the fairness factor of a conference is a dynamic property that can vary from one year to another based upon the co-authorship network of the conference.</w:t>
      </w:r>
      <w:r>
        <w:t xml:space="preserve"> Our method is generic and can handle a complex set of variables, hence can be extended to look at other criteria as well as study other complex social networks.</w:t>
      </w:r>
    </w:p>
    <w:p w:rsidR="003B336C" w:rsidRDefault="003B336C" w:rsidP="003B336C">
      <w:pPr>
        <w:pStyle w:val="Text"/>
      </w:pPr>
      <w:r>
        <w:t>W</w:t>
      </w:r>
      <w:r w:rsidRPr="00DB4C3C">
        <w:t xml:space="preserve">e </w:t>
      </w:r>
      <w:r w:rsidRPr="00EE7030">
        <w:t xml:space="preserve">refer to </w:t>
      </w:r>
      <w:r>
        <w:t xml:space="preserve">the </w:t>
      </w:r>
      <w:r w:rsidRPr="00EE7030">
        <w:t>network of collaboration among the participants</w:t>
      </w:r>
      <w:r>
        <w:t xml:space="preserve"> of a conference </w:t>
      </w:r>
      <w:r w:rsidRPr="00EE7030">
        <w:t>as the Conference Collaboration Network (CCN).</w:t>
      </w:r>
      <w:r>
        <w:t xml:space="preserve">  A three</w:t>
      </w:r>
      <w:r w:rsidRPr="00DB4C3C">
        <w:t xml:space="preserve">-step approach </w:t>
      </w:r>
      <w:r>
        <w:t xml:space="preserve">is followed </w:t>
      </w:r>
      <w:r w:rsidRPr="00DB4C3C">
        <w:t>to identify</w:t>
      </w:r>
      <w:r>
        <w:t xml:space="preserve"> </w:t>
      </w:r>
      <w:r w:rsidRPr="00DB4C3C">
        <w:t>the fairness factor</w:t>
      </w:r>
      <w:r>
        <w:t xml:space="preserve"> of such a CCN</w:t>
      </w:r>
      <w:r w:rsidRPr="00DB4C3C">
        <w:t xml:space="preserve">.  We first target a select set of conferences and </w:t>
      </w:r>
      <w:r>
        <w:t xml:space="preserve">obtain the relevant collaboration data. Next, we </w:t>
      </w:r>
      <w:r w:rsidRPr="00DB4C3C">
        <w:t xml:space="preserve">extract patterns from the </w:t>
      </w:r>
      <w:r>
        <w:t>collaboration data</w:t>
      </w:r>
      <w:r w:rsidRPr="00DB4C3C">
        <w:t xml:space="preserve">. </w:t>
      </w:r>
      <w:r>
        <w:t>Finally, we dra</w:t>
      </w:r>
      <w:r w:rsidRPr="00DB4C3C">
        <w:t xml:space="preserve">w inferences about the </w:t>
      </w:r>
      <w:r>
        <w:t>nature</w:t>
      </w:r>
      <w:r w:rsidRPr="00DB4C3C">
        <w:t xml:space="preserve"> of the conference from the extracted patterns. </w:t>
      </w:r>
      <w:r>
        <w:t xml:space="preserve">Whereas much of previous work has addressed academic conduct, integrity, and authorship order, our paper is one of the first to analyze the impact of the program committee on authorship. </w:t>
      </w:r>
      <w:r w:rsidRPr="003F0F1C">
        <w:t>In light of the variabil</w:t>
      </w:r>
      <w:r>
        <w:t xml:space="preserve">ity, ambiguity, and uncertainty that exist today, we believe our results can be used to guide and optimize policies </w:t>
      </w:r>
      <w:r w:rsidRPr="003F0F1C">
        <w:t xml:space="preserve">regarding </w:t>
      </w:r>
      <w:r>
        <w:t xml:space="preserve">the rules of engagement in different academic events and networks. </w:t>
      </w:r>
    </w:p>
    <w:p w:rsidR="003B336C" w:rsidRPr="00381A8A" w:rsidRDefault="003B336C" w:rsidP="003B336C">
      <w:pPr>
        <w:pStyle w:val="Text"/>
        <w:ind w:firstLine="204"/>
      </w:pPr>
      <w:r>
        <w:t xml:space="preserve">The paper is organized as follows. Section </w:t>
      </w:r>
      <w:r>
        <w:fldChar w:fldCharType="begin"/>
      </w:r>
      <w:r>
        <w:instrText xml:space="preserve"> REF _Ref427787776 \r \h </w:instrText>
      </w:r>
      <w:r>
        <w:fldChar w:fldCharType="separate"/>
      </w:r>
      <w:r w:rsidR="00050578">
        <w:t>II</w:t>
      </w:r>
      <w:r>
        <w:fldChar w:fldCharType="end"/>
      </w:r>
      <w:r>
        <w:t xml:space="preserve"> describes past work in the area of social group network analysis. In Section </w:t>
      </w:r>
      <w:r w:rsidR="00050578">
        <w:fldChar w:fldCharType="begin"/>
      </w:r>
      <w:r w:rsidR="00050578">
        <w:instrText xml:space="preserve"> REF _Ref428126186 \r \h </w:instrText>
      </w:r>
      <w:r w:rsidR="00050578">
        <w:fldChar w:fldCharType="separate"/>
      </w:r>
      <w:r w:rsidR="00050578">
        <w:t>III</w:t>
      </w:r>
      <w:r w:rsidR="00050578">
        <w:fldChar w:fldCharType="end"/>
      </w:r>
      <w:r w:rsidR="00050578">
        <w:t xml:space="preserve"> </w:t>
      </w:r>
      <w:r>
        <w:t xml:space="preserve">we clarify certain terminologies and explain our research objectives. Section </w:t>
      </w:r>
      <w:r>
        <w:fldChar w:fldCharType="begin"/>
      </w:r>
      <w:r>
        <w:instrText xml:space="preserve"> REF _Ref428024841 \n \h </w:instrText>
      </w:r>
      <w:r>
        <w:fldChar w:fldCharType="separate"/>
      </w:r>
      <w:r w:rsidR="00050578">
        <w:t>IV</w:t>
      </w:r>
      <w:r>
        <w:fldChar w:fldCharType="end"/>
      </w:r>
      <w:r>
        <w:t xml:space="preserve"> details on the effective representation of academic networks in a way that helps easy visualization of data. Section </w:t>
      </w:r>
      <w:r>
        <w:fldChar w:fldCharType="begin"/>
      </w:r>
      <w:r>
        <w:instrText xml:space="preserve"> REF _Ref427787960 \r \h </w:instrText>
      </w:r>
      <w:r>
        <w:fldChar w:fldCharType="separate"/>
      </w:r>
      <w:r w:rsidR="00050578">
        <w:t>V</w:t>
      </w:r>
      <w:r>
        <w:fldChar w:fldCharType="end"/>
      </w:r>
      <w:r>
        <w:t xml:space="preserve"> presents our derivation of the fairness factor and stability of a conference. Section </w:t>
      </w:r>
      <w:r>
        <w:fldChar w:fldCharType="begin"/>
      </w:r>
      <w:r>
        <w:instrText xml:space="preserve"> REF _Ref427787984 \r \h </w:instrText>
      </w:r>
      <w:r>
        <w:fldChar w:fldCharType="separate"/>
      </w:r>
      <w:r w:rsidR="00050578">
        <w:t>VI</w:t>
      </w:r>
      <w:r>
        <w:fldChar w:fldCharType="end"/>
      </w:r>
      <w:r>
        <w:t xml:space="preserve"> incorporates the results and Section </w:t>
      </w:r>
      <w:r>
        <w:fldChar w:fldCharType="begin"/>
      </w:r>
      <w:r>
        <w:instrText xml:space="preserve"> REF _Ref428090361 \r \h </w:instrText>
      </w:r>
      <w:r>
        <w:fldChar w:fldCharType="separate"/>
      </w:r>
      <w:r w:rsidR="00050578">
        <w:t>VII</w:t>
      </w:r>
      <w:r>
        <w:fldChar w:fldCharType="end"/>
      </w:r>
      <w:r>
        <w:t xml:space="preserve"> draws the conclusions.</w:t>
      </w:r>
      <w:r w:rsidRPr="00DB4C3C">
        <w:rPr>
          <w:color w:val="548DD4" w:themeColor="text2" w:themeTint="99"/>
        </w:rPr>
        <w:t xml:space="preserve"> </w:t>
      </w:r>
    </w:p>
    <w:p w:rsidR="003B336C" w:rsidRDefault="003B336C" w:rsidP="003B336C">
      <w:pPr>
        <w:pStyle w:val="Heading1"/>
      </w:pPr>
      <w:bookmarkStart w:id="2" w:name="_Ref427787776"/>
      <w:r w:rsidRPr="00DB4C3C">
        <w:lastRenderedPageBreak/>
        <w:t>Past work</w:t>
      </w:r>
      <w:bookmarkEnd w:id="2"/>
    </w:p>
    <w:p w:rsidR="003B336C" w:rsidRDefault="003B336C" w:rsidP="003B336C">
      <w:pPr>
        <w:ind w:firstLine="202"/>
        <w:jc w:val="both"/>
      </w:pPr>
      <w:r>
        <w:t xml:space="preserve">The CCN that we analyzed is an interdependent network. Past has addressed interdependent networks as well. For example, </w:t>
      </w:r>
      <w:proofErr w:type="spellStart"/>
      <w:r>
        <w:t>Danziger’s</w:t>
      </w:r>
      <w:proofErr w:type="spellEnd"/>
      <w:r>
        <w:t xml:space="preserve"> paper </w:t>
      </w:r>
      <w:sdt>
        <w:sdtPr>
          <w:id w:val="-1082978187"/>
          <w:citation/>
        </w:sdtPr>
        <w:sdtEndPr/>
        <w:sdtContent>
          <w:r>
            <w:fldChar w:fldCharType="begin"/>
          </w:r>
          <w:r>
            <w:instrText xml:space="preserve"> CITATION Dan14 \l 1033 </w:instrText>
          </w:r>
          <w:r>
            <w:fldChar w:fldCharType="separate"/>
          </w:r>
          <w:r>
            <w:rPr>
              <w:noProof/>
            </w:rPr>
            <w:t>[1]</w:t>
          </w:r>
          <w:r>
            <w:fldChar w:fldCharType="end"/>
          </w:r>
        </w:sdtContent>
      </w:sdt>
      <w:r>
        <w:t xml:space="preserve"> on interdependent networks, both in terms of their static and dynamic properties, has shown that multiple networks depending on each other, through connections that defined each network as a “layer” with inter-layer connections providing the order and structure of this interdependence, could be used for interpretation of complex and interconnected data.  In the context of social and scientific networks, evolution and collaboration within the network is important for our research. One such analysis </w:t>
      </w:r>
      <w:sdt>
        <w:sdtPr>
          <w:id w:val="-1210874872"/>
          <w:citation/>
        </w:sdtPr>
        <w:sdtEndPr/>
        <w:sdtContent>
          <w:r>
            <w:fldChar w:fldCharType="begin"/>
          </w:r>
          <w:r>
            <w:instrText xml:space="preserve">CITATION Pal07 \l 1033 </w:instrText>
          </w:r>
          <w:r>
            <w:fldChar w:fldCharType="separate"/>
          </w:r>
          <w:r>
            <w:rPr>
              <w:noProof/>
            </w:rPr>
            <w:t>[2]</w:t>
          </w:r>
          <w:r>
            <w:fldChar w:fldCharType="end"/>
          </w:r>
        </w:sdtContent>
      </w:sdt>
      <w:r>
        <w:t xml:space="preserve"> of social networks, that included the Cornell University Library archive and customer-to-customer phone calls for a 4-million-user mobile network, has been used to demonstrate that these networks are constantly evolving in terms of emergence and disappearance of communities as well as their dynamics.  In the area of collaborative networks, a different analysis </w:t>
      </w:r>
      <w:sdt>
        <w:sdtPr>
          <w:id w:val="-1936190783"/>
          <w:citation/>
        </w:sdtPr>
        <w:sdtEndPr/>
        <w:sdtContent>
          <w:r>
            <w:fldChar w:fldCharType="begin"/>
          </w:r>
          <w:r>
            <w:instrText xml:space="preserve"> CITATION New01 \l 1033 </w:instrText>
          </w:r>
          <w:r>
            <w:fldChar w:fldCharType="separate"/>
          </w:r>
          <w:r>
            <w:rPr>
              <w:noProof/>
            </w:rPr>
            <w:t>[3]</w:t>
          </w:r>
          <w:r>
            <w:fldChar w:fldCharType="end"/>
          </w:r>
        </w:sdtContent>
      </w:sdt>
      <w:r>
        <w:t xml:space="preserve"> of scientific collaboration in MEDLINE, the Los Alamos e-Print Archive, SPIRES, and NCSTRL has shown the differences in the average number of papers-per-author and authors-per-paper in four scientific areas – astrophysics, condensed matter, high-energy, and computer science; it was found that these collaboration networks were highly clustered and specific areas (such as high-energy-physics) had noticeably different amounts of authors-per-paper. Similarly, experimentation </w:t>
      </w:r>
      <w:sdt>
        <w:sdtPr>
          <w:id w:val="-1939362988"/>
          <w:citation/>
        </w:sdtPr>
        <w:sdtEndPr/>
        <w:sdtContent>
          <w:r>
            <w:fldChar w:fldCharType="begin"/>
          </w:r>
          <w:r>
            <w:instrText xml:space="preserve"> CITATION Kad13 \l 1033 </w:instrText>
          </w:r>
          <w:r>
            <w:fldChar w:fldCharType="separate"/>
          </w:r>
          <w:r>
            <w:rPr>
              <w:noProof/>
            </w:rPr>
            <w:t>[4]</w:t>
          </w:r>
          <w:r>
            <w:fldChar w:fldCharType="end"/>
          </w:r>
        </w:sdtContent>
      </w:sdt>
      <w:r>
        <w:t xml:space="preserve">  with </w:t>
      </w:r>
      <w:proofErr w:type="spellStart"/>
      <w:r>
        <w:t>ResearchGate</w:t>
      </w:r>
      <w:proofErr w:type="spellEnd"/>
      <w:r>
        <w:t xml:space="preserve"> data using network centrality and PageRank algorithm used academic connections by the interest field to help rank authors in a collaborative network in terms of influence on the network and value, while categorizing them by discipline. On similar lines, </w:t>
      </w:r>
      <w:proofErr w:type="spellStart"/>
      <w:r>
        <w:t>Barbasi</w:t>
      </w:r>
      <w:proofErr w:type="spellEnd"/>
      <w:r>
        <w:t xml:space="preserve"> </w:t>
      </w:r>
      <w:r w:rsidRPr="00486DAD">
        <w:rPr>
          <w:i/>
        </w:rPr>
        <w:t>et al</w:t>
      </w:r>
      <w:r>
        <w:t xml:space="preserve"> </w:t>
      </w:r>
      <w:sdt>
        <w:sdtPr>
          <w:id w:val="1483043163"/>
          <w:citation/>
        </w:sdtPr>
        <w:sdtEndPr/>
        <w:sdtContent>
          <w:r>
            <w:fldChar w:fldCharType="begin"/>
          </w:r>
          <w:r>
            <w:instrText xml:space="preserve"> CITATION Bar02 \l 1033 </w:instrText>
          </w:r>
          <w:r>
            <w:fldChar w:fldCharType="separate"/>
          </w:r>
          <w:r>
            <w:rPr>
              <w:noProof/>
            </w:rPr>
            <w:t>[5]</w:t>
          </w:r>
          <w:r>
            <w:fldChar w:fldCharType="end"/>
          </w:r>
        </w:sdtContent>
      </w:sdt>
      <w:r>
        <w:t xml:space="preserve"> did a study of journal collaboration in mathematics and neuroscience, and showed differences in the rate of collaboration and the shift over time of clustering and author separation as well as the increased fracturing in links from incoming authors compared to those already in the network. </w:t>
      </w:r>
    </w:p>
    <w:p w:rsidR="003B336C" w:rsidRPr="00DB4C3C" w:rsidRDefault="003B336C" w:rsidP="003B336C">
      <w:pPr>
        <w:ind w:firstLine="202"/>
        <w:jc w:val="both"/>
      </w:pPr>
      <w:r>
        <w:t>Our research differs from those mentioned in the previous paragraph primarily in the focus of our analysis. Previous research has focused primarily on analyzing the properties of the networks (</w:t>
      </w:r>
      <w:r>
        <w:rPr>
          <w:i/>
        </w:rPr>
        <w:t>e.g.</w:t>
      </w:r>
      <w:r>
        <w:t xml:space="preserve"> centrality, separation, degree, community size, </w:t>
      </w:r>
      <w:r w:rsidRPr="00D71188">
        <w:rPr>
          <w:i/>
        </w:rPr>
        <w:t>etc.</w:t>
      </w:r>
      <w:r>
        <w:t xml:space="preserve">), determining how they changed over time, and drawing results and conclusions from those properties. We have, however, used various network properties the computation of the values of fairness and stability of an academic social network. We have also attempted to contextualize and interpret the fairness and stability values rather than just tabulating the results and showing their variance. </w:t>
      </w:r>
    </w:p>
    <w:p w:rsidR="003B336C" w:rsidRPr="00DB4C3C" w:rsidRDefault="003B336C" w:rsidP="003B336C">
      <w:pPr>
        <w:pStyle w:val="Heading1"/>
      </w:pPr>
      <w:bookmarkStart w:id="3" w:name="_Ref428126186"/>
      <w:r>
        <w:t>terminology and objectives</w:t>
      </w:r>
      <w:bookmarkEnd w:id="3"/>
    </w:p>
    <w:p w:rsidR="003B336C" w:rsidRDefault="003B336C" w:rsidP="003B336C">
      <w:pPr>
        <w:pStyle w:val="Text"/>
      </w:pPr>
      <w:r>
        <w:t xml:space="preserve">In our work, a CCN is represented as a regular network graph comprising </w:t>
      </w:r>
      <w:r w:rsidRPr="00A43156">
        <w:rPr>
          <w:i/>
        </w:rPr>
        <w:t>nodes</w:t>
      </w:r>
      <w:r>
        <w:t xml:space="preserve"> and </w:t>
      </w:r>
      <w:r w:rsidRPr="00A43156">
        <w:rPr>
          <w:i/>
        </w:rPr>
        <w:t>edges</w:t>
      </w:r>
      <w:r>
        <w:t xml:space="preserve">. Each </w:t>
      </w:r>
      <w:r w:rsidRPr="00A43156">
        <w:t>node</w:t>
      </w:r>
      <w:r>
        <w:t xml:space="preserve"> represents a participant in the conference, either as an author, or a Technical Program Committee (TPC) member, or both. Each </w:t>
      </w:r>
      <w:r w:rsidRPr="00A43156">
        <w:t>edge</w:t>
      </w:r>
      <w:r>
        <w:t xml:space="preserve"> connects two nodes, either as co-authors or as participants from the same institution.  The </w:t>
      </w:r>
      <w:r w:rsidRPr="00E57AB8">
        <w:rPr>
          <w:i/>
        </w:rPr>
        <w:t>degree</w:t>
      </w:r>
      <w:r>
        <w:t xml:space="preserve"> of a node is the number of connection edges it has. A </w:t>
      </w:r>
      <w:r w:rsidRPr="00A43156">
        <w:rPr>
          <w:i/>
        </w:rPr>
        <w:t>community</w:t>
      </w:r>
      <w:r>
        <w:t xml:space="preserve"> in the graph is defined as a </w:t>
      </w:r>
      <w:r w:rsidRPr="00A43156">
        <w:rPr>
          <w:i/>
        </w:rPr>
        <w:t>group of nodes</w:t>
      </w:r>
      <w:r>
        <w:t xml:space="preserve"> with dense connections </w:t>
      </w:r>
      <w:r>
        <w:lastRenderedPageBreak/>
        <w:t xml:space="preserve">between them. A CCN has an inherent, three-level </w:t>
      </w:r>
      <w:r w:rsidRPr="00C64D3F">
        <w:rPr>
          <w:i/>
        </w:rPr>
        <w:t>hierarchy</w:t>
      </w:r>
      <w:r>
        <w:t xml:space="preserve">: authors, TPC members, and those who are both authors and TPC members.  </w:t>
      </w:r>
    </w:p>
    <w:p w:rsidR="003B336C" w:rsidRDefault="003B336C" w:rsidP="003B336C">
      <w:pPr>
        <w:pStyle w:val="Text"/>
      </w:pPr>
      <w:r>
        <w:t>When we</w:t>
      </w:r>
      <w:r w:rsidRPr="00DB4C3C">
        <w:t xml:space="preserve"> started </w:t>
      </w:r>
      <w:r>
        <w:t>our analysis of conferences, we first investigated</w:t>
      </w:r>
      <w:r w:rsidRPr="00DB4C3C">
        <w:t xml:space="preserve"> if any meaningful information about </w:t>
      </w:r>
      <w:r w:rsidRPr="00EE7030">
        <w:rPr>
          <w:i/>
        </w:rPr>
        <w:t>co-authorship communities</w:t>
      </w:r>
      <w:r w:rsidRPr="00DB4C3C">
        <w:t xml:space="preserve"> could be obtained via network analysis of co-authorship </w:t>
      </w:r>
      <w:r>
        <w:t>edges</w:t>
      </w:r>
      <w:r w:rsidRPr="00DB4C3C">
        <w:t xml:space="preserve"> </w:t>
      </w:r>
      <w:r>
        <w:t xml:space="preserve">in the graphical representation of the </w:t>
      </w:r>
      <w:r w:rsidRPr="00DB4C3C">
        <w:t xml:space="preserve">conference data. </w:t>
      </w:r>
      <w:r>
        <w:t xml:space="preserve">We felt that the results were </w:t>
      </w:r>
      <w:r w:rsidRPr="00DB4C3C">
        <w:t xml:space="preserve">inconclusive because while raw collaboration data showed the structure of the conference and communities, </w:t>
      </w:r>
      <w:r>
        <w:t>it did not explain</w:t>
      </w:r>
      <w:r w:rsidRPr="00DB4C3C">
        <w:t xml:space="preserve"> why the structure was the way it was.  </w:t>
      </w:r>
      <w:r>
        <w:t xml:space="preserve">A similar problem exists in trying to measure the </w:t>
      </w:r>
      <w:r w:rsidRPr="00EE7030">
        <w:rPr>
          <w:i/>
        </w:rPr>
        <w:t>succes</w:t>
      </w:r>
      <w:r>
        <w:rPr>
          <w:i/>
        </w:rPr>
        <w:t>s</w:t>
      </w:r>
      <w:r w:rsidRPr="00DB4C3C">
        <w:t xml:space="preserve"> of a participant in a conference using general and specific properties of the </w:t>
      </w:r>
      <w:r>
        <w:t xml:space="preserve">collaboration network </w:t>
      </w:r>
      <w:r w:rsidRPr="00DB4C3C">
        <w:t xml:space="preserve">and the </w:t>
      </w:r>
      <w:r>
        <w:t>network nodes</w:t>
      </w:r>
      <w:r w:rsidRPr="00DB4C3C">
        <w:t xml:space="preserve">. The main issue </w:t>
      </w:r>
      <w:r>
        <w:t>is</w:t>
      </w:r>
      <w:r w:rsidRPr="00DB4C3C">
        <w:t xml:space="preserve"> that defining </w:t>
      </w:r>
      <w:r>
        <w:t>success</w:t>
      </w:r>
      <w:r w:rsidRPr="00DB4C3C">
        <w:t xml:space="preserve"> solely in term</w:t>
      </w:r>
      <w:r>
        <w:t>s of collaborative values prove</w:t>
      </w:r>
      <w:r w:rsidRPr="00DB4C3C">
        <w:t xml:space="preserve"> to be difficult and not entirely accurate. Defining success in terms of co-authorship </w:t>
      </w:r>
      <w:r>
        <w:t xml:space="preserve">is not a functional procedure; </w:t>
      </w:r>
      <w:r w:rsidRPr="00DB4C3C">
        <w:t xml:space="preserve">depending on the goals of the author and the personal ideals of success, the definition can vary. Since it </w:t>
      </w:r>
      <w:r>
        <w:t>is</w:t>
      </w:r>
      <w:r w:rsidRPr="00DB4C3C">
        <w:t xml:space="preserve"> not be possible to determine the author’s end goal from the data, </w:t>
      </w:r>
      <w:r>
        <w:t>we decide to not focus on determining the</w:t>
      </w:r>
      <w:r w:rsidRPr="00DB4C3C">
        <w:t xml:space="preserve"> </w:t>
      </w:r>
      <w:r>
        <w:t>success</w:t>
      </w:r>
      <w:r w:rsidRPr="00DB4C3C">
        <w:t xml:space="preserve"> of authors.</w:t>
      </w:r>
    </w:p>
    <w:p w:rsidR="003B336C" w:rsidRPr="00DB4C3C" w:rsidRDefault="003B336C" w:rsidP="003B336C">
      <w:pPr>
        <w:pStyle w:val="Text"/>
      </w:pPr>
      <w:r w:rsidRPr="00DB4C3C">
        <w:t>While concepts such as</w:t>
      </w:r>
      <w:r>
        <w:t xml:space="preserve"> co-authorship communities and success</w:t>
      </w:r>
      <w:r w:rsidRPr="00DB4C3C">
        <w:t xml:space="preserve"> </w:t>
      </w:r>
      <w:r>
        <w:t>are</w:t>
      </w:r>
      <w:r w:rsidRPr="00DB4C3C">
        <w:t xml:space="preserve"> not possible to </w:t>
      </w:r>
      <w:r>
        <w:t xml:space="preserve">be </w:t>
      </w:r>
      <w:r w:rsidRPr="00DB4C3C">
        <w:t>determine</w:t>
      </w:r>
      <w:r>
        <w:t>d</w:t>
      </w:r>
      <w:r w:rsidRPr="00DB4C3C">
        <w:t xml:space="preserve"> based solely on collaboration data, </w:t>
      </w:r>
      <w:r w:rsidRPr="00B72B06">
        <w:rPr>
          <w:i/>
        </w:rPr>
        <w:t>fairness</w:t>
      </w:r>
      <w:r w:rsidRPr="00DB4C3C">
        <w:t xml:space="preserve"> is something that </w:t>
      </w:r>
      <w:r>
        <w:t>is</w:t>
      </w:r>
      <w:r w:rsidRPr="00DB4C3C">
        <w:t xml:space="preserve"> verifiable using only the network properties of the CCN. </w:t>
      </w:r>
      <w:r>
        <w:t>The</w:t>
      </w:r>
      <w:r w:rsidRPr="00DB4C3C">
        <w:t xml:space="preserve"> </w:t>
      </w:r>
      <w:r>
        <w:t>method</w:t>
      </w:r>
      <w:r w:rsidRPr="00DB4C3C">
        <w:t xml:space="preserve"> </w:t>
      </w:r>
      <w:r>
        <w:t>we use to determine</w:t>
      </w:r>
      <w:r w:rsidRPr="00DB4C3C">
        <w:t xml:space="preserve"> fairness </w:t>
      </w:r>
      <w:r>
        <w:t xml:space="preserve">depends on </w:t>
      </w:r>
      <w:r w:rsidRPr="00DB4C3C">
        <w:t xml:space="preserve">analyzing </w:t>
      </w:r>
      <w:r w:rsidRPr="00DB4C3C">
        <w:rPr>
          <w:color w:val="000000" w:themeColor="text1"/>
        </w:rPr>
        <w:t xml:space="preserve">inter-level </w:t>
      </w:r>
      <w:r>
        <w:rPr>
          <w:color w:val="000000" w:themeColor="text1"/>
        </w:rPr>
        <w:t>connections</w:t>
      </w:r>
      <w:r w:rsidRPr="00DB4C3C">
        <w:rPr>
          <w:color w:val="000000" w:themeColor="text1"/>
        </w:rPr>
        <w:t xml:space="preserve"> of multi-level collaboration. Initially, we resorted to manual analysis of both </w:t>
      </w:r>
      <w:r w:rsidRPr="00DB4C3C">
        <w:t xml:space="preserve">numerical and visual properties of the CCN in parallel. Ultimately, the visual properties proved to be more useful for manual analysis, and based on conclusions drawn, we set out to find various numerical properties of the CCN that can be combined to obtain </w:t>
      </w:r>
      <w:r>
        <w:t xml:space="preserve">a </w:t>
      </w:r>
      <w:r w:rsidRPr="00DB4C3C">
        <w:t xml:space="preserve">fairness quotient. Of course, the fairness quotient has to be size-agnostic, so that it is consistent across all conferences, </w:t>
      </w:r>
      <w:r>
        <w:t>large or small, and</w:t>
      </w:r>
      <w:r w:rsidRPr="00DB4C3C">
        <w:t xml:space="preserve"> once such a quotient is obtained, conferences can be automatically rated for fairness without the need for manual analysis</w:t>
      </w:r>
      <w:r>
        <w:t xml:space="preserve"> any more</w:t>
      </w:r>
      <w:r w:rsidRPr="00DB4C3C">
        <w:t xml:space="preserve">. </w:t>
      </w:r>
    </w:p>
    <w:p w:rsidR="003B336C" w:rsidRPr="00DB4C3C" w:rsidRDefault="003B336C" w:rsidP="003B336C">
      <w:pPr>
        <w:pStyle w:val="Heading1"/>
      </w:pPr>
      <w:r w:rsidRPr="00DB4C3C">
        <w:t xml:space="preserve"> </w:t>
      </w:r>
      <w:bookmarkStart w:id="4" w:name="_Ref428024841"/>
      <w:r>
        <w:t>network representation</w:t>
      </w:r>
      <w:bookmarkEnd w:id="4"/>
    </w:p>
    <w:p w:rsidR="003B336C" w:rsidRPr="00DB4C3C" w:rsidRDefault="003B336C" w:rsidP="003B336C">
      <w:pPr>
        <w:pStyle w:val="Heading2"/>
      </w:pPr>
      <w:r w:rsidRPr="00DB4C3C">
        <w:t xml:space="preserve"> Data Procurement </w:t>
      </w:r>
    </w:p>
    <w:p w:rsidR="003B336C" w:rsidRPr="00DB4C3C" w:rsidRDefault="003B336C" w:rsidP="003B336C">
      <w:pPr>
        <w:pStyle w:val="Text"/>
        <w:ind w:firstLine="204"/>
      </w:pPr>
      <w:r w:rsidRPr="00DB4C3C">
        <w:t xml:space="preserve">The obvious first step </w:t>
      </w:r>
      <w:r>
        <w:t>in</w:t>
      </w:r>
      <w:r w:rsidRPr="00DB4C3C">
        <w:t xml:space="preserve"> </w:t>
      </w:r>
      <w:r>
        <w:t xml:space="preserve">procuring CCN </w:t>
      </w:r>
      <w:r w:rsidRPr="00DB4C3C">
        <w:t>data</w:t>
      </w:r>
      <w:r>
        <w:t xml:space="preserve"> is deciding upon the conference</w:t>
      </w:r>
      <w:r w:rsidRPr="00DB4C3C">
        <w:t xml:space="preserve">. Several different conferences (DAC, ICCAD, NOCS, CODES, EMSOFT) were selected for analysis and relevant conference </w:t>
      </w:r>
      <w:r>
        <w:t xml:space="preserve">citation </w:t>
      </w:r>
      <w:r w:rsidRPr="00DB4C3C">
        <w:t xml:space="preserve">data </w:t>
      </w:r>
      <w:r>
        <w:t xml:space="preserve">--- paper titles, authors, and affiliations --- </w:t>
      </w:r>
      <w:r w:rsidRPr="00DB4C3C">
        <w:t xml:space="preserve">was gathered for a time period of five years (2010 to 2014). The original plan for collecting the data was to use the IEEE Xplore </w:t>
      </w:r>
      <w:sdt>
        <w:sdtPr>
          <w:id w:val="-767535158"/>
          <w:citation/>
        </w:sdtPr>
        <w:sdtEndPr/>
        <w:sdtContent>
          <w:r w:rsidRPr="00DB4C3C">
            <w:fldChar w:fldCharType="begin"/>
          </w:r>
          <w:r w:rsidRPr="00DB4C3C">
            <w:instrText xml:space="preserve"> CITATION IEE \l 1033 </w:instrText>
          </w:r>
          <w:r w:rsidRPr="00DB4C3C">
            <w:fldChar w:fldCharType="separate"/>
          </w:r>
          <w:r>
            <w:rPr>
              <w:noProof/>
            </w:rPr>
            <w:t>[6]</w:t>
          </w:r>
          <w:r w:rsidRPr="00DB4C3C">
            <w:fldChar w:fldCharType="end"/>
          </w:r>
        </w:sdtContent>
      </w:sdt>
      <w:r w:rsidRPr="00DB4C3C">
        <w:t xml:space="preserve"> API to automatically download all of the citations for each conference for the chosen time frame. However, due to API limitations, the data had to be gathered manually </w:t>
      </w:r>
      <w:r w:rsidRPr="00470EDE">
        <w:t xml:space="preserve">by using the command search feature that yielded data separately for each year of each conference; the data was exported using the </w:t>
      </w:r>
      <w:r>
        <w:t>“</w:t>
      </w:r>
      <w:r w:rsidRPr="00470EDE">
        <w:t>CSV export</w:t>
      </w:r>
      <w:r>
        <w:t>”</w:t>
      </w:r>
      <w:r w:rsidRPr="00470EDE">
        <w:t xml:space="preserve"> feature. Next, the information regarding the TPC members was obtained from the website of each individual</w:t>
      </w:r>
      <w:r>
        <w:t xml:space="preserve"> conference, </w:t>
      </w:r>
      <w:r w:rsidRPr="00DB4C3C">
        <w:t>and manually inserted into the CSV files.</w:t>
      </w:r>
      <w:r>
        <w:t xml:space="preserve"> We decided to do a </w:t>
      </w:r>
      <w:r>
        <w:lastRenderedPageBreak/>
        <w:t>thorough analysis for the NOCS</w:t>
      </w:r>
      <w:r>
        <w:rPr>
          <w:rStyle w:val="FootnoteReference"/>
        </w:rPr>
        <w:footnoteReference w:id="2"/>
      </w:r>
      <w:r>
        <w:t xml:space="preserve"> and ICCAD</w:t>
      </w:r>
      <w:r>
        <w:rPr>
          <w:rStyle w:val="FootnoteReference"/>
        </w:rPr>
        <w:footnoteReference w:id="3"/>
      </w:r>
      <w:r>
        <w:t xml:space="preserve"> conferences first before turning to the others. </w:t>
      </w:r>
    </w:p>
    <w:p w:rsidR="003B336C" w:rsidRPr="00DB4C3C" w:rsidRDefault="003B336C" w:rsidP="003B336C">
      <w:pPr>
        <w:pStyle w:val="Heading2"/>
      </w:pPr>
      <w:r>
        <w:t xml:space="preserve"> </w:t>
      </w:r>
      <w:r w:rsidRPr="00DB4C3C">
        <w:t xml:space="preserve">Data Processing </w:t>
      </w:r>
    </w:p>
    <w:p w:rsidR="003B336C" w:rsidRPr="00DB4C3C" w:rsidRDefault="003B336C" w:rsidP="003B336C">
      <w:pPr>
        <w:pStyle w:val="Text"/>
        <w:ind w:firstLine="204"/>
      </w:pPr>
      <w:r>
        <w:t>The conference</w:t>
      </w:r>
      <w:r w:rsidRPr="00DB4C3C">
        <w:t xml:space="preserve"> data </w:t>
      </w:r>
      <w:r>
        <w:t xml:space="preserve">in CSV format </w:t>
      </w:r>
      <w:r w:rsidRPr="00DB4C3C">
        <w:t xml:space="preserve">was </w:t>
      </w:r>
      <w:r>
        <w:t>processed using</w:t>
      </w:r>
      <w:r w:rsidRPr="00DB4C3C">
        <w:t xml:space="preserve"> a Python program we developed </w:t>
      </w:r>
      <w:r>
        <w:t>to</w:t>
      </w:r>
      <w:r w:rsidRPr="00DB4C3C">
        <w:t xml:space="preserve"> </w:t>
      </w:r>
      <w:r>
        <w:t xml:space="preserve">generate the network graph --- </w:t>
      </w:r>
      <w:r w:rsidRPr="00DB4C3C">
        <w:t>a node</w:t>
      </w:r>
      <w:r>
        <w:t xml:space="preserve"> was created for each participant</w:t>
      </w:r>
      <w:r w:rsidRPr="00DB4C3C">
        <w:t xml:space="preserve">, and </w:t>
      </w:r>
      <w:r>
        <w:t xml:space="preserve">the node was </w:t>
      </w:r>
      <w:r w:rsidRPr="00DB4C3C">
        <w:t xml:space="preserve">tagged </w:t>
      </w:r>
      <w:r>
        <w:t>with the</w:t>
      </w:r>
      <w:r w:rsidRPr="00DB4C3C">
        <w:t xml:space="preserve"> role (TPC or author</w:t>
      </w:r>
      <w:r>
        <w:t xml:space="preserve"> or both</w:t>
      </w:r>
      <w:r w:rsidRPr="00DB4C3C">
        <w:t xml:space="preserve">), </w:t>
      </w:r>
      <w:r>
        <w:t>the</w:t>
      </w:r>
      <w:r w:rsidRPr="00DB4C3C">
        <w:t xml:space="preserve"> institution</w:t>
      </w:r>
      <w:r>
        <w:t xml:space="preserve"> of affiliation</w:t>
      </w:r>
      <w:r w:rsidRPr="00DB4C3C">
        <w:t xml:space="preserve"> (university or company) and the name</w:t>
      </w:r>
      <w:r>
        <w:t xml:space="preserve"> of the participant</w:t>
      </w:r>
      <w:r w:rsidRPr="00DB4C3C">
        <w:t>. The program also created edges between the nodes when they represent</w:t>
      </w:r>
      <w:r>
        <w:t>ed</w:t>
      </w:r>
      <w:r w:rsidRPr="00DB4C3C">
        <w:t xml:space="preserve"> authors who </w:t>
      </w:r>
      <w:r>
        <w:t>were</w:t>
      </w:r>
      <w:r w:rsidRPr="00DB4C3C">
        <w:t xml:space="preserve"> connected via co-authorship, institution, or even social groups (the last being when people from different institutions co-author</w:t>
      </w:r>
      <w:r>
        <w:t>ed</w:t>
      </w:r>
      <w:r w:rsidRPr="00DB4C3C">
        <w:t xml:space="preserve">). </w:t>
      </w:r>
    </w:p>
    <w:p w:rsidR="003B336C" w:rsidRPr="00DB4C3C" w:rsidRDefault="003B336C" w:rsidP="003B336C">
      <w:pPr>
        <w:pStyle w:val="Heading2"/>
      </w:pPr>
      <w:r>
        <w:t xml:space="preserve"> </w:t>
      </w:r>
      <w:r w:rsidRPr="00DB4C3C">
        <w:t>Data Visualization</w:t>
      </w:r>
    </w:p>
    <w:p w:rsidR="00050578" w:rsidRPr="00050578" w:rsidRDefault="003B336C" w:rsidP="00050578">
      <w:pPr>
        <w:pStyle w:val="Text"/>
        <w:ind w:firstLine="204"/>
      </w:pPr>
      <w:r w:rsidRPr="00DB4C3C">
        <w:t xml:space="preserve">During our analysis, different visualization methods were utilized to picture and understand the network </w:t>
      </w:r>
      <w:r>
        <w:t xml:space="preserve">properties </w:t>
      </w:r>
      <w:r w:rsidRPr="00DB4C3C">
        <w:t xml:space="preserve">better. The network </w:t>
      </w:r>
      <w:r>
        <w:t xml:space="preserve">graph </w:t>
      </w:r>
      <w:r w:rsidRPr="00DB4C3C">
        <w:t xml:space="preserve">itself was analyzed and visualized in Gephi </w:t>
      </w:r>
      <w:sdt>
        <w:sdtPr>
          <w:id w:val="-1413004132"/>
          <w:citation/>
        </w:sdtPr>
        <w:sdtEndPr/>
        <w:sdtContent>
          <w:r w:rsidRPr="00DB4C3C">
            <w:fldChar w:fldCharType="begin"/>
          </w:r>
          <w:r w:rsidRPr="00DB4C3C">
            <w:instrText xml:space="preserve">CITATION The \l 1033 </w:instrText>
          </w:r>
          <w:r w:rsidRPr="00DB4C3C">
            <w:fldChar w:fldCharType="separate"/>
          </w:r>
          <w:r>
            <w:rPr>
              <w:noProof/>
            </w:rPr>
            <w:t>[7]</w:t>
          </w:r>
          <w:r w:rsidRPr="00DB4C3C">
            <w:fldChar w:fldCharType="end"/>
          </w:r>
        </w:sdtContent>
      </w:sdt>
      <w:r w:rsidRPr="00DB4C3C">
        <w:t xml:space="preserve">, an open-source graph visualization platform. A script was written to automatically color the nodes and the edges in the network graph according to their tags as shown in </w:t>
      </w:r>
      <w:r w:rsidRPr="00DB4C3C">
        <w:fldChar w:fldCharType="begin"/>
      </w:r>
      <w:r w:rsidRPr="00DB4C3C">
        <w:instrText xml:space="preserve"> REF _Ref427706167 \h  \* MERGEFORMAT </w:instrText>
      </w:r>
      <w:r w:rsidRPr="00DB4C3C">
        <w:fldChar w:fldCharType="separate"/>
      </w:r>
    </w:p>
    <w:p w:rsidR="003B336C" w:rsidRPr="00DB4C3C" w:rsidRDefault="00050578" w:rsidP="003B336C">
      <w:pPr>
        <w:pStyle w:val="Text"/>
        <w:ind w:firstLine="204"/>
      </w:pPr>
      <w:r w:rsidRPr="00DB4C3C">
        <w:t>Figure</w:t>
      </w:r>
      <w:r w:rsidRPr="00DB4C3C">
        <w:rPr>
          <w:noProof/>
        </w:rPr>
        <w:t xml:space="preserve"> </w:t>
      </w:r>
      <w:r>
        <w:rPr>
          <w:i/>
          <w:noProof/>
        </w:rPr>
        <w:t>1</w:t>
      </w:r>
      <w:r w:rsidR="003B336C" w:rsidRPr="00DB4C3C">
        <w:fldChar w:fldCharType="end"/>
      </w:r>
      <w:r w:rsidR="003B336C" w:rsidRPr="00DB4C3C">
        <w:t>.  These colors helped understand the network more easily. However, simply coloring the network was not enough to clarify its meaning, as the issue of its layout still remained.</w:t>
      </w:r>
    </w:p>
    <w:p w:rsidR="003B336C" w:rsidRPr="00DB4C3C" w:rsidRDefault="003B336C" w:rsidP="003B336C">
      <w:pPr>
        <w:pStyle w:val="Text"/>
        <w:ind w:firstLine="204"/>
      </w:pPr>
    </w:p>
    <w:p w:rsidR="003B336C" w:rsidRPr="00DB4C3C" w:rsidRDefault="00C575F8" w:rsidP="003B336C">
      <w:pPr>
        <w:pStyle w:val="Text"/>
        <w:ind w:firstLine="204"/>
      </w:pPr>
      <w:r>
        <w:rPr>
          <w:noProof/>
        </w:rPr>
        <w:drawing>
          <wp:inline distT="0" distB="0" distL="0" distR="0" wp14:anchorId="520C7EB4" wp14:editId="57EFFEE9">
            <wp:extent cx="280035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350" cy="3419475"/>
                    </a:xfrm>
                    <a:prstGeom prst="rect">
                      <a:avLst/>
                    </a:prstGeom>
                  </pic:spPr>
                </pic:pic>
              </a:graphicData>
            </a:graphic>
          </wp:inline>
        </w:drawing>
      </w:r>
    </w:p>
    <w:p w:rsidR="003B336C" w:rsidRPr="001444D3" w:rsidRDefault="003B336C" w:rsidP="003B336C">
      <w:pPr>
        <w:pStyle w:val="Caption"/>
        <w:jc w:val="center"/>
        <w:rPr>
          <w:i w:val="0"/>
          <w:color w:val="auto"/>
          <w:sz w:val="2"/>
        </w:rPr>
      </w:pPr>
      <w:bookmarkStart w:id="5" w:name="_Ref427706167"/>
    </w:p>
    <w:p w:rsidR="003B336C" w:rsidRDefault="003B336C" w:rsidP="003B336C">
      <w:pPr>
        <w:pStyle w:val="Caption"/>
        <w:jc w:val="center"/>
        <w:rPr>
          <w:i w:val="0"/>
          <w:color w:val="auto"/>
          <w:sz w:val="20"/>
        </w:rPr>
      </w:pPr>
      <w:r w:rsidRPr="00DB4C3C">
        <w:rPr>
          <w:i w:val="0"/>
          <w:color w:val="auto"/>
          <w:sz w:val="20"/>
        </w:rPr>
        <w:t xml:space="preserve">Figure </w:t>
      </w:r>
      <w:r w:rsidRPr="00DB4C3C">
        <w:rPr>
          <w:i w:val="0"/>
          <w:color w:val="auto"/>
          <w:sz w:val="20"/>
        </w:rPr>
        <w:fldChar w:fldCharType="begin"/>
      </w:r>
      <w:r w:rsidRPr="00DB4C3C">
        <w:rPr>
          <w:i w:val="0"/>
          <w:color w:val="auto"/>
          <w:sz w:val="20"/>
        </w:rPr>
        <w:instrText xml:space="preserve"> SEQ Figure \* ARABIC </w:instrText>
      </w:r>
      <w:r w:rsidRPr="00DB4C3C">
        <w:rPr>
          <w:i w:val="0"/>
          <w:color w:val="auto"/>
          <w:sz w:val="20"/>
        </w:rPr>
        <w:fldChar w:fldCharType="separate"/>
      </w:r>
      <w:r w:rsidR="00050578">
        <w:rPr>
          <w:i w:val="0"/>
          <w:noProof/>
          <w:color w:val="auto"/>
          <w:sz w:val="20"/>
        </w:rPr>
        <w:t>1</w:t>
      </w:r>
      <w:r w:rsidRPr="00DB4C3C">
        <w:rPr>
          <w:i w:val="0"/>
          <w:color w:val="auto"/>
          <w:sz w:val="20"/>
        </w:rPr>
        <w:fldChar w:fldCharType="end"/>
      </w:r>
      <w:bookmarkEnd w:id="5"/>
      <w:r w:rsidRPr="00DB4C3C">
        <w:rPr>
          <w:i w:val="0"/>
          <w:color w:val="auto"/>
          <w:sz w:val="20"/>
        </w:rPr>
        <w:t>.  Color keys for graphs</w:t>
      </w:r>
    </w:p>
    <w:p w:rsidR="003B336C" w:rsidRPr="00DB4C3C" w:rsidRDefault="003B336C" w:rsidP="003B336C">
      <w:pPr>
        <w:pStyle w:val="Heading2"/>
      </w:pPr>
      <w:r>
        <w:t xml:space="preserve"> </w:t>
      </w:r>
      <w:r w:rsidRPr="00DB4C3C">
        <w:t>Data Layout</w:t>
      </w:r>
    </w:p>
    <w:p w:rsidR="003B336C" w:rsidRPr="00DB4C3C" w:rsidRDefault="003B336C" w:rsidP="003B336C">
      <w:pPr>
        <w:pStyle w:val="Text"/>
        <w:ind w:firstLine="204"/>
      </w:pPr>
      <w:r w:rsidRPr="00DB4C3C">
        <w:t xml:space="preserve">At first, the default layout algorithms present in Gephi were used for force-directed layout of the network graph. However, this did not lead to good results because the layout did not show a clear visualization of the connections and the </w:t>
      </w:r>
      <w:r w:rsidRPr="00DB4C3C">
        <w:lastRenderedPageBreak/>
        <w:t xml:space="preserve">relationships in the graph. The nodes in the graph were far too compressed to allow any information to be gleaned from </w:t>
      </w:r>
      <w:r>
        <w:t xml:space="preserve">a </w:t>
      </w:r>
      <w:r w:rsidRPr="00DB4C3C">
        <w:t>visual inspection. The default algorithms used for layout in Gephi are the ForceAtlas</w:t>
      </w:r>
      <w:r w:rsidRPr="00DB4C3C">
        <w:rPr>
          <w:color w:val="FF0000"/>
        </w:rPr>
        <w:t xml:space="preserve"> </w:t>
      </w:r>
      <w:sdt>
        <w:sdtPr>
          <w:id w:val="426163185"/>
          <w:citation/>
        </w:sdtPr>
        <w:sdtEndPr/>
        <w:sdtContent>
          <w:r w:rsidRPr="00DB4C3C">
            <w:fldChar w:fldCharType="begin"/>
          </w:r>
          <w:r w:rsidRPr="00DB4C3C">
            <w:instrText xml:space="preserve"> CITATION Jac14 \l 1033 </w:instrText>
          </w:r>
          <w:r w:rsidRPr="00DB4C3C">
            <w:fldChar w:fldCharType="separate"/>
          </w:r>
          <w:r>
            <w:rPr>
              <w:noProof/>
            </w:rPr>
            <w:t>[8]</w:t>
          </w:r>
          <w:r w:rsidRPr="00DB4C3C">
            <w:fldChar w:fldCharType="end"/>
          </w:r>
        </w:sdtContent>
      </w:sdt>
      <w:r w:rsidRPr="00DB4C3C">
        <w:t xml:space="preserve"> and Yifan Hu </w:t>
      </w:r>
      <w:sdt>
        <w:sdtPr>
          <w:id w:val="16968228"/>
          <w:citation/>
        </w:sdtPr>
        <w:sdtEndPr/>
        <w:sdtContent>
          <w:r w:rsidRPr="00DB4C3C">
            <w:fldChar w:fldCharType="begin"/>
          </w:r>
          <w:r w:rsidRPr="00DB4C3C">
            <w:instrText xml:space="preserve"> CITATION HuY06 \l 1033 </w:instrText>
          </w:r>
          <w:r w:rsidRPr="00DB4C3C">
            <w:fldChar w:fldCharType="separate"/>
          </w:r>
          <w:r>
            <w:rPr>
              <w:noProof/>
            </w:rPr>
            <w:t>[9]</w:t>
          </w:r>
          <w:r w:rsidRPr="00DB4C3C">
            <w:fldChar w:fldCharType="end"/>
          </w:r>
        </w:sdtContent>
      </w:sdt>
      <w:r w:rsidRPr="00DB4C3C">
        <w:rPr>
          <w:color w:val="FF0000"/>
        </w:rPr>
        <w:t xml:space="preserve"> </w:t>
      </w:r>
      <w:r w:rsidRPr="00DB4C3C">
        <w:t xml:space="preserve">algorithms. Although neither </w:t>
      </w:r>
      <w:r>
        <w:t>satisfied our visualization</w:t>
      </w:r>
      <w:r w:rsidRPr="00DB4C3C">
        <w:t xml:space="preserve"> requirements, the former turned out to be better than the latter. </w:t>
      </w:r>
      <w:r w:rsidRPr="00DB4C3C">
        <w:fldChar w:fldCharType="begin"/>
      </w:r>
      <w:r w:rsidRPr="00DB4C3C">
        <w:instrText xml:space="preserve"> REF _Ref427705361 \h  \* MERGEFORMAT </w:instrText>
      </w:r>
      <w:r w:rsidRPr="00DB4C3C">
        <w:fldChar w:fldCharType="separate"/>
      </w:r>
      <w:r w:rsidR="00050578" w:rsidRPr="00DB4C3C">
        <w:t xml:space="preserve">Figure </w:t>
      </w:r>
      <w:r w:rsidR="00050578" w:rsidRPr="00050578">
        <w:rPr>
          <w:noProof/>
        </w:rPr>
        <w:t>2</w:t>
      </w:r>
      <w:r w:rsidRPr="00DB4C3C">
        <w:fldChar w:fldCharType="end"/>
      </w:r>
      <w:r w:rsidRPr="00DB4C3C">
        <w:t xml:space="preserve"> is a sample network layout using the ForceAtlas algorithm on the NOCS 2010 </w:t>
      </w:r>
      <w:r>
        <w:t xml:space="preserve">conference </w:t>
      </w:r>
      <w:r w:rsidRPr="00DB4C3C">
        <w:t>network.</w:t>
      </w:r>
    </w:p>
    <w:p w:rsidR="003B336C" w:rsidRPr="00167446" w:rsidRDefault="003B336C" w:rsidP="003B336C"/>
    <w:p w:rsidR="003B336C" w:rsidRPr="00DB4C3C" w:rsidRDefault="003B336C" w:rsidP="003B336C">
      <w:pPr>
        <w:pStyle w:val="Text"/>
        <w:ind w:firstLine="204"/>
      </w:pPr>
      <w:r w:rsidRPr="00DB4C3C">
        <w:rPr>
          <w:noProof/>
        </w:rPr>
        <w:drawing>
          <wp:inline distT="0" distB="0" distL="0" distR="0" wp14:anchorId="1595778E" wp14:editId="22184BCB">
            <wp:extent cx="3027871" cy="30278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fault.png"/>
                    <pic:cNvPicPr/>
                  </pic:nvPicPr>
                  <pic:blipFill>
                    <a:blip r:embed="rId9">
                      <a:extLst>
                        <a:ext uri="{28A0092B-C50C-407E-A947-70E740481C1C}">
                          <a14:useLocalDpi xmlns:a14="http://schemas.microsoft.com/office/drawing/2010/main" val="0"/>
                        </a:ext>
                      </a:extLst>
                    </a:blip>
                    <a:stretch>
                      <a:fillRect/>
                    </a:stretch>
                  </pic:blipFill>
                  <pic:spPr>
                    <a:xfrm>
                      <a:off x="0" y="0"/>
                      <a:ext cx="3039889" cy="3039889"/>
                    </a:xfrm>
                    <a:prstGeom prst="rect">
                      <a:avLst/>
                    </a:prstGeom>
                  </pic:spPr>
                </pic:pic>
              </a:graphicData>
            </a:graphic>
          </wp:inline>
        </w:drawing>
      </w:r>
    </w:p>
    <w:p w:rsidR="003B336C" w:rsidRPr="00DB4C3C" w:rsidRDefault="003B336C" w:rsidP="003B336C">
      <w:pPr>
        <w:pStyle w:val="Text"/>
        <w:ind w:firstLine="204"/>
      </w:pPr>
    </w:p>
    <w:p w:rsidR="003B336C" w:rsidRPr="00DB4C3C" w:rsidRDefault="003B336C" w:rsidP="003B336C">
      <w:pPr>
        <w:pStyle w:val="Caption"/>
        <w:jc w:val="center"/>
        <w:rPr>
          <w:i w:val="0"/>
          <w:color w:val="auto"/>
          <w:sz w:val="20"/>
        </w:rPr>
      </w:pPr>
      <w:bookmarkStart w:id="6" w:name="_Ref427705361"/>
      <w:r w:rsidRPr="00DB4C3C">
        <w:rPr>
          <w:i w:val="0"/>
          <w:color w:val="auto"/>
          <w:sz w:val="20"/>
        </w:rPr>
        <w:t xml:space="preserve">Figure </w:t>
      </w:r>
      <w:r w:rsidRPr="00DB4C3C">
        <w:rPr>
          <w:i w:val="0"/>
          <w:color w:val="auto"/>
          <w:sz w:val="20"/>
        </w:rPr>
        <w:fldChar w:fldCharType="begin"/>
      </w:r>
      <w:r w:rsidRPr="00DB4C3C">
        <w:rPr>
          <w:i w:val="0"/>
          <w:color w:val="auto"/>
          <w:sz w:val="20"/>
        </w:rPr>
        <w:instrText xml:space="preserve"> SEQ Figure \* ARABIC </w:instrText>
      </w:r>
      <w:r w:rsidRPr="00DB4C3C">
        <w:rPr>
          <w:i w:val="0"/>
          <w:color w:val="auto"/>
          <w:sz w:val="20"/>
        </w:rPr>
        <w:fldChar w:fldCharType="separate"/>
      </w:r>
      <w:r w:rsidR="00050578">
        <w:rPr>
          <w:i w:val="0"/>
          <w:noProof/>
          <w:color w:val="auto"/>
          <w:sz w:val="20"/>
        </w:rPr>
        <w:t>2</w:t>
      </w:r>
      <w:r w:rsidRPr="00DB4C3C">
        <w:rPr>
          <w:i w:val="0"/>
          <w:color w:val="auto"/>
          <w:sz w:val="20"/>
        </w:rPr>
        <w:fldChar w:fldCharType="end"/>
      </w:r>
      <w:bookmarkEnd w:id="6"/>
      <w:r w:rsidRPr="00DB4C3C">
        <w:rPr>
          <w:i w:val="0"/>
          <w:color w:val="auto"/>
          <w:sz w:val="20"/>
        </w:rPr>
        <w:t>. ForceAtlas algorithm driven layout</w:t>
      </w:r>
    </w:p>
    <w:p w:rsidR="003B336C" w:rsidRPr="00DB4C3C" w:rsidRDefault="003B336C" w:rsidP="003B336C">
      <w:pPr>
        <w:pStyle w:val="Heading2"/>
      </w:pPr>
      <w:r>
        <w:t xml:space="preserve"> </w:t>
      </w:r>
      <w:r w:rsidRPr="00DB4C3C">
        <w:t>Layout Improvement Algorithms</w:t>
      </w:r>
    </w:p>
    <w:p w:rsidR="003B336C" w:rsidRPr="00DB4C3C" w:rsidRDefault="003B336C" w:rsidP="003B336C">
      <w:pPr>
        <w:pStyle w:val="Text"/>
        <w:ind w:firstLine="204"/>
      </w:pPr>
      <w:r w:rsidRPr="00DB4C3C">
        <w:t xml:space="preserve">Since the previous algorithms were not very suitable, we searched for and found a potential alternative candidate on the internet – the OpenOrd </w:t>
      </w:r>
      <w:sdt>
        <w:sdtPr>
          <w:id w:val="-1096631590"/>
          <w:citation/>
        </w:sdtPr>
        <w:sdtEndPr/>
        <w:sdtContent>
          <w:r w:rsidRPr="00DB4C3C">
            <w:fldChar w:fldCharType="begin"/>
          </w:r>
          <w:r w:rsidRPr="00DB4C3C">
            <w:instrText xml:space="preserve">CITATION Sha11 \l 1033 </w:instrText>
          </w:r>
          <w:r w:rsidRPr="00DB4C3C">
            <w:fldChar w:fldCharType="separate"/>
          </w:r>
          <w:r>
            <w:rPr>
              <w:noProof/>
            </w:rPr>
            <w:t>[10]</w:t>
          </w:r>
          <w:r w:rsidRPr="00DB4C3C">
            <w:fldChar w:fldCharType="end"/>
          </w:r>
        </w:sdtContent>
      </w:sdt>
      <w:r w:rsidRPr="00DB4C3C">
        <w:rPr>
          <w:color w:val="FF0000"/>
        </w:rPr>
        <w:t xml:space="preserve"> </w:t>
      </w:r>
      <w:r w:rsidRPr="00DB4C3C">
        <w:t>algorithm, available as a plug-in for Gephi. OpenOrd uses a five-stage simulated annealing process and an edge-cutting technique to generate layouts that scale</w:t>
      </w:r>
      <w:r>
        <w:t xml:space="preserve"> well</w:t>
      </w:r>
      <w:r w:rsidRPr="00DB4C3C">
        <w:t xml:space="preserve"> to large and complex networks. Figure 3 is a sample </w:t>
      </w:r>
      <w:r>
        <w:t xml:space="preserve">network </w:t>
      </w:r>
      <w:r w:rsidRPr="00DB4C3C">
        <w:t xml:space="preserve">layout using the OpenOrd algorithm on the NOCS 2010 </w:t>
      </w:r>
      <w:r>
        <w:t xml:space="preserve">conference </w:t>
      </w:r>
      <w:r w:rsidRPr="00DB4C3C">
        <w:t>network. In terms of the layout, the OpenOrd algorithm provided almost everything we wanted; it provided a good visualization of the connections in the network and also made it clear how “central” and “important” various nodes were</w:t>
      </w:r>
      <w:r>
        <w:t>, which was required to understand the hierarchical relationships between nodes</w:t>
      </w:r>
      <w:r w:rsidRPr="00DB4C3C">
        <w:t xml:space="preserve">. However, OpenOrd was still not ideal for us due to the visual clutter it created owing to the absence of any shape or form in the </w:t>
      </w:r>
      <w:r>
        <w:t>layout</w:t>
      </w:r>
      <w:r w:rsidRPr="00DB4C3C">
        <w:t xml:space="preserve"> it </w:t>
      </w:r>
      <w:r>
        <w:t>portrayed</w:t>
      </w:r>
      <w:r w:rsidRPr="00DB4C3C">
        <w:t>.</w:t>
      </w:r>
    </w:p>
    <w:p w:rsidR="003B336C" w:rsidRPr="00DB4C3C" w:rsidRDefault="003B336C" w:rsidP="003B336C">
      <w:pPr>
        <w:pStyle w:val="Text"/>
        <w:ind w:firstLine="204"/>
      </w:pPr>
      <w:r>
        <w:t>Another</w:t>
      </w:r>
      <w:r w:rsidRPr="00DB4C3C">
        <w:t xml:space="preserve"> </w:t>
      </w:r>
      <w:r>
        <w:t>layout algorithm that has been incorporated</w:t>
      </w:r>
      <w:r w:rsidRPr="00DB4C3C">
        <w:t xml:space="preserve"> in Gephi is</w:t>
      </w:r>
      <w:r>
        <w:t xml:space="preserve"> Fruchterman-Reingold </w:t>
      </w:r>
      <w:sdt>
        <w:sdtPr>
          <w:id w:val="-170726326"/>
          <w:citation/>
        </w:sdtPr>
        <w:sdtEndPr/>
        <w:sdtContent>
          <w:r w:rsidRPr="00DB4C3C">
            <w:fldChar w:fldCharType="begin"/>
          </w:r>
          <w:r w:rsidRPr="00DB4C3C">
            <w:instrText xml:space="preserve"> CITATION Fru91 \l 1033 </w:instrText>
          </w:r>
          <w:r w:rsidRPr="00DB4C3C">
            <w:fldChar w:fldCharType="separate"/>
          </w:r>
          <w:r>
            <w:rPr>
              <w:noProof/>
            </w:rPr>
            <w:t>[11]</w:t>
          </w:r>
          <w:r w:rsidRPr="00DB4C3C">
            <w:fldChar w:fldCharType="end"/>
          </w:r>
        </w:sdtContent>
      </w:sdt>
      <w:r w:rsidRPr="00DB4C3C">
        <w:t xml:space="preserve">, one of the first algorithms for force directed drawing. </w:t>
      </w:r>
      <w:r w:rsidRPr="007C723E">
        <w:t xml:space="preserve">Unfortunately, it did not satisfy our requirements when acting alone. The layouts created allowed visual understanding, but they missed the clear visual structure that lends itself easily to analysis. Fortunately, when Fruchterman-Reingold was applied to the graph in conjunction with the OpenOrd algorithm, it </w:t>
      </w:r>
      <w:r>
        <w:t>removed</w:t>
      </w:r>
      <w:r w:rsidRPr="00DB4C3C">
        <w:t xml:space="preserve"> the previously-mentioned clutter </w:t>
      </w:r>
      <w:r>
        <w:t>and generated</w:t>
      </w:r>
      <w:r w:rsidRPr="00DB4C3C">
        <w:t xml:space="preserve"> an easily </w:t>
      </w:r>
      <w:r w:rsidRPr="00DB4C3C">
        <w:lastRenderedPageBreak/>
        <w:t xml:space="preserve">understandable layout that still retained the important properties. </w:t>
      </w:r>
      <w:r w:rsidRPr="00DB4C3C">
        <w:fldChar w:fldCharType="begin"/>
      </w:r>
      <w:r w:rsidRPr="00DB4C3C">
        <w:instrText xml:space="preserve"> REF _Ref427706410 \h  \* MERGEFORMAT </w:instrText>
      </w:r>
      <w:r w:rsidRPr="00DB4C3C">
        <w:fldChar w:fldCharType="separate"/>
      </w:r>
      <w:r w:rsidR="00050578" w:rsidRPr="00DB4C3C">
        <w:t xml:space="preserve">Figure </w:t>
      </w:r>
      <w:r w:rsidR="00050578" w:rsidRPr="00050578">
        <w:rPr>
          <w:noProof/>
        </w:rPr>
        <w:t>4</w:t>
      </w:r>
      <w:r w:rsidRPr="00DB4C3C">
        <w:fldChar w:fldCharType="end"/>
      </w:r>
      <w:r w:rsidRPr="00DB4C3C">
        <w:t xml:space="preserve"> is a sample network layout generated by applying the Fruchterman-Reingold algorithm to the NOCS 2010 OpenOrd </w:t>
      </w:r>
      <w:r>
        <w:t xml:space="preserve">network </w:t>
      </w:r>
      <w:r w:rsidRPr="00DB4C3C">
        <w:t xml:space="preserve">layout seen in </w:t>
      </w:r>
      <w:r w:rsidRPr="00DB4C3C">
        <w:fldChar w:fldCharType="begin"/>
      </w:r>
      <w:r w:rsidRPr="00DB4C3C">
        <w:instrText xml:space="preserve"> REF _Ref427705324 \h  \* MERGEFORMAT </w:instrText>
      </w:r>
      <w:r w:rsidRPr="00DB4C3C">
        <w:fldChar w:fldCharType="separate"/>
      </w:r>
      <w:r w:rsidR="00050578" w:rsidRPr="00DB4C3C">
        <w:t xml:space="preserve">Figure </w:t>
      </w:r>
      <w:r w:rsidR="00050578" w:rsidRPr="00050578">
        <w:rPr>
          <w:noProof/>
        </w:rPr>
        <w:t>3</w:t>
      </w:r>
      <w:r w:rsidRPr="00DB4C3C">
        <w:fldChar w:fldCharType="end"/>
      </w:r>
      <w:r w:rsidRPr="00DB4C3C">
        <w:t>.</w:t>
      </w:r>
    </w:p>
    <w:p w:rsidR="003B336C" w:rsidRPr="00DB4C3C" w:rsidRDefault="003B336C" w:rsidP="003B336C">
      <w:pPr>
        <w:pStyle w:val="Text"/>
        <w:ind w:firstLine="204"/>
      </w:pPr>
    </w:p>
    <w:p w:rsidR="003B336C" w:rsidRPr="00DB4C3C" w:rsidRDefault="003B336C" w:rsidP="003B336C">
      <w:pPr>
        <w:pStyle w:val="Text"/>
        <w:ind w:firstLine="204"/>
      </w:pPr>
      <w:r w:rsidRPr="00DB4C3C">
        <w:rPr>
          <w:noProof/>
        </w:rPr>
        <w:drawing>
          <wp:inline distT="0" distB="0" distL="0" distR="0" wp14:anchorId="19206FFC" wp14:editId="0C74C3BB">
            <wp:extent cx="3088257" cy="30882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enOrd.png"/>
                    <pic:cNvPicPr/>
                  </pic:nvPicPr>
                  <pic:blipFill>
                    <a:blip r:embed="rId10">
                      <a:extLst>
                        <a:ext uri="{28A0092B-C50C-407E-A947-70E740481C1C}">
                          <a14:useLocalDpi xmlns:a14="http://schemas.microsoft.com/office/drawing/2010/main" val="0"/>
                        </a:ext>
                      </a:extLst>
                    </a:blip>
                    <a:stretch>
                      <a:fillRect/>
                    </a:stretch>
                  </pic:blipFill>
                  <pic:spPr>
                    <a:xfrm>
                      <a:off x="0" y="0"/>
                      <a:ext cx="3098790" cy="3098790"/>
                    </a:xfrm>
                    <a:prstGeom prst="rect">
                      <a:avLst/>
                    </a:prstGeom>
                  </pic:spPr>
                </pic:pic>
              </a:graphicData>
            </a:graphic>
          </wp:inline>
        </w:drawing>
      </w:r>
    </w:p>
    <w:p w:rsidR="003B336C" w:rsidRPr="00DB4C3C" w:rsidRDefault="003B336C" w:rsidP="003B336C">
      <w:pPr>
        <w:pStyle w:val="Text"/>
        <w:ind w:firstLine="204"/>
      </w:pPr>
    </w:p>
    <w:p w:rsidR="003B336C" w:rsidRPr="00DB4C3C" w:rsidRDefault="003B336C" w:rsidP="003B336C">
      <w:pPr>
        <w:pStyle w:val="Caption"/>
        <w:jc w:val="center"/>
        <w:rPr>
          <w:i w:val="0"/>
          <w:color w:val="auto"/>
          <w:sz w:val="20"/>
        </w:rPr>
      </w:pPr>
      <w:bookmarkStart w:id="7" w:name="_Ref427705324"/>
      <w:r w:rsidRPr="00DB4C3C">
        <w:rPr>
          <w:i w:val="0"/>
          <w:color w:val="auto"/>
          <w:sz w:val="20"/>
        </w:rPr>
        <w:t xml:space="preserve">Figure </w:t>
      </w:r>
      <w:r w:rsidRPr="00DB4C3C">
        <w:rPr>
          <w:i w:val="0"/>
          <w:color w:val="auto"/>
          <w:sz w:val="20"/>
        </w:rPr>
        <w:fldChar w:fldCharType="begin"/>
      </w:r>
      <w:r w:rsidRPr="00DB4C3C">
        <w:rPr>
          <w:i w:val="0"/>
          <w:color w:val="auto"/>
          <w:sz w:val="20"/>
        </w:rPr>
        <w:instrText xml:space="preserve"> SEQ Figure \* ARABIC </w:instrText>
      </w:r>
      <w:r w:rsidRPr="00DB4C3C">
        <w:rPr>
          <w:i w:val="0"/>
          <w:color w:val="auto"/>
          <w:sz w:val="20"/>
        </w:rPr>
        <w:fldChar w:fldCharType="separate"/>
      </w:r>
      <w:r w:rsidR="00050578">
        <w:rPr>
          <w:i w:val="0"/>
          <w:noProof/>
          <w:color w:val="auto"/>
          <w:sz w:val="20"/>
        </w:rPr>
        <w:t>3</w:t>
      </w:r>
      <w:r w:rsidRPr="00DB4C3C">
        <w:rPr>
          <w:i w:val="0"/>
          <w:color w:val="auto"/>
          <w:sz w:val="20"/>
        </w:rPr>
        <w:fldChar w:fldCharType="end"/>
      </w:r>
      <w:bookmarkEnd w:id="7"/>
      <w:r w:rsidRPr="00DB4C3C">
        <w:rPr>
          <w:i w:val="0"/>
          <w:color w:val="auto"/>
          <w:sz w:val="20"/>
        </w:rPr>
        <w:t>. OpenOrd algorithm</w:t>
      </w:r>
    </w:p>
    <w:p w:rsidR="003B336C" w:rsidRPr="00DB4C3C" w:rsidRDefault="003B336C" w:rsidP="003B336C">
      <w:pPr>
        <w:pStyle w:val="Text"/>
        <w:ind w:firstLine="204"/>
      </w:pPr>
      <w:r w:rsidRPr="00DB4C3C">
        <w:t xml:space="preserve"> </w:t>
      </w:r>
      <w:r w:rsidRPr="00DB4C3C">
        <w:rPr>
          <w:noProof/>
        </w:rPr>
        <w:drawing>
          <wp:inline distT="0" distB="0" distL="0" distR="0" wp14:anchorId="7685A4B6" wp14:editId="000CDAC6">
            <wp:extent cx="3036498" cy="30364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uchterman-Reingold.png"/>
                    <pic:cNvPicPr/>
                  </pic:nvPicPr>
                  <pic:blipFill>
                    <a:blip r:embed="rId11">
                      <a:extLst>
                        <a:ext uri="{28A0092B-C50C-407E-A947-70E740481C1C}">
                          <a14:useLocalDpi xmlns:a14="http://schemas.microsoft.com/office/drawing/2010/main" val="0"/>
                        </a:ext>
                      </a:extLst>
                    </a:blip>
                    <a:stretch>
                      <a:fillRect/>
                    </a:stretch>
                  </pic:blipFill>
                  <pic:spPr>
                    <a:xfrm>
                      <a:off x="0" y="0"/>
                      <a:ext cx="3043247" cy="3043247"/>
                    </a:xfrm>
                    <a:prstGeom prst="rect">
                      <a:avLst/>
                    </a:prstGeom>
                  </pic:spPr>
                </pic:pic>
              </a:graphicData>
            </a:graphic>
          </wp:inline>
        </w:drawing>
      </w:r>
    </w:p>
    <w:p w:rsidR="003B336C" w:rsidRPr="00DB4C3C" w:rsidRDefault="003B336C" w:rsidP="003B336C">
      <w:pPr>
        <w:pStyle w:val="Text"/>
        <w:ind w:firstLine="204"/>
      </w:pPr>
    </w:p>
    <w:p w:rsidR="003B336C" w:rsidRPr="00DB4C3C" w:rsidRDefault="003B336C" w:rsidP="003B336C">
      <w:pPr>
        <w:pStyle w:val="Caption"/>
        <w:jc w:val="center"/>
        <w:rPr>
          <w:i w:val="0"/>
          <w:color w:val="auto"/>
          <w:sz w:val="20"/>
        </w:rPr>
      </w:pPr>
      <w:bookmarkStart w:id="8" w:name="_Ref427706410"/>
      <w:r w:rsidRPr="00DB4C3C">
        <w:rPr>
          <w:i w:val="0"/>
          <w:color w:val="auto"/>
          <w:sz w:val="20"/>
        </w:rPr>
        <w:t xml:space="preserve">Figure </w:t>
      </w:r>
      <w:r w:rsidRPr="00DB4C3C">
        <w:rPr>
          <w:i w:val="0"/>
          <w:color w:val="auto"/>
          <w:sz w:val="20"/>
        </w:rPr>
        <w:fldChar w:fldCharType="begin"/>
      </w:r>
      <w:r w:rsidRPr="00DB4C3C">
        <w:rPr>
          <w:i w:val="0"/>
          <w:color w:val="auto"/>
          <w:sz w:val="20"/>
        </w:rPr>
        <w:instrText xml:space="preserve"> SEQ Figure \* ARABIC </w:instrText>
      </w:r>
      <w:r w:rsidRPr="00DB4C3C">
        <w:rPr>
          <w:i w:val="0"/>
          <w:color w:val="auto"/>
          <w:sz w:val="20"/>
        </w:rPr>
        <w:fldChar w:fldCharType="separate"/>
      </w:r>
      <w:r w:rsidR="00050578">
        <w:rPr>
          <w:i w:val="0"/>
          <w:noProof/>
          <w:color w:val="auto"/>
          <w:sz w:val="20"/>
        </w:rPr>
        <w:t>4</w:t>
      </w:r>
      <w:r w:rsidRPr="00DB4C3C">
        <w:rPr>
          <w:i w:val="0"/>
          <w:color w:val="auto"/>
          <w:sz w:val="20"/>
        </w:rPr>
        <w:fldChar w:fldCharType="end"/>
      </w:r>
      <w:bookmarkEnd w:id="8"/>
      <w:r w:rsidRPr="00DB4C3C">
        <w:rPr>
          <w:i w:val="0"/>
          <w:color w:val="auto"/>
          <w:sz w:val="20"/>
        </w:rPr>
        <w:t>. Fruchterman-Reingold applied after OpenOrd</w:t>
      </w:r>
    </w:p>
    <w:p w:rsidR="003B336C" w:rsidRPr="00DB4C3C" w:rsidRDefault="003B336C" w:rsidP="003B336C">
      <w:pPr>
        <w:pStyle w:val="Text"/>
        <w:ind w:firstLine="0"/>
        <w:rPr>
          <w:color w:val="548DD4" w:themeColor="text2" w:themeTint="99"/>
        </w:rPr>
      </w:pPr>
      <w:r w:rsidRPr="00DB4C3C">
        <w:t xml:space="preserve">As can be seen in </w:t>
      </w:r>
      <w:r w:rsidRPr="00DB4C3C">
        <w:fldChar w:fldCharType="begin"/>
      </w:r>
      <w:r w:rsidRPr="00DB4C3C">
        <w:instrText xml:space="preserve"> REF _Ref427706410 \h  \* MERGEFORMAT </w:instrText>
      </w:r>
      <w:r w:rsidRPr="00DB4C3C">
        <w:fldChar w:fldCharType="separate"/>
      </w:r>
      <w:r w:rsidR="00050578" w:rsidRPr="00DB4C3C">
        <w:t xml:space="preserve">Figure </w:t>
      </w:r>
      <w:r w:rsidR="00050578" w:rsidRPr="00050578">
        <w:rPr>
          <w:noProof/>
        </w:rPr>
        <w:t>4</w:t>
      </w:r>
      <w:r w:rsidRPr="00DB4C3C">
        <w:fldChar w:fldCharType="end"/>
      </w:r>
      <w:r w:rsidRPr="00DB4C3C">
        <w:t xml:space="preserve">, the network layout obtained by using the two algorithms in sequence was almost perfect. But, while the graph shows connections between the nodes very clearly, it does miss the clarity of multi-level visualization.  Visualizing connections between the different </w:t>
      </w:r>
      <w:r>
        <w:rPr>
          <w:i/>
        </w:rPr>
        <w:t>levels</w:t>
      </w:r>
      <w:r w:rsidRPr="00DB4C3C">
        <w:t xml:space="preserve"> of nodes </w:t>
      </w:r>
      <w:r w:rsidRPr="00DB4C3C">
        <w:lastRenderedPageBreak/>
        <w:t>(</w:t>
      </w:r>
      <w:r w:rsidRPr="00DB4C3C">
        <w:rPr>
          <w:i/>
        </w:rPr>
        <w:t>e.g.</w:t>
      </w:r>
      <w:r w:rsidRPr="00DB4C3C">
        <w:t xml:space="preserve"> authors, </w:t>
      </w:r>
      <w:r>
        <w:t>TPC members</w:t>
      </w:r>
      <w:r w:rsidRPr="00DB4C3C">
        <w:t>, TPC-authors</w:t>
      </w:r>
      <w:bookmarkStart w:id="9" w:name="_Ref428113566"/>
      <w:r>
        <w:rPr>
          <w:rStyle w:val="FootnoteReference"/>
        </w:rPr>
        <w:footnoteReference w:id="4"/>
      </w:r>
      <w:bookmarkEnd w:id="9"/>
      <w:r w:rsidRPr="00DB4C3C">
        <w:t xml:space="preserve">) </w:t>
      </w:r>
      <w:r w:rsidRPr="00DB4C3C">
        <w:rPr>
          <w:color w:val="000000" w:themeColor="text1"/>
        </w:rPr>
        <w:t>is a key component because</w:t>
      </w:r>
      <w:r>
        <w:rPr>
          <w:color w:val="000000" w:themeColor="text1"/>
        </w:rPr>
        <w:t xml:space="preserve"> it makes the relationships and influences between nodes more visually apparent.</w:t>
      </w:r>
      <w:r w:rsidRPr="00DB4C3C">
        <w:rPr>
          <w:color w:val="548DD4" w:themeColor="text2" w:themeTint="99"/>
        </w:rPr>
        <w:t xml:space="preserve"> </w:t>
      </w:r>
    </w:p>
    <w:p w:rsidR="003B336C" w:rsidRPr="00DB4C3C" w:rsidRDefault="003B336C" w:rsidP="003B336C">
      <w:pPr>
        <w:pStyle w:val="Text"/>
        <w:ind w:firstLine="204"/>
      </w:pPr>
      <w:r w:rsidRPr="00DB4C3C">
        <w:t xml:space="preserve"> </w:t>
      </w:r>
      <w:r>
        <w:t>Getting a multi-level representation</w:t>
      </w:r>
      <w:r w:rsidRPr="00DB4C3C">
        <w:t xml:space="preserve">, however, was not difficult. We </w:t>
      </w:r>
      <w:r>
        <w:t>discovered</w:t>
      </w:r>
      <w:r w:rsidRPr="00DB4C3C">
        <w:t xml:space="preserve"> a layout algorithm called Network Splitter 3D </w:t>
      </w:r>
      <w:sdt>
        <w:sdtPr>
          <w:id w:val="-419110018"/>
          <w:citation/>
        </w:sdtPr>
        <w:sdtEndPr/>
        <w:sdtContent>
          <w:r w:rsidRPr="00DB4C3C">
            <w:fldChar w:fldCharType="begin"/>
          </w:r>
          <w:r w:rsidRPr="00DB4C3C">
            <w:instrText xml:space="preserve"> CITATION Bar14 \l 1033 </w:instrText>
          </w:r>
          <w:r w:rsidRPr="00DB4C3C">
            <w:fldChar w:fldCharType="separate"/>
          </w:r>
          <w:r>
            <w:rPr>
              <w:noProof/>
            </w:rPr>
            <w:t>[12]</w:t>
          </w:r>
          <w:r w:rsidRPr="00DB4C3C">
            <w:fldChar w:fldCharType="end"/>
          </w:r>
        </w:sdtContent>
      </w:sdt>
      <w:r>
        <w:t xml:space="preserve"> </w:t>
      </w:r>
      <w:r w:rsidRPr="00DB4C3C">
        <w:t xml:space="preserve">on the Gephi plugin marketplace that allowed a network to be split into levels based on a </w:t>
      </w:r>
      <w:r w:rsidRPr="00DB4C3C">
        <w:rPr>
          <w:i/>
        </w:rPr>
        <w:t>z-level</w:t>
      </w:r>
      <w:r w:rsidRPr="00DB4C3C">
        <w:t xml:space="preserve"> tag for each node, and then rotated about the </w:t>
      </w:r>
      <w:r w:rsidRPr="00DB4C3C">
        <w:rPr>
          <w:i/>
        </w:rPr>
        <w:t>x</w:t>
      </w:r>
      <w:r w:rsidRPr="00DB4C3C">
        <w:t xml:space="preserve">-axis to visualize the levels. When this splitter was applied to the network graph obtained after applying the Fruchterman-Reingold and OpenOrd algorithms, it produced an easy-to-understand, multilevel visualization that showcased all the relevant network properties and met our requirements. </w:t>
      </w:r>
      <w:r w:rsidRPr="00DB4C3C">
        <w:fldChar w:fldCharType="begin"/>
      </w:r>
      <w:r w:rsidRPr="00DB4C3C">
        <w:instrText xml:space="preserve"> REF _Ref427706843 \h  \* MERGEFORMAT </w:instrText>
      </w:r>
      <w:r w:rsidRPr="00DB4C3C">
        <w:fldChar w:fldCharType="separate"/>
      </w:r>
      <w:r w:rsidR="00050578" w:rsidRPr="00DB4C3C">
        <w:t xml:space="preserve">Figure </w:t>
      </w:r>
      <w:r w:rsidR="00050578" w:rsidRPr="00050578">
        <w:rPr>
          <w:noProof/>
        </w:rPr>
        <w:t>5</w:t>
      </w:r>
      <w:r w:rsidRPr="00DB4C3C">
        <w:fldChar w:fldCharType="end"/>
      </w:r>
      <w:r w:rsidRPr="00DB4C3C">
        <w:t xml:space="preserve"> is a sample layout showing the result of applying the Network Splitter 3D algorithm on the NOCS 2010 Fruchterman-Reingold and OpenOrd </w:t>
      </w:r>
      <w:r>
        <w:t xml:space="preserve">network </w:t>
      </w:r>
      <w:r w:rsidRPr="00DB4C3C">
        <w:t xml:space="preserve">layout seen in </w:t>
      </w:r>
      <w:r w:rsidRPr="00DB4C3C">
        <w:fldChar w:fldCharType="begin"/>
      </w:r>
      <w:r w:rsidRPr="00DB4C3C">
        <w:instrText xml:space="preserve"> REF _Ref427706410 \h  \* MERGEFORMAT </w:instrText>
      </w:r>
      <w:r w:rsidRPr="00DB4C3C">
        <w:fldChar w:fldCharType="separate"/>
      </w:r>
      <w:r w:rsidR="00050578" w:rsidRPr="00DB4C3C">
        <w:t xml:space="preserve">Figure </w:t>
      </w:r>
      <w:r w:rsidR="00050578" w:rsidRPr="00050578">
        <w:rPr>
          <w:noProof/>
        </w:rPr>
        <w:t>4</w:t>
      </w:r>
      <w:r w:rsidRPr="00DB4C3C">
        <w:fldChar w:fldCharType="end"/>
      </w:r>
      <w:r w:rsidRPr="00DB4C3C">
        <w:t xml:space="preserve">. </w:t>
      </w:r>
      <w:r>
        <w:t>With the CCN graphs represented in 3D, th</w:t>
      </w:r>
      <w:r w:rsidRPr="00DB4C3C">
        <w:t xml:space="preserve">e next step was to </w:t>
      </w:r>
      <w:r>
        <w:t xml:space="preserve">make use of the visualization to </w:t>
      </w:r>
      <w:r w:rsidRPr="00DB4C3C">
        <w:t xml:space="preserve">perform different types of analysis on the networks. </w:t>
      </w:r>
    </w:p>
    <w:p w:rsidR="003B336C" w:rsidRPr="00DB4C3C" w:rsidRDefault="003B336C" w:rsidP="003B336C">
      <w:pPr>
        <w:pStyle w:val="Text"/>
      </w:pPr>
    </w:p>
    <w:p w:rsidR="003B336C" w:rsidRPr="00DB4C3C" w:rsidRDefault="003B336C" w:rsidP="003B336C">
      <w:pPr>
        <w:pStyle w:val="Text"/>
        <w:ind w:firstLine="204"/>
        <w:jc w:val="center"/>
      </w:pPr>
      <w:r w:rsidRPr="00DB4C3C">
        <w:rPr>
          <w:noProof/>
        </w:rPr>
        <w:drawing>
          <wp:inline distT="0" distB="0" distL="0" distR="0" wp14:anchorId="08318CC3" wp14:editId="6FF1DC78">
            <wp:extent cx="3096883" cy="30968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Level.png"/>
                    <pic:cNvPicPr/>
                  </pic:nvPicPr>
                  <pic:blipFill>
                    <a:blip r:embed="rId12">
                      <a:extLst>
                        <a:ext uri="{28A0092B-C50C-407E-A947-70E740481C1C}">
                          <a14:useLocalDpi xmlns:a14="http://schemas.microsoft.com/office/drawing/2010/main" val="0"/>
                        </a:ext>
                      </a:extLst>
                    </a:blip>
                    <a:stretch>
                      <a:fillRect/>
                    </a:stretch>
                  </pic:blipFill>
                  <pic:spPr>
                    <a:xfrm>
                      <a:off x="0" y="0"/>
                      <a:ext cx="3102773" cy="3102773"/>
                    </a:xfrm>
                    <a:prstGeom prst="rect">
                      <a:avLst/>
                    </a:prstGeom>
                  </pic:spPr>
                </pic:pic>
              </a:graphicData>
            </a:graphic>
          </wp:inline>
        </w:drawing>
      </w:r>
    </w:p>
    <w:p w:rsidR="003B336C" w:rsidRPr="00DB4C3C" w:rsidRDefault="003B336C" w:rsidP="003B336C">
      <w:pPr>
        <w:pStyle w:val="Text"/>
        <w:ind w:firstLine="204"/>
      </w:pPr>
    </w:p>
    <w:p w:rsidR="003B336C" w:rsidRPr="00DB4C3C" w:rsidRDefault="003B336C" w:rsidP="003B336C">
      <w:pPr>
        <w:pStyle w:val="Caption"/>
        <w:jc w:val="center"/>
        <w:rPr>
          <w:i w:val="0"/>
          <w:color w:val="auto"/>
          <w:sz w:val="20"/>
        </w:rPr>
      </w:pPr>
      <w:bookmarkStart w:id="10" w:name="_Ref427706843"/>
      <w:r w:rsidRPr="00DB4C3C">
        <w:rPr>
          <w:i w:val="0"/>
          <w:color w:val="auto"/>
          <w:sz w:val="20"/>
        </w:rPr>
        <w:t xml:space="preserve">Figure </w:t>
      </w:r>
      <w:r w:rsidRPr="00DB4C3C">
        <w:rPr>
          <w:i w:val="0"/>
          <w:color w:val="auto"/>
          <w:sz w:val="20"/>
        </w:rPr>
        <w:fldChar w:fldCharType="begin"/>
      </w:r>
      <w:r w:rsidRPr="00DB4C3C">
        <w:rPr>
          <w:i w:val="0"/>
          <w:color w:val="auto"/>
          <w:sz w:val="20"/>
        </w:rPr>
        <w:instrText xml:space="preserve"> SEQ Figure \* ARABIC </w:instrText>
      </w:r>
      <w:r w:rsidRPr="00DB4C3C">
        <w:rPr>
          <w:i w:val="0"/>
          <w:color w:val="auto"/>
          <w:sz w:val="20"/>
        </w:rPr>
        <w:fldChar w:fldCharType="separate"/>
      </w:r>
      <w:r w:rsidR="00050578">
        <w:rPr>
          <w:i w:val="0"/>
          <w:noProof/>
          <w:color w:val="auto"/>
          <w:sz w:val="20"/>
        </w:rPr>
        <w:t>5</w:t>
      </w:r>
      <w:r w:rsidRPr="00DB4C3C">
        <w:rPr>
          <w:i w:val="0"/>
          <w:color w:val="auto"/>
          <w:sz w:val="20"/>
        </w:rPr>
        <w:fldChar w:fldCharType="end"/>
      </w:r>
      <w:bookmarkEnd w:id="10"/>
      <w:r w:rsidRPr="00DB4C3C">
        <w:rPr>
          <w:i w:val="0"/>
          <w:color w:val="auto"/>
          <w:sz w:val="20"/>
        </w:rPr>
        <w:t>. The Network Splitter 3D multilevel visualization applied to Fruchterman-Reing</w:t>
      </w:r>
      <w:r>
        <w:rPr>
          <w:i w:val="0"/>
          <w:color w:val="auto"/>
          <w:sz w:val="20"/>
        </w:rPr>
        <w:t>old</w:t>
      </w:r>
      <w:r w:rsidRPr="00DB4C3C">
        <w:rPr>
          <w:i w:val="0"/>
          <w:color w:val="auto"/>
          <w:sz w:val="20"/>
        </w:rPr>
        <w:t xml:space="preserve"> and OpenOrd combination</w:t>
      </w:r>
    </w:p>
    <w:p w:rsidR="003B336C" w:rsidRPr="00DB4C3C" w:rsidRDefault="003B336C" w:rsidP="003B336C">
      <w:pPr>
        <w:pStyle w:val="Heading1"/>
      </w:pPr>
      <w:bookmarkStart w:id="11" w:name="_Ref427787960"/>
      <w:r>
        <w:t xml:space="preserve"> network </w:t>
      </w:r>
      <w:r w:rsidRPr="00DB4C3C">
        <w:t>Analysis</w:t>
      </w:r>
      <w:bookmarkEnd w:id="11"/>
    </w:p>
    <w:p w:rsidR="003B336C" w:rsidRPr="00DB4C3C" w:rsidRDefault="003B336C" w:rsidP="003B336C">
      <w:pPr>
        <w:pStyle w:val="Text"/>
        <w:ind w:firstLine="204"/>
      </w:pPr>
      <w:r w:rsidRPr="00DB4C3C">
        <w:t xml:space="preserve">We wanted to </w:t>
      </w:r>
      <w:r>
        <w:t>understand</w:t>
      </w:r>
      <w:r w:rsidRPr="00DB4C3C">
        <w:t xml:space="preserve"> how TPC members influence authorship. In that regard, it is not only </w:t>
      </w:r>
      <w:r>
        <w:t xml:space="preserve">the </w:t>
      </w:r>
      <w:r w:rsidRPr="00DB4C3C">
        <w:t xml:space="preserve">regular authors but </w:t>
      </w:r>
      <w:r>
        <w:t xml:space="preserve">the </w:t>
      </w:r>
      <w:r w:rsidRPr="00DB4C3C">
        <w:t>TPC members as well who play a role in our concept of “fairness” in a network</w:t>
      </w:r>
      <w:r>
        <w:t>.</w:t>
      </w:r>
      <w:r w:rsidRPr="00DB4C3C">
        <w:t xml:space="preserve"> In order to find a numerical e</w:t>
      </w:r>
      <w:r>
        <w:t>xplanation for this fairness</w:t>
      </w:r>
      <w:r w:rsidRPr="00DB4C3C">
        <w:t xml:space="preserve"> metric in relation to the TPC-authors, all the relevant properties of the network and sub-networks were analyzed. These include</w:t>
      </w:r>
      <w:r>
        <w:t>d the</w:t>
      </w:r>
      <w:r w:rsidRPr="00DB4C3C">
        <w:t xml:space="preserve"> average degree of authors, average degree of TPC members, number of communities, average path length, </w:t>
      </w:r>
      <w:r w:rsidRPr="00DB4C3C">
        <w:rPr>
          <w:i/>
        </w:rPr>
        <w:t>etc</w:t>
      </w:r>
      <w:r w:rsidRPr="00C52E08">
        <w:t>.</w:t>
      </w:r>
      <w:r>
        <w:t xml:space="preserve"> These</w:t>
      </w:r>
      <w:r w:rsidRPr="00DB4C3C">
        <w:t xml:space="preserve"> values alone did not function as indicators of fairness in themselves, but when </w:t>
      </w:r>
      <w:r w:rsidRPr="00DB4C3C">
        <w:lastRenderedPageBreak/>
        <w:t>applied to different segments of the network, they could be converted to a discrete fairness value.</w:t>
      </w:r>
    </w:p>
    <w:p w:rsidR="003B336C" w:rsidRPr="00DB4C3C" w:rsidRDefault="003B336C" w:rsidP="003B336C">
      <w:pPr>
        <w:pStyle w:val="Text"/>
        <w:ind w:firstLine="204"/>
      </w:pPr>
      <w:r w:rsidRPr="00DB4C3C">
        <w:t>After the network properties mentioned above were extracted, the focus shifted to trying to determine how they could be used to represent the fairness of the conference. To do so, a clear definition of fairness was needed. After consulting a variety of network topologies for conferences, it was determined that an “unfair” conference would be one where re</w:t>
      </w:r>
      <w:r>
        <w:t xml:space="preserve">lationships that were conflicts of </w:t>
      </w:r>
      <w:r w:rsidRPr="00DB4C3C">
        <w:t xml:space="preserve">interest either gave some authors advantages, or others disadvantages, in areas such as </w:t>
      </w:r>
      <w:r w:rsidRPr="00250F3D">
        <w:rPr>
          <w:i/>
        </w:rPr>
        <w:t>paper acceptance likelihood</w:t>
      </w:r>
      <w:r w:rsidRPr="00DB4C3C">
        <w:t xml:space="preserve"> and </w:t>
      </w:r>
      <w:r w:rsidRPr="00250F3D">
        <w:rPr>
          <w:i/>
        </w:rPr>
        <w:t>co-authorship desirability</w:t>
      </w:r>
      <w:r w:rsidRPr="00DB4C3C">
        <w:t>.</w:t>
      </w:r>
    </w:p>
    <w:p w:rsidR="003B336C" w:rsidRDefault="003B336C" w:rsidP="003B336C">
      <w:pPr>
        <w:pStyle w:val="Text"/>
        <w:ind w:firstLine="204"/>
      </w:pPr>
      <w:r>
        <w:t>There is</w:t>
      </w:r>
      <w:r w:rsidRPr="00DB4C3C">
        <w:t xml:space="preserve"> an undeniable likelihood that </w:t>
      </w:r>
      <w:r>
        <w:t xml:space="preserve">papers authored by </w:t>
      </w:r>
      <w:r w:rsidRPr="00DB4C3C">
        <w:t xml:space="preserve">TPC members </w:t>
      </w:r>
      <w:r>
        <w:t>are</w:t>
      </w:r>
      <w:r w:rsidRPr="00DB4C3C">
        <w:t xml:space="preserve"> indeed more likely to be accepted due to the fact t</w:t>
      </w:r>
      <w:r>
        <w:t>hat by virtue of being a part of the steering committee</w:t>
      </w:r>
      <w:r w:rsidRPr="00DB4C3C">
        <w:t xml:space="preserve">, they </w:t>
      </w:r>
      <w:r>
        <w:t>are already regarded</w:t>
      </w:r>
      <w:r w:rsidRPr="00DB4C3C">
        <w:t xml:space="preserve"> as more “elite” </w:t>
      </w:r>
      <w:r>
        <w:t xml:space="preserve">and influential </w:t>
      </w:r>
      <w:r w:rsidRPr="00DB4C3C">
        <w:t xml:space="preserve">than </w:t>
      </w:r>
      <w:r>
        <w:t>the other paper writers. Therefore, i</w:t>
      </w:r>
      <w:r w:rsidRPr="00DB4C3C">
        <w:t xml:space="preserve">f a TPC member were to write a paper like any other author, </w:t>
      </w:r>
      <w:r>
        <w:t>that</w:t>
      </w:r>
      <w:r w:rsidRPr="00DB4C3C">
        <w:t xml:space="preserve"> paper would </w:t>
      </w:r>
      <w:r>
        <w:t>have a higher probability of being</w:t>
      </w:r>
      <w:r w:rsidRPr="00DB4C3C">
        <w:t xml:space="preserve"> accepted.</w:t>
      </w:r>
      <w:r>
        <w:t xml:space="preserve"> </w:t>
      </w:r>
      <w:r w:rsidRPr="00685D8F">
        <w:t>T</w:t>
      </w:r>
      <w:r>
        <w:t>his</w:t>
      </w:r>
      <w:r w:rsidRPr="00685D8F">
        <w:t xml:space="preserve"> observation </w:t>
      </w:r>
      <w:r>
        <w:t xml:space="preserve">led us to </w:t>
      </w:r>
      <w:r w:rsidRPr="00685D8F">
        <w:t xml:space="preserve">the idea of comparing the authorship groups of TPC </w:t>
      </w:r>
      <w:r>
        <w:t xml:space="preserve">members </w:t>
      </w:r>
      <w:r w:rsidRPr="00685D8F">
        <w:t xml:space="preserve">to those of </w:t>
      </w:r>
      <w:r>
        <w:t xml:space="preserve">the </w:t>
      </w:r>
      <w:r w:rsidRPr="00685D8F">
        <w:t xml:space="preserve">other authors. If the groups were abnormally large, with TPC members having an average of ten co-authors versus an average of 3 for other papers for example, it would imply that they were most likely included due to the  influence of their name and level rather than actual contributions to the paper itself. </w:t>
      </w:r>
    </w:p>
    <w:p w:rsidR="003B336C" w:rsidRDefault="003B336C" w:rsidP="003B336C">
      <w:pPr>
        <w:pStyle w:val="Heading2"/>
      </w:pPr>
      <w:r>
        <w:t>Fairness Quotient</w:t>
      </w:r>
    </w:p>
    <w:p w:rsidR="003B336C" w:rsidRPr="00685D8F" w:rsidRDefault="003B336C" w:rsidP="003B336C">
      <w:pPr>
        <w:pStyle w:val="Text"/>
        <w:ind w:firstLine="204"/>
      </w:pPr>
      <w:r w:rsidRPr="00685D8F">
        <w:t>To have a quantitative measure</w:t>
      </w:r>
      <w:r>
        <w:t xml:space="preserve"> of fairness</w:t>
      </w:r>
      <w:r w:rsidRPr="00685D8F">
        <w:t xml:space="preserve">, </w:t>
      </w:r>
      <w:r>
        <w:t xml:space="preserve">we first extracted </w:t>
      </w:r>
      <w:r w:rsidRPr="00685D8F">
        <w:t xml:space="preserve">two </w:t>
      </w:r>
      <w:r>
        <w:t xml:space="preserve">community-related values </w:t>
      </w:r>
      <w:r w:rsidRPr="00685D8F">
        <w:t xml:space="preserve">from the network and combined </w:t>
      </w:r>
      <w:r>
        <w:t xml:space="preserve">them </w:t>
      </w:r>
      <w:r w:rsidRPr="00685D8F">
        <w:t xml:space="preserve">as follows:  </w:t>
      </w:r>
    </w:p>
    <w:p w:rsidR="003B336C" w:rsidRDefault="003B336C" w:rsidP="003B336C">
      <w:pPr>
        <w:pStyle w:val="Text"/>
        <w:numPr>
          <w:ilvl w:val="0"/>
          <w:numId w:val="43"/>
        </w:numPr>
      </w:pPr>
      <w:r w:rsidRPr="00685D8F">
        <w:t>TPC-author community size mean (</w:t>
      </w:r>
      <m:oMath>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tpc-a</m:t>
            </m:r>
          </m:sub>
        </m:sSub>
      </m:oMath>
      <w:r w:rsidRPr="00685D8F">
        <w:t>) = the</w:t>
      </w:r>
      <w:r w:rsidRPr="00DB4C3C">
        <w:t xml:space="preserve"> average size of the communities </w:t>
      </w:r>
      <w:r>
        <w:t>which TPC-authors were part of,</w:t>
      </w:r>
    </w:p>
    <w:p w:rsidR="003B336C" w:rsidRDefault="003B336C" w:rsidP="003B336C">
      <w:pPr>
        <w:pStyle w:val="Text"/>
        <w:numPr>
          <w:ilvl w:val="0"/>
          <w:numId w:val="43"/>
        </w:numPr>
      </w:pPr>
      <w:r w:rsidRPr="00DB4C3C">
        <w:t>Author community size mean</w:t>
      </w:r>
      <w:r>
        <w:t xml:space="preserve"> (</w:t>
      </w:r>
      <m:oMath>
        <m:sSub>
          <m:sSubPr>
            <m:ctrlPr>
              <w:rPr>
                <w:rFonts w:ascii="Cambria Math" w:hAnsi="Cambria Math"/>
              </w:rPr>
            </m:ctrlPr>
          </m:sSubPr>
          <m:e>
            <m:r>
              <w:rPr>
                <w:rFonts w:ascii="Cambria Math" w:hAnsi="Cambria Math"/>
              </w:rPr>
              <m:t>c</m:t>
            </m:r>
          </m:e>
          <m:sub>
            <m:r>
              <w:rPr>
                <w:rFonts w:ascii="Cambria Math" w:hAnsi="Cambria Math"/>
              </w:rPr>
              <m:t>a</m:t>
            </m:r>
          </m:sub>
        </m:sSub>
      </m:oMath>
      <w:r>
        <w:t>)</w:t>
      </w:r>
      <w:r w:rsidRPr="00DB4C3C">
        <w:t xml:space="preserve"> </w:t>
      </w:r>
      <w:r>
        <w:t xml:space="preserve">= </w:t>
      </w:r>
      <w:r w:rsidRPr="00DB4C3C">
        <w:t xml:space="preserve"> the average size of the communities that the normal c</w:t>
      </w:r>
      <w:r>
        <w:t>onference authors were part of, and</w:t>
      </w:r>
    </w:p>
    <w:p w:rsidR="003B336C" w:rsidRDefault="003B336C" w:rsidP="003B336C">
      <w:pPr>
        <w:pStyle w:val="Text"/>
        <w:numPr>
          <w:ilvl w:val="0"/>
          <w:numId w:val="43"/>
        </w:numPr>
      </w:pPr>
      <w:r w:rsidRPr="00DB4C3C">
        <w:t>TPC to author community ratio</w:t>
      </w:r>
      <w:r>
        <w:t xml:space="preserve"> (</w:t>
      </w:r>
      <m:oMath>
        <m:sSub>
          <m:sSubPr>
            <m:ctrlPr>
              <w:rPr>
                <w:rFonts w:ascii="Cambria Math" w:hAnsi="Cambria Math"/>
              </w:rPr>
            </m:ctrlPr>
          </m:sSubPr>
          <m:e>
            <m:r>
              <w:rPr>
                <w:rFonts w:ascii="Cambria Math" w:hAnsi="Cambria Math"/>
              </w:rPr>
              <m:t xml:space="preserve"> r</m:t>
            </m:r>
          </m:e>
          <m:sub>
            <m:r>
              <w:rPr>
                <w:rFonts w:ascii="Cambria Math" w:hAnsi="Cambria Math"/>
              </w:rPr>
              <m:t>c</m:t>
            </m:r>
          </m:sub>
        </m:sSub>
      </m:oMath>
      <w:r>
        <w:t>)</w:t>
      </w:r>
      <w:r w:rsidRPr="00DB4C3C">
        <w:t xml:space="preserve"> </w:t>
      </w:r>
      <w:r>
        <w:t xml:space="preserve">= </w:t>
      </w:r>
      <w:r w:rsidRPr="00DB4C3C">
        <w:t xml:space="preserve">the ratio </w:t>
      </w:r>
      <w:r>
        <w:t>of</w:t>
      </w:r>
      <w:r w:rsidRPr="00DB4C3C">
        <w:t xml:space="preserve"> the average size of TPC-author communities </w:t>
      </w:r>
      <w:r>
        <w:t>to</w:t>
      </w:r>
      <w:r w:rsidRPr="00DB4C3C">
        <w:t xml:space="preserve"> the average siz</w:t>
      </w:r>
      <w:r>
        <w:t>e of normal author communities.</w:t>
      </w:r>
    </w:p>
    <w:p w:rsidR="003B336C" w:rsidRDefault="003B336C" w:rsidP="003B336C">
      <w:pPr>
        <w:pStyle w:val="Text"/>
        <w:ind w:firstLine="0"/>
      </w:pPr>
      <w:r>
        <w:t xml:space="preserve">Next, we extracted from the network two different values </w:t>
      </w:r>
      <w:r w:rsidRPr="00DB4C3C">
        <w:t xml:space="preserve">related to </w:t>
      </w:r>
      <w:r>
        <w:t xml:space="preserve">the degree of the nodes, and combined them as follows:  </w:t>
      </w:r>
    </w:p>
    <w:p w:rsidR="003B336C" w:rsidRPr="00E57AB8" w:rsidRDefault="003B336C" w:rsidP="003B336C">
      <w:pPr>
        <w:pStyle w:val="Text"/>
        <w:numPr>
          <w:ilvl w:val="0"/>
          <w:numId w:val="43"/>
        </w:numPr>
      </w:pPr>
      <w:r>
        <w:t>TPC-author degree mean (</w:t>
      </w:r>
      <m:oMath>
        <m:sSub>
          <m:sSubPr>
            <m:ctrlPr>
              <w:rPr>
                <w:rFonts w:ascii="Cambria Math" w:hAnsi="Cambria Math"/>
              </w:rPr>
            </m:ctrlPr>
          </m:sSubPr>
          <m:e>
            <m:r>
              <w:rPr>
                <w:rFonts w:ascii="Cambria Math" w:hAnsi="Cambria Math"/>
              </w:rPr>
              <m:t>d</m:t>
            </m:r>
          </m:e>
          <m:sub>
            <m:r>
              <w:rPr>
                <w:rFonts w:ascii="Cambria Math" w:hAnsi="Cambria Math"/>
              </w:rPr>
              <m:t>tpc-a</m:t>
            </m:r>
          </m:sub>
        </m:sSub>
      </m:oMath>
      <w:r>
        <w:t>)</w:t>
      </w:r>
      <w:r w:rsidRPr="00DB4C3C">
        <w:t xml:space="preserve"> </w:t>
      </w:r>
      <w:r>
        <w:t xml:space="preserve">= </w:t>
      </w:r>
      <w:r w:rsidRPr="00DB4C3C">
        <w:t xml:space="preserve"> the average degr</w:t>
      </w:r>
      <w:r>
        <w:t>ee of TPC-authors in the graph</w:t>
      </w:r>
      <w:r w:rsidRPr="00AD3663">
        <w:t xml:space="preserve">; this is different from community size because community sizes do not take into account connections </w:t>
      </w:r>
      <w:r>
        <w:t xml:space="preserve">outside of communities,  </w:t>
      </w:r>
      <w:r w:rsidRPr="00E57AB8">
        <w:t xml:space="preserve">which are frequently institutional connections that stretch across </w:t>
      </w:r>
      <w:r>
        <w:t>the network between communities,</w:t>
      </w:r>
      <w:r w:rsidRPr="00E57AB8">
        <w:t xml:space="preserve">  </w:t>
      </w:r>
    </w:p>
    <w:p w:rsidR="003B336C" w:rsidRDefault="003B336C" w:rsidP="003B336C">
      <w:pPr>
        <w:pStyle w:val="Text"/>
        <w:numPr>
          <w:ilvl w:val="0"/>
          <w:numId w:val="43"/>
        </w:numPr>
      </w:pPr>
      <w:r>
        <w:t>Author degree mean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 </w:t>
      </w:r>
      <w:r w:rsidRPr="00DB4C3C">
        <w:t>the average degree of all</w:t>
      </w:r>
      <w:r>
        <w:t xml:space="preserve"> authors in the graph, and</w:t>
      </w:r>
      <w:r w:rsidRPr="00DB4C3C">
        <w:t xml:space="preserve"> </w:t>
      </w:r>
    </w:p>
    <w:p w:rsidR="003B336C" w:rsidRDefault="003B336C" w:rsidP="003B336C">
      <w:pPr>
        <w:pStyle w:val="Text"/>
        <w:numPr>
          <w:ilvl w:val="0"/>
          <w:numId w:val="43"/>
        </w:numPr>
      </w:pPr>
      <w:r>
        <w:t>TPC to author degree ratio (</w:t>
      </w:r>
      <m:oMath>
        <m:sSub>
          <m:sSubPr>
            <m:ctrlPr>
              <w:rPr>
                <w:rFonts w:ascii="Cambria Math" w:hAnsi="Cambria Math"/>
              </w:rPr>
            </m:ctrlPr>
          </m:sSubPr>
          <m:e>
            <m:r>
              <w:rPr>
                <w:rFonts w:ascii="Cambria Math" w:hAnsi="Cambria Math"/>
              </w:rPr>
              <m:t xml:space="preserve"> r</m:t>
            </m:r>
          </m:e>
          <m:sub>
            <m:r>
              <w:rPr>
                <w:rFonts w:ascii="Cambria Math" w:hAnsi="Cambria Math"/>
              </w:rPr>
              <m:t>d</m:t>
            </m:r>
          </m:sub>
        </m:sSub>
      </m:oMath>
      <w:r>
        <w:t xml:space="preserve">) = </w:t>
      </w:r>
      <w:r w:rsidRPr="00DB4C3C">
        <w:t xml:space="preserve">the ratio </w:t>
      </w:r>
      <w:r>
        <w:t>of</w:t>
      </w:r>
      <w:r w:rsidRPr="00DB4C3C">
        <w:t xml:space="preserve"> the average degree of TPC-authors </w:t>
      </w:r>
      <w:r>
        <w:t>to the average degree of the general conference authors.</w:t>
      </w:r>
    </w:p>
    <w:p w:rsidR="003B336C" w:rsidRPr="00DB4C3C" w:rsidRDefault="003B336C" w:rsidP="003B336C">
      <w:pPr>
        <w:pStyle w:val="Text"/>
        <w:ind w:firstLine="0"/>
      </w:pPr>
      <w:r>
        <w:t xml:space="preserve">Finally, the total fairness value, that we call the </w:t>
      </w:r>
      <w:r w:rsidRPr="0011693C">
        <w:rPr>
          <w:i/>
        </w:rPr>
        <w:t>fairness quotient</w:t>
      </w:r>
      <w:r>
        <w:t xml:space="preserve"> (</w:t>
      </w:r>
      <m:oMath>
        <m:sSub>
          <m:sSubPr>
            <m:ctrlPr>
              <w:rPr>
                <w:rFonts w:ascii="Cambria Math" w:hAnsi="Cambria Math"/>
              </w:rPr>
            </m:ctrlPr>
          </m:sSubPr>
          <m:e>
            <m:r>
              <w:rPr>
                <w:rFonts w:ascii="Cambria Math" w:hAnsi="Cambria Math"/>
              </w:rPr>
              <m:t>v</m:t>
            </m:r>
          </m:e>
          <m:sub>
            <m:r>
              <w:rPr>
                <w:rFonts w:ascii="Cambria Math" w:hAnsi="Cambria Math"/>
              </w:rPr>
              <m:t>f</m:t>
            </m:r>
          </m:sub>
        </m:sSub>
      </m:oMath>
      <w:r>
        <w:t xml:space="preserve">) of a conference, is calculated from the </w:t>
      </w:r>
      <w:r w:rsidRPr="00DB4C3C">
        <w:t xml:space="preserve">TPC to </w:t>
      </w:r>
      <w:r w:rsidRPr="00DB4C3C">
        <w:lastRenderedPageBreak/>
        <w:t>author community ratio</w:t>
      </w:r>
      <w:r>
        <w:t xml:space="preserve"> (</w:t>
      </w:r>
      <m:oMath>
        <m:sSub>
          <m:sSubPr>
            <m:ctrlPr>
              <w:rPr>
                <w:rFonts w:ascii="Cambria Math" w:hAnsi="Cambria Math"/>
              </w:rPr>
            </m:ctrlPr>
          </m:sSubPr>
          <m:e>
            <m:r>
              <w:rPr>
                <w:rFonts w:ascii="Cambria Math" w:hAnsi="Cambria Math"/>
              </w:rPr>
              <m:t xml:space="preserve"> r</m:t>
            </m:r>
          </m:e>
          <m:sub>
            <m:r>
              <w:rPr>
                <w:rFonts w:ascii="Cambria Math" w:hAnsi="Cambria Math"/>
              </w:rPr>
              <m:t>c</m:t>
            </m:r>
          </m:sub>
        </m:sSub>
      </m:oMath>
      <w:r>
        <w:t>)</w:t>
      </w:r>
      <w:r w:rsidRPr="00DB4C3C">
        <w:t xml:space="preserve"> </w:t>
      </w:r>
      <w:r>
        <w:t>and the TPC to author degree ratio (</w:t>
      </w:r>
      <m:oMath>
        <m:sSub>
          <m:sSubPr>
            <m:ctrlPr>
              <w:rPr>
                <w:rFonts w:ascii="Cambria Math" w:hAnsi="Cambria Math"/>
              </w:rPr>
            </m:ctrlPr>
          </m:sSubPr>
          <m:e>
            <m:r>
              <w:rPr>
                <w:rFonts w:ascii="Cambria Math" w:hAnsi="Cambria Math"/>
              </w:rPr>
              <m:t xml:space="preserve"> r</m:t>
            </m:r>
          </m:e>
          <m:sub>
            <m:r>
              <w:rPr>
                <w:rFonts w:ascii="Cambria Math" w:hAnsi="Cambria Math"/>
              </w:rPr>
              <m:t>d</m:t>
            </m:r>
          </m:sub>
        </m:sSub>
      </m:oMath>
      <w:r>
        <w:t xml:space="preserve">) as follows: </w:t>
      </w:r>
    </w:p>
    <w:p w:rsidR="003B336C" w:rsidRPr="0011693C" w:rsidRDefault="00167287" w:rsidP="003B336C">
      <w:pPr>
        <w:pStyle w:val="ListParagraph"/>
        <w:numPr>
          <w:ilvl w:val="0"/>
          <w:numId w:val="44"/>
        </w:numPr>
      </w:pPr>
      <m:oMath>
        <m:sSub>
          <m:sSubPr>
            <m:ctrlPr>
              <w:rPr>
                <w:rFonts w:ascii="Cambria Math" w:hAnsi="Cambria Math"/>
                <w:b/>
                <w:szCs w:val="20"/>
              </w:rPr>
            </m:ctrlPr>
          </m:sSubPr>
          <m:e>
            <m:r>
              <m:rPr>
                <m:sty m:val="bi"/>
              </m:rPr>
              <w:rPr>
                <w:rFonts w:ascii="Cambria Math" w:hAnsi="Cambria Math"/>
                <w:szCs w:val="20"/>
              </w:rPr>
              <m:t>r</m:t>
            </m:r>
          </m:e>
          <m:sub>
            <m:r>
              <m:rPr>
                <m:sty m:val="bi"/>
              </m:rPr>
              <w:rPr>
                <w:rFonts w:ascii="Cambria Math" w:hAnsi="Cambria Math"/>
                <w:szCs w:val="20"/>
              </w:rPr>
              <m:t>c</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σ</m:t>
            </m:r>
          </m:e>
          <m:sub>
            <m:r>
              <w:rPr>
                <w:rFonts w:ascii="Cambria Math" w:hAnsi="Cambria Math"/>
                <w:szCs w:val="20"/>
              </w:rPr>
              <m:t>1</m:t>
            </m:r>
          </m:sub>
        </m:sSub>
        <m:r>
          <w:rPr>
            <w:rFonts w:ascii="Cambria Math" w:hAnsi="Cambria Math"/>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szCs w:val="20"/>
                  </w:rPr>
                  <m:t>c</m:t>
                </m:r>
              </m:e>
              <m:sub>
                <m:r>
                  <w:rPr>
                    <w:rFonts w:ascii="Cambria Math" w:hAnsi="Cambria Math"/>
                    <w:szCs w:val="20"/>
                  </w:rPr>
                  <m:t>tpc-a</m:t>
                </m:r>
              </m:sub>
            </m:sSub>
          </m:num>
          <m:den>
            <m:sSub>
              <m:sSubPr>
                <m:ctrlPr>
                  <w:rPr>
                    <w:rFonts w:ascii="Cambria Math" w:hAnsi="Cambria Math"/>
                    <w:szCs w:val="20"/>
                  </w:rPr>
                </m:ctrlPr>
              </m:sSubPr>
              <m:e>
                <m:r>
                  <w:rPr>
                    <w:rFonts w:ascii="Cambria Math" w:hAnsi="Cambria Math"/>
                    <w:szCs w:val="20"/>
                  </w:rPr>
                  <m:t>c</m:t>
                </m:r>
              </m:e>
              <m:sub>
                <m:r>
                  <w:rPr>
                    <w:rFonts w:ascii="Cambria Math" w:hAnsi="Cambria Math"/>
                    <w:szCs w:val="20"/>
                  </w:rPr>
                  <m:t>a</m:t>
                </m:r>
              </m:sub>
            </m:sSub>
          </m:den>
        </m:f>
        <m:r>
          <w:rPr>
            <w:rFonts w:ascii="Cambria Math" w:hAnsi="Cambria Math"/>
            <w:szCs w:val="20"/>
          </w:rPr>
          <m:t xml:space="preserve">  </m:t>
        </m:r>
      </m:oMath>
      <w:r w:rsidR="003B336C">
        <w:rPr>
          <w:szCs w:val="20"/>
        </w:rPr>
        <w:t xml:space="preserve"> </w:t>
      </w:r>
    </w:p>
    <w:p w:rsidR="003B336C" w:rsidRPr="0011693C" w:rsidRDefault="003B336C" w:rsidP="003B336C">
      <w:pPr>
        <w:pStyle w:val="ListParagraph"/>
        <w:numPr>
          <w:ilvl w:val="0"/>
          <w:numId w:val="44"/>
        </w:numPr>
      </w:pPr>
      <m:oMath>
        <m:r>
          <w:rPr>
            <w:rFonts w:ascii="Cambria Math" w:hAnsi="Cambria Math"/>
            <w:szCs w:val="20"/>
          </w:rPr>
          <m:t xml:space="preserve"> </m:t>
        </m:r>
        <m:sSub>
          <m:sSubPr>
            <m:ctrlPr>
              <w:rPr>
                <w:rFonts w:ascii="Cambria Math" w:hAnsi="Cambria Math"/>
                <w:b/>
                <w:szCs w:val="20"/>
              </w:rPr>
            </m:ctrlPr>
          </m:sSubPr>
          <m:e>
            <m:r>
              <m:rPr>
                <m:sty m:val="bi"/>
              </m:rPr>
              <w:rPr>
                <w:rFonts w:ascii="Cambria Math" w:hAnsi="Cambria Math"/>
                <w:szCs w:val="20"/>
              </w:rPr>
              <m:t>r</m:t>
            </m:r>
          </m:e>
          <m:sub>
            <m:r>
              <m:rPr>
                <m:sty m:val="bi"/>
              </m:rPr>
              <w:rPr>
                <w:rFonts w:ascii="Cambria Math" w:hAnsi="Cambria Math"/>
                <w:szCs w:val="20"/>
              </w:rPr>
              <m:t>d</m:t>
            </m:r>
          </m:sub>
        </m:sSub>
        <m:r>
          <w:rPr>
            <w:rFonts w:ascii="Cambria Math" w:hAnsi="Cambria Math"/>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szCs w:val="20"/>
                  </w:rPr>
                  <m:t>d</m:t>
                </m:r>
              </m:e>
              <m:sub>
                <m:r>
                  <w:rPr>
                    <w:rFonts w:ascii="Cambria Math" w:hAnsi="Cambria Math"/>
                    <w:szCs w:val="20"/>
                  </w:rPr>
                  <m:t>tpc-a</m:t>
                </m:r>
              </m:sub>
            </m:sSub>
          </m:num>
          <m:den>
            <m:sSub>
              <m:sSubPr>
                <m:ctrlPr>
                  <w:rPr>
                    <w:rFonts w:ascii="Cambria Math" w:hAnsi="Cambria Math"/>
                    <w:szCs w:val="20"/>
                  </w:rPr>
                </m:ctrlPr>
              </m:sSubPr>
              <m:e>
                <m:r>
                  <w:rPr>
                    <w:rFonts w:ascii="Cambria Math" w:hAnsi="Cambria Math"/>
                    <w:szCs w:val="20"/>
                  </w:rPr>
                  <m:t>d</m:t>
                </m:r>
              </m:e>
              <m:sub>
                <m:r>
                  <w:rPr>
                    <w:rFonts w:ascii="Cambria Math" w:hAnsi="Cambria Math"/>
                    <w:szCs w:val="20"/>
                  </w:rPr>
                  <m:t>a</m:t>
                </m:r>
              </m:sub>
            </m:sSub>
          </m:den>
        </m:f>
      </m:oMath>
    </w:p>
    <w:p w:rsidR="003B336C" w:rsidRDefault="00167287" w:rsidP="003B336C">
      <w:pPr>
        <w:pStyle w:val="ListParagraph"/>
        <w:numPr>
          <w:ilvl w:val="0"/>
          <w:numId w:val="44"/>
        </w:numPr>
      </w:pPr>
      <m:oMath>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f</m:t>
            </m:r>
          </m:sub>
        </m:sSub>
        <m:r>
          <w:rPr>
            <w:rFonts w:ascii="Cambria Math" w:hAnsi="Cambria Math"/>
          </w:rPr>
          <m:t>=</m:t>
        </m:r>
        <m:r>
          <w:rPr>
            <w:rFonts w:ascii="Cambria Math" w:hAnsi="Cambria Math"/>
            <w:szCs w:val="20"/>
          </w:rPr>
          <m:t>σ</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num>
          <m:den>
            <m:r>
              <w:rPr>
                <w:rFonts w:ascii="Cambria Math" w:hAnsi="Cambria Math"/>
              </w:rPr>
              <m:t>2</m:t>
            </m:r>
          </m:den>
        </m:f>
        <m:r>
          <w:rPr>
            <w:rFonts w:ascii="Cambria Math" w:hAnsi="Cambria Math"/>
          </w:rPr>
          <m:t>=</m:t>
        </m:r>
        <m:sSub>
          <m:sSubPr>
            <m:ctrlPr>
              <w:rPr>
                <w:rFonts w:ascii="Cambria Math" w:hAnsi="Cambria Math"/>
                <w:i/>
                <w:szCs w:val="20"/>
              </w:rPr>
            </m:ctrlPr>
          </m:sSubPr>
          <m:e>
            <m:r>
              <w:rPr>
                <w:rFonts w:ascii="Cambria Math" w:hAnsi="Cambria Math"/>
                <w:szCs w:val="20"/>
              </w:rPr>
              <m:t>σ</m:t>
            </m:r>
          </m:e>
          <m:sub>
            <m:r>
              <w:rPr>
                <w:rFonts w:ascii="Cambria Math" w:hAnsi="Cambria Math"/>
                <w:szCs w:val="20"/>
              </w:rPr>
              <m:t>1</m:t>
            </m:r>
          </m:sub>
        </m:sSub>
        <m: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tpc-a</m:t>
                    </m:r>
                  </m:sub>
                </m:sSub>
              </m:num>
              <m:den>
                <m:sSub>
                  <m:sSubPr>
                    <m:ctrlPr>
                      <w:rPr>
                        <w:rFonts w:ascii="Cambria Math" w:hAnsi="Cambria Math"/>
                      </w:rPr>
                    </m:ctrlPr>
                  </m:sSubPr>
                  <m:e>
                    <m:r>
                      <w:rPr>
                        <w:rFonts w:ascii="Cambria Math" w:hAnsi="Cambria Math"/>
                      </w:rPr>
                      <m:t>c</m:t>
                    </m:r>
                  </m:e>
                  <m:sub>
                    <m:r>
                      <w:rPr>
                        <w:rFonts w:ascii="Cambria Math" w:hAnsi="Cambria Math"/>
                      </w:rPr>
                      <m:t>a</m:t>
                    </m:r>
                  </m:sub>
                </m:sSub>
              </m:den>
            </m:f>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tpc-a</m:t>
                    </m:r>
                  </m:sub>
                </m:sSub>
              </m:num>
              <m:den>
                <m:sSub>
                  <m:sSubPr>
                    <m:ctrlPr>
                      <w:rPr>
                        <w:rFonts w:ascii="Cambria Math" w:hAnsi="Cambria Math"/>
                      </w:rPr>
                    </m:ctrlPr>
                  </m:sSubPr>
                  <m:e>
                    <m:r>
                      <w:rPr>
                        <w:rFonts w:ascii="Cambria Math" w:hAnsi="Cambria Math"/>
                      </w:rPr>
                      <m:t>d</m:t>
                    </m:r>
                  </m:e>
                  <m:sub>
                    <m:r>
                      <w:rPr>
                        <w:rFonts w:ascii="Cambria Math" w:hAnsi="Cambria Math"/>
                      </w:rPr>
                      <m:t>a</m:t>
                    </m:r>
                  </m:sub>
                </m:sSub>
              </m:den>
            </m:f>
          </m:num>
          <m:den>
            <m:r>
              <w:rPr>
                <w:rFonts w:ascii="Cambria Math" w:hAnsi="Cambria Math"/>
              </w:rPr>
              <m:t>2</m:t>
            </m:r>
          </m:den>
        </m:f>
      </m:oMath>
    </w:p>
    <w:p w:rsidR="003B336C" w:rsidRDefault="003B336C" w:rsidP="003B336C">
      <w:pPr>
        <w:pStyle w:val="ListParagraph"/>
        <w:ind w:firstLine="0"/>
      </w:pPr>
    </w:p>
    <w:p w:rsidR="003B336C" w:rsidRPr="00D00BAE" w:rsidRDefault="003B336C" w:rsidP="003B336C">
      <w:pPr>
        <w:rPr>
          <w:sz w:val="16"/>
        </w:rPr>
      </w:pPr>
      <w:r>
        <w:t xml:space="preserve">    Note</w:t>
      </w:r>
      <w:r w:rsidRPr="00D00BAE">
        <w:rPr>
          <w:sz w:val="22"/>
        </w:rPr>
        <w:t xml:space="preserve">: </w:t>
      </w:r>
      <m:oMath>
        <m:sSub>
          <m:sSubPr>
            <m:ctrlPr>
              <w:rPr>
                <w:rFonts w:ascii="Cambria Math" w:eastAsia="Calibri" w:hAnsi="Cambria Math"/>
                <w:i/>
                <w:sz w:val="22"/>
              </w:rPr>
            </m:ctrlPr>
          </m:sSubPr>
          <m:e>
            <m:r>
              <w:rPr>
                <w:rFonts w:ascii="Cambria Math" w:hAnsi="Cambria Math"/>
              </w:rPr>
              <m:t>σ</m:t>
            </m:r>
          </m:e>
          <m:sub>
            <m:r>
              <w:rPr>
                <w:rFonts w:ascii="Cambria Math" w:hAnsi="Cambria Math"/>
              </w:rPr>
              <m:t>1</m:t>
            </m:r>
          </m:sub>
        </m:sSub>
      </m:oMath>
      <w:r w:rsidRPr="00D00BAE">
        <w:rPr>
          <w:sz w:val="22"/>
        </w:rPr>
        <w:t xml:space="preserve">  </w:t>
      </w:r>
      <w:r>
        <w:t xml:space="preserve">is a re-ranging parameter. We have used </w:t>
      </w:r>
      <m:oMath>
        <m:sSub>
          <m:sSubPr>
            <m:ctrlPr>
              <w:rPr>
                <w:rFonts w:ascii="Cambria Math" w:eastAsia="Calibri" w:hAnsi="Cambria Math"/>
                <w:i/>
                <w:sz w:val="18"/>
              </w:rPr>
            </m:ctrlPr>
          </m:sSubPr>
          <m:e>
            <m:r>
              <w:rPr>
                <w:rFonts w:ascii="Cambria Math" w:hAnsi="Cambria Math"/>
                <w:sz w:val="16"/>
              </w:rPr>
              <m:t>σ</m:t>
            </m:r>
          </m:e>
          <m:sub>
            <m:r>
              <w:rPr>
                <w:rFonts w:ascii="Cambria Math" w:hAnsi="Cambria Math"/>
                <w:sz w:val="16"/>
              </w:rPr>
              <m:t>1</m:t>
            </m:r>
          </m:sub>
        </m:sSub>
        <m:r>
          <w:rPr>
            <w:rFonts w:ascii="Cambria Math" w:hAnsi="Cambria Math"/>
          </w:rPr>
          <m:t>=10.</m:t>
        </m:r>
      </m:oMath>
    </w:p>
    <w:p w:rsidR="003B336C" w:rsidRDefault="003B336C" w:rsidP="003B336C">
      <w:pPr>
        <w:pStyle w:val="Heading1"/>
      </w:pPr>
      <w:bookmarkStart w:id="12" w:name="_Ref427787984"/>
      <w:r w:rsidRPr="00DB4C3C">
        <w:t>results</w:t>
      </w:r>
      <w:bookmarkEnd w:id="12"/>
    </w:p>
    <w:p w:rsidR="003B336C" w:rsidRPr="00DB4C3C" w:rsidRDefault="003B336C" w:rsidP="003B336C">
      <w:pPr>
        <w:pStyle w:val="Text"/>
      </w:pPr>
      <w:r>
        <w:fldChar w:fldCharType="begin"/>
      </w:r>
      <w:r>
        <w:instrText xml:space="preserve"> REF _Ref427788655 \h  \* MERGEFORMAT </w:instrText>
      </w:r>
      <w:r>
        <w:fldChar w:fldCharType="separate"/>
      </w:r>
      <w:r w:rsidR="00050578" w:rsidRPr="008906F0">
        <w:t xml:space="preserve">Table </w:t>
      </w:r>
      <w:r w:rsidR="00050578" w:rsidRPr="00050578">
        <w:rPr>
          <w:noProof/>
        </w:rPr>
        <w:t>1</w:t>
      </w:r>
      <w:r>
        <w:fldChar w:fldCharType="end"/>
      </w:r>
      <w:r>
        <w:t xml:space="preserve"> shows the computed fairness quotient (</w:t>
      </w:r>
      <m:oMath>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f</m:t>
            </m:r>
          </m:sub>
        </m:sSub>
      </m:oMath>
      <w:r>
        <w:rPr>
          <w:b/>
        </w:rPr>
        <w:t>)</w:t>
      </w:r>
      <w:r w:rsidRPr="00DB4C3C">
        <w:rPr>
          <w:rFonts w:eastAsiaTheme="minorEastAsia"/>
          <w:b/>
        </w:rPr>
        <w:t xml:space="preserve"> </w:t>
      </w:r>
      <w:r w:rsidRPr="00DB4C3C">
        <w:rPr>
          <w:rFonts w:eastAsiaTheme="minorEastAsia"/>
        </w:rPr>
        <w:t xml:space="preserve">for each year </w:t>
      </w:r>
      <w:r>
        <w:rPr>
          <w:rFonts w:eastAsiaTheme="minorEastAsia"/>
        </w:rPr>
        <w:t>of the two selected conferences</w:t>
      </w:r>
      <w:r>
        <w:t xml:space="preserve"> (NOCS and ICCAD) over a period of five years. As can be seen,</w:t>
      </w:r>
      <w:r w:rsidRPr="00DB4C3C">
        <w:t xml:space="preserve"> the “fairness” of conferences can </w:t>
      </w:r>
      <w:r>
        <w:t xml:space="preserve">largely </w:t>
      </w:r>
      <w:r w:rsidRPr="00DB4C3C">
        <w:t xml:space="preserve">vary over time. Noticeably, the 2011 and 2012 NOCS conference have very high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f</m:t>
            </m:r>
          </m:sub>
        </m:sSub>
      </m:oMath>
      <w:r w:rsidRPr="00DB4C3C">
        <w:t xml:space="preserve"> values of 38.7 and 33.2 respectively. At </w:t>
      </w:r>
      <w:r>
        <w:t xml:space="preserve">a </w:t>
      </w:r>
      <w:r w:rsidRPr="00DB4C3C">
        <w:t xml:space="preserve">first glance, this may seem like an error in the data or the calculation, but the NOCS 2011 and 2012 conferences have such high scores because they had neither TPC-author collaboration nor institutional connections between the TPC members and the authors. Therefore, they were “perfectly fair” according to our definition of fairness, resulting in </w:t>
      </w:r>
      <w:r>
        <w:t xml:space="preserve">the </w:t>
      </w:r>
      <w:r w:rsidRPr="00DB4C3C">
        <w:t xml:space="preserve">high </w:t>
      </w:r>
      <w:r>
        <w:t xml:space="preserve">fairness scores. </w:t>
      </w:r>
    </w:p>
    <w:p w:rsidR="003B336C" w:rsidRPr="00DB4C3C" w:rsidRDefault="003B336C" w:rsidP="003B336C">
      <w:pPr>
        <w:pStyle w:val="Text"/>
        <w:ind w:firstLine="204"/>
      </w:pPr>
    </w:p>
    <w:p w:rsidR="003B336C" w:rsidRPr="008906F0" w:rsidRDefault="003B336C" w:rsidP="003B336C">
      <w:pPr>
        <w:pStyle w:val="Caption"/>
        <w:jc w:val="center"/>
      </w:pPr>
      <w:bookmarkStart w:id="13" w:name="_Ref427788655"/>
      <w:r w:rsidRPr="008906F0">
        <w:rPr>
          <w:i w:val="0"/>
          <w:color w:val="auto"/>
          <w:sz w:val="20"/>
        </w:rPr>
        <w:t xml:space="preserve">Table </w:t>
      </w:r>
      <w:r w:rsidRPr="008906F0">
        <w:rPr>
          <w:i w:val="0"/>
          <w:color w:val="auto"/>
          <w:sz w:val="20"/>
        </w:rPr>
        <w:fldChar w:fldCharType="begin"/>
      </w:r>
      <w:r w:rsidRPr="008906F0">
        <w:rPr>
          <w:i w:val="0"/>
          <w:color w:val="auto"/>
          <w:sz w:val="20"/>
        </w:rPr>
        <w:instrText xml:space="preserve"> SEQ Table \* ARABIC </w:instrText>
      </w:r>
      <w:r w:rsidRPr="008906F0">
        <w:rPr>
          <w:i w:val="0"/>
          <w:color w:val="auto"/>
          <w:sz w:val="20"/>
        </w:rPr>
        <w:fldChar w:fldCharType="separate"/>
      </w:r>
      <w:r w:rsidR="00050578">
        <w:rPr>
          <w:i w:val="0"/>
          <w:noProof/>
          <w:color w:val="auto"/>
          <w:sz w:val="20"/>
        </w:rPr>
        <w:t>1</w:t>
      </w:r>
      <w:r w:rsidRPr="008906F0">
        <w:rPr>
          <w:i w:val="0"/>
          <w:color w:val="auto"/>
          <w:sz w:val="20"/>
        </w:rPr>
        <w:fldChar w:fldCharType="end"/>
      </w:r>
      <w:bookmarkEnd w:id="13"/>
      <w:r w:rsidRPr="008906F0">
        <w:rPr>
          <w:i w:val="0"/>
          <w:color w:val="auto"/>
          <w:sz w:val="20"/>
        </w:rPr>
        <w:t>. Fairness quotient</w:t>
      </w:r>
      <w:r>
        <w:rPr>
          <w:i w:val="0"/>
          <w:color w:val="auto"/>
          <w:sz w:val="20"/>
        </w:rPr>
        <w:t>s from 2010 to 2014</w:t>
      </w:r>
    </w:p>
    <w:tbl>
      <w:tblPr>
        <w:tblStyle w:val="TableGrid"/>
        <w:tblW w:w="0" w:type="auto"/>
        <w:jc w:val="center"/>
        <w:tblLook w:val="04A0" w:firstRow="1" w:lastRow="0" w:firstColumn="1" w:lastColumn="0" w:noHBand="0" w:noVBand="1"/>
      </w:tblPr>
      <w:tblGrid>
        <w:gridCol w:w="1389"/>
        <w:gridCol w:w="939"/>
        <w:gridCol w:w="720"/>
      </w:tblGrid>
      <w:tr w:rsidR="003B336C" w:rsidRPr="00DB4C3C" w:rsidTr="00A70EC2">
        <w:trPr>
          <w:trHeight w:val="403"/>
          <w:jc w:val="center"/>
        </w:trPr>
        <w:tc>
          <w:tcPr>
            <w:tcW w:w="1389" w:type="dxa"/>
            <w:vAlign w:val="center"/>
          </w:tcPr>
          <w:p w:rsidR="003B336C" w:rsidRPr="00D30915" w:rsidRDefault="003B336C" w:rsidP="00A70EC2">
            <w:pPr>
              <w:pStyle w:val="Text"/>
              <w:ind w:firstLine="0"/>
              <w:jc w:val="center"/>
              <w:rPr>
                <w:rFonts w:ascii="Times New Roman" w:hAnsi="Times New Roman" w:cs="Times New Roman"/>
                <w:b/>
                <w:sz w:val="20"/>
                <w:szCs w:val="20"/>
              </w:rPr>
            </w:pPr>
            <w:r w:rsidRPr="00D30915">
              <w:rPr>
                <w:rFonts w:ascii="Times New Roman" w:hAnsi="Times New Roman" w:cs="Times New Roman"/>
                <w:b/>
                <w:sz w:val="20"/>
                <w:szCs w:val="20"/>
              </w:rPr>
              <w:t>Conference</w:t>
            </w:r>
          </w:p>
        </w:tc>
        <w:tc>
          <w:tcPr>
            <w:tcW w:w="939" w:type="dxa"/>
            <w:vAlign w:val="center"/>
          </w:tcPr>
          <w:p w:rsidR="003B336C" w:rsidRPr="00D30915" w:rsidRDefault="003B336C" w:rsidP="00A70EC2">
            <w:pPr>
              <w:pStyle w:val="Text"/>
              <w:ind w:firstLine="0"/>
              <w:jc w:val="center"/>
              <w:rPr>
                <w:rFonts w:ascii="Times New Roman" w:hAnsi="Times New Roman" w:cs="Times New Roman"/>
                <w:b/>
                <w:sz w:val="20"/>
                <w:szCs w:val="20"/>
              </w:rPr>
            </w:pPr>
            <w:r w:rsidRPr="00D30915">
              <w:rPr>
                <w:rFonts w:ascii="Times New Roman" w:hAnsi="Times New Roman" w:cs="Times New Roman"/>
                <w:b/>
                <w:sz w:val="20"/>
                <w:szCs w:val="20"/>
              </w:rPr>
              <w:t>Year</w:t>
            </w:r>
          </w:p>
        </w:tc>
        <w:tc>
          <w:tcPr>
            <w:tcW w:w="720" w:type="dxa"/>
          </w:tcPr>
          <w:p w:rsidR="003B336C" w:rsidRPr="00D30915" w:rsidRDefault="00167287" w:rsidP="00A70EC2">
            <w:pPr>
              <w:pStyle w:val="Text"/>
              <w:ind w:firstLine="0"/>
              <w:rPr>
                <w:rFonts w:ascii="Times New Roman" w:hAnsi="Times New Roman" w:cs="Times New Roman"/>
                <w:b/>
                <w:sz w:val="20"/>
                <w:szCs w:val="20"/>
              </w:rPr>
            </w:pPr>
            <m:oMathPara>
              <m:oMathParaPr>
                <m:jc m:val="right"/>
              </m:oMathParaP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f</m:t>
                    </m:r>
                  </m:sub>
                </m:sSub>
              </m:oMath>
            </m:oMathPara>
          </w:p>
        </w:tc>
      </w:tr>
      <w:tr w:rsidR="003B336C" w:rsidRPr="00D30915" w:rsidTr="00A70EC2">
        <w:trPr>
          <w:trHeight w:val="288"/>
          <w:jc w:val="center"/>
        </w:trPr>
        <w:tc>
          <w:tcPr>
            <w:tcW w:w="1389" w:type="dxa"/>
            <w:vMerge w:val="restart"/>
            <w:vAlign w:val="center"/>
          </w:tcPr>
          <w:p w:rsidR="003B336C" w:rsidRPr="00D30915" w:rsidRDefault="003B336C" w:rsidP="00A70EC2">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NOCS</w:t>
            </w:r>
          </w:p>
        </w:tc>
        <w:tc>
          <w:tcPr>
            <w:tcW w:w="939" w:type="dxa"/>
            <w:vAlign w:val="center"/>
          </w:tcPr>
          <w:p w:rsidR="003B336C" w:rsidRPr="00D30915" w:rsidRDefault="003B336C" w:rsidP="00A70EC2">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2010</w:t>
            </w:r>
          </w:p>
        </w:tc>
        <w:tc>
          <w:tcPr>
            <w:tcW w:w="720" w:type="dxa"/>
            <w:vAlign w:val="center"/>
          </w:tcPr>
          <w:p w:rsidR="003B336C" w:rsidRPr="00D30915" w:rsidRDefault="003B336C" w:rsidP="00A70EC2">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3.2</w:t>
            </w:r>
          </w:p>
        </w:tc>
      </w:tr>
      <w:tr w:rsidR="003B336C" w:rsidRPr="00D30915" w:rsidTr="00A70EC2">
        <w:trPr>
          <w:trHeight w:val="288"/>
          <w:jc w:val="center"/>
        </w:trPr>
        <w:tc>
          <w:tcPr>
            <w:tcW w:w="1389" w:type="dxa"/>
            <w:vMerge/>
            <w:vAlign w:val="center"/>
          </w:tcPr>
          <w:p w:rsidR="003B336C" w:rsidRPr="00D30915" w:rsidRDefault="003B336C" w:rsidP="00A70EC2">
            <w:pPr>
              <w:pStyle w:val="Text"/>
              <w:ind w:firstLine="0"/>
              <w:jc w:val="center"/>
              <w:rPr>
                <w:rFonts w:ascii="Times New Roman" w:hAnsi="Times New Roman" w:cs="Times New Roman"/>
                <w:sz w:val="20"/>
                <w:szCs w:val="20"/>
              </w:rPr>
            </w:pPr>
          </w:p>
        </w:tc>
        <w:tc>
          <w:tcPr>
            <w:tcW w:w="939" w:type="dxa"/>
            <w:vAlign w:val="center"/>
          </w:tcPr>
          <w:p w:rsidR="003B336C" w:rsidRPr="00D30915" w:rsidRDefault="003B336C" w:rsidP="00A70EC2">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2011</w:t>
            </w:r>
          </w:p>
        </w:tc>
        <w:tc>
          <w:tcPr>
            <w:tcW w:w="720" w:type="dxa"/>
            <w:vAlign w:val="center"/>
          </w:tcPr>
          <w:p w:rsidR="003B336C" w:rsidRPr="00D30915" w:rsidRDefault="003B336C" w:rsidP="00A70EC2">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38.7</w:t>
            </w:r>
          </w:p>
        </w:tc>
      </w:tr>
      <w:tr w:rsidR="003B336C" w:rsidRPr="00D30915" w:rsidTr="00A70EC2">
        <w:trPr>
          <w:trHeight w:val="288"/>
          <w:jc w:val="center"/>
        </w:trPr>
        <w:tc>
          <w:tcPr>
            <w:tcW w:w="1389" w:type="dxa"/>
            <w:vMerge/>
            <w:vAlign w:val="center"/>
          </w:tcPr>
          <w:p w:rsidR="003B336C" w:rsidRPr="00D30915" w:rsidRDefault="003B336C" w:rsidP="00A70EC2">
            <w:pPr>
              <w:pStyle w:val="Text"/>
              <w:ind w:firstLine="0"/>
              <w:jc w:val="center"/>
              <w:rPr>
                <w:rFonts w:ascii="Times New Roman" w:hAnsi="Times New Roman" w:cs="Times New Roman"/>
                <w:sz w:val="20"/>
                <w:szCs w:val="20"/>
              </w:rPr>
            </w:pPr>
          </w:p>
        </w:tc>
        <w:tc>
          <w:tcPr>
            <w:tcW w:w="939" w:type="dxa"/>
            <w:vAlign w:val="center"/>
          </w:tcPr>
          <w:p w:rsidR="003B336C" w:rsidRPr="00D30915" w:rsidRDefault="003B336C" w:rsidP="00A70EC2">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2012</w:t>
            </w:r>
          </w:p>
        </w:tc>
        <w:tc>
          <w:tcPr>
            <w:tcW w:w="720" w:type="dxa"/>
            <w:vAlign w:val="center"/>
          </w:tcPr>
          <w:p w:rsidR="003B336C" w:rsidRPr="00D30915" w:rsidRDefault="003B336C" w:rsidP="00A70EC2">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38.2</w:t>
            </w:r>
          </w:p>
        </w:tc>
      </w:tr>
      <w:tr w:rsidR="003B336C" w:rsidRPr="00D30915" w:rsidTr="00A70EC2">
        <w:trPr>
          <w:trHeight w:val="288"/>
          <w:jc w:val="center"/>
        </w:trPr>
        <w:tc>
          <w:tcPr>
            <w:tcW w:w="1389" w:type="dxa"/>
            <w:vMerge/>
            <w:vAlign w:val="center"/>
          </w:tcPr>
          <w:p w:rsidR="003B336C" w:rsidRPr="00D30915" w:rsidRDefault="003B336C" w:rsidP="00A70EC2">
            <w:pPr>
              <w:pStyle w:val="Text"/>
              <w:ind w:firstLine="0"/>
              <w:jc w:val="center"/>
              <w:rPr>
                <w:rFonts w:ascii="Times New Roman" w:hAnsi="Times New Roman" w:cs="Times New Roman"/>
                <w:sz w:val="20"/>
                <w:szCs w:val="20"/>
              </w:rPr>
            </w:pPr>
          </w:p>
        </w:tc>
        <w:tc>
          <w:tcPr>
            <w:tcW w:w="939" w:type="dxa"/>
            <w:vAlign w:val="center"/>
          </w:tcPr>
          <w:p w:rsidR="003B336C" w:rsidRPr="00D30915" w:rsidRDefault="003B336C" w:rsidP="00A70EC2">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2013</w:t>
            </w:r>
          </w:p>
        </w:tc>
        <w:tc>
          <w:tcPr>
            <w:tcW w:w="720" w:type="dxa"/>
            <w:vAlign w:val="center"/>
          </w:tcPr>
          <w:p w:rsidR="003B336C" w:rsidRPr="00D30915" w:rsidRDefault="003B336C" w:rsidP="00A70EC2">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1.9</w:t>
            </w:r>
          </w:p>
        </w:tc>
      </w:tr>
      <w:tr w:rsidR="003B336C" w:rsidRPr="00D30915" w:rsidTr="00A70EC2">
        <w:trPr>
          <w:trHeight w:val="288"/>
          <w:jc w:val="center"/>
        </w:trPr>
        <w:tc>
          <w:tcPr>
            <w:tcW w:w="1389" w:type="dxa"/>
            <w:vMerge/>
            <w:vAlign w:val="center"/>
          </w:tcPr>
          <w:p w:rsidR="003B336C" w:rsidRPr="00D30915" w:rsidRDefault="003B336C" w:rsidP="00A70EC2">
            <w:pPr>
              <w:pStyle w:val="Text"/>
              <w:ind w:firstLine="0"/>
              <w:jc w:val="center"/>
              <w:rPr>
                <w:rFonts w:ascii="Times New Roman" w:hAnsi="Times New Roman" w:cs="Times New Roman"/>
                <w:sz w:val="20"/>
                <w:szCs w:val="20"/>
              </w:rPr>
            </w:pPr>
          </w:p>
        </w:tc>
        <w:tc>
          <w:tcPr>
            <w:tcW w:w="939" w:type="dxa"/>
            <w:vAlign w:val="center"/>
          </w:tcPr>
          <w:p w:rsidR="003B336C" w:rsidRPr="00D30915" w:rsidRDefault="003B336C" w:rsidP="00A70EC2">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2014</w:t>
            </w:r>
          </w:p>
        </w:tc>
        <w:tc>
          <w:tcPr>
            <w:tcW w:w="720" w:type="dxa"/>
            <w:vAlign w:val="center"/>
          </w:tcPr>
          <w:p w:rsidR="003B336C" w:rsidRPr="00D30915" w:rsidRDefault="003B336C" w:rsidP="00A70EC2">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2.2</w:t>
            </w:r>
          </w:p>
        </w:tc>
      </w:tr>
      <w:tr w:rsidR="003B336C" w:rsidRPr="00D30915" w:rsidTr="00A70EC2">
        <w:trPr>
          <w:trHeight w:val="288"/>
          <w:jc w:val="center"/>
        </w:trPr>
        <w:tc>
          <w:tcPr>
            <w:tcW w:w="1389" w:type="dxa"/>
            <w:vMerge w:val="restart"/>
            <w:vAlign w:val="center"/>
          </w:tcPr>
          <w:p w:rsidR="003B336C" w:rsidRPr="00D30915" w:rsidRDefault="003B336C" w:rsidP="00A70EC2">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ICCAD</w:t>
            </w:r>
          </w:p>
        </w:tc>
        <w:tc>
          <w:tcPr>
            <w:tcW w:w="939" w:type="dxa"/>
            <w:vAlign w:val="center"/>
          </w:tcPr>
          <w:p w:rsidR="003B336C" w:rsidRPr="00D30915" w:rsidRDefault="003B336C" w:rsidP="00A70EC2">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2010</w:t>
            </w:r>
          </w:p>
        </w:tc>
        <w:tc>
          <w:tcPr>
            <w:tcW w:w="720" w:type="dxa"/>
            <w:vAlign w:val="center"/>
          </w:tcPr>
          <w:p w:rsidR="003B336C" w:rsidRPr="00D30915" w:rsidRDefault="003B336C" w:rsidP="00A70EC2">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4.1</w:t>
            </w:r>
          </w:p>
        </w:tc>
      </w:tr>
      <w:tr w:rsidR="003B336C" w:rsidRPr="00D30915" w:rsidTr="00A70EC2">
        <w:trPr>
          <w:trHeight w:val="288"/>
          <w:jc w:val="center"/>
        </w:trPr>
        <w:tc>
          <w:tcPr>
            <w:tcW w:w="1389" w:type="dxa"/>
            <w:vMerge/>
          </w:tcPr>
          <w:p w:rsidR="003B336C" w:rsidRPr="00D30915" w:rsidRDefault="003B336C" w:rsidP="00A70EC2">
            <w:pPr>
              <w:pStyle w:val="Text"/>
              <w:ind w:firstLine="0"/>
              <w:rPr>
                <w:rFonts w:ascii="Times New Roman" w:hAnsi="Times New Roman" w:cs="Times New Roman"/>
                <w:sz w:val="20"/>
                <w:szCs w:val="20"/>
              </w:rPr>
            </w:pPr>
          </w:p>
        </w:tc>
        <w:tc>
          <w:tcPr>
            <w:tcW w:w="939" w:type="dxa"/>
            <w:vAlign w:val="center"/>
          </w:tcPr>
          <w:p w:rsidR="003B336C" w:rsidRPr="00D30915" w:rsidRDefault="003B336C" w:rsidP="00A70EC2">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2011</w:t>
            </w:r>
          </w:p>
        </w:tc>
        <w:tc>
          <w:tcPr>
            <w:tcW w:w="720" w:type="dxa"/>
            <w:vAlign w:val="center"/>
          </w:tcPr>
          <w:p w:rsidR="003B336C" w:rsidRPr="00D30915" w:rsidRDefault="003B336C" w:rsidP="00A70EC2">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5.7</w:t>
            </w:r>
          </w:p>
        </w:tc>
      </w:tr>
      <w:tr w:rsidR="003B336C" w:rsidRPr="00D30915" w:rsidTr="00A70EC2">
        <w:trPr>
          <w:trHeight w:val="288"/>
          <w:jc w:val="center"/>
        </w:trPr>
        <w:tc>
          <w:tcPr>
            <w:tcW w:w="1389" w:type="dxa"/>
            <w:vMerge/>
          </w:tcPr>
          <w:p w:rsidR="003B336C" w:rsidRPr="00D30915" w:rsidRDefault="003B336C" w:rsidP="00A70EC2">
            <w:pPr>
              <w:pStyle w:val="Text"/>
              <w:ind w:firstLine="0"/>
              <w:rPr>
                <w:rFonts w:ascii="Times New Roman" w:hAnsi="Times New Roman" w:cs="Times New Roman"/>
                <w:sz w:val="20"/>
                <w:szCs w:val="20"/>
              </w:rPr>
            </w:pPr>
          </w:p>
        </w:tc>
        <w:tc>
          <w:tcPr>
            <w:tcW w:w="939" w:type="dxa"/>
            <w:vAlign w:val="center"/>
          </w:tcPr>
          <w:p w:rsidR="003B336C" w:rsidRPr="00D30915" w:rsidRDefault="003B336C" w:rsidP="00A70EC2">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2012</w:t>
            </w:r>
          </w:p>
        </w:tc>
        <w:tc>
          <w:tcPr>
            <w:tcW w:w="720" w:type="dxa"/>
            <w:vAlign w:val="center"/>
          </w:tcPr>
          <w:p w:rsidR="003B336C" w:rsidRPr="00D30915" w:rsidRDefault="003B336C" w:rsidP="00A70EC2">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6.1</w:t>
            </w:r>
          </w:p>
        </w:tc>
      </w:tr>
      <w:tr w:rsidR="003B336C" w:rsidRPr="00D30915" w:rsidTr="00A70EC2">
        <w:trPr>
          <w:trHeight w:val="288"/>
          <w:jc w:val="center"/>
        </w:trPr>
        <w:tc>
          <w:tcPr>
            <w:tcW w:w="1389" w:type="dxa"/>
            <w:vMerge/>
          </w:tcPr>
          <w:p w:rsidR="003B336C" w:rsidRPr="00D30915" w:rsidRDefault="003B336C" w:rsidP="00A70EC2">
            <w:pPr>
              <w:pStyle w:val="Text"/>
              <w:ind w:firstLine="0"/>
              <w:rPr>
                <w:rFonts w:ascii="Times New Roman" w:hAnsi="Times New Roman" w:cs="Times New Roman"/>
                <w:sz w:val="20"/>
                <w:szCs w:val="20"/>
              </w:rPr>
            </w:pPr>
          </w:p>
        </w:tc>
        <w:tc>
          <w:tcPr>
            <w:tcW w:w="939" w:type="dxa"/>
            <w:vAlign w:val="center"/>
          </w:tcPr>
          <w:p w:rsidR="003B336C" w:rsidRPr="00D30915" w:rsidRDefault="003B336C" w:rsidP="00A70EC2">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2013</w:t>
            </w:r>
          </w:p>
        </w:tc>
        <w:tc>
          <w:tcPr>
            <w:tcW w:w="720" w:type="dxa"/>
            <w:vAlign w:val="center"/>
          </w:tcPr>
          <w:p w:rsidR="003B336C" w:rsidRPr="00D30915" w:rsidRDefault="003B336C" w:rsidP="00A70EC2">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2.3</w:t>
            </w:r>
          </w:p>
        </w:tc>
      </w:tr>
      <w:tr w:rsidR="003B336C" w:rsidRPr="00D30915" w:rsidTr="00A70EC2">
        <w:trPr>
          <w:trHeight w:val="288"/>
          <w:jc w:val="center"/>
        </w:trPr>
        <w:tc>
          <w:tcPr>
            <w:tcW w:w="1389" w:type="dxa"/>
            <w:vMerge/>
          </w:tcPr>
          <w:p w:rsidR="003B336C" w:rsidRPr="00D30915" w:rsidRDefault="003B336C" w:rsidP="00A70EC2">
            <w:pPr>
              <w:pStyle w:val="Text"/>
              <w:ind w:firstLine="0"/>
              <w:rPr>
                <w:rFonts w:ascii="Times New Roman" w:hAnsi="Times New Roman" w:cs="Times New Roman"/>
                <w:sz w:val="20"/>
                <w:szCs w:val="20"/>
              </w:rPr>
            </w:pPr>
          </w:p>
        </w:tc>
        <w:tc>
          <w:tcPr>
            <w:tcW w:w="939" w:type="dxa"/>
            <w:vAlign w:val="center"/>
          </w:tcPr>
          <w:p w:rsidR="003B336C" w:rsidRPr="00D30915" w:rsidRDefault="003B336C" w:rsidP="00A70EC2">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2014</w:t>
            </w:r>
          </w:p>
        </w:tc>
        <w:tc>
          <w:tcPr>
            <w:tcW w:w="720" w:type="dxa"/>
            <w:vAlign w:val="center"/>
          </w:tcPr>
          <w:p w:rsidR="003B336C" w:rsidRPr="00D30915" w:rsidRDefault="003B336C" w:rsidP="00A70EC2">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6.5</w:t>
            </w:r>
          </w:p>
        </w:tc>
      </w:tr>
    </w:tbl>
    <w:p w:rsidR="003B336C" w:rsidRPr="00D30915" w:rsidRDefault="003B336C" w:rsidP="003B336C">
      <w:pPr>
        <w:pStyle w:val="Text"/>
        <w:ind w:firstLine="204"/>
      </w:pPr>
    </w:p>
    <w:p w:rsidR="003B336C" w:rsidRPr="00125528" w:rsidRDefault="003B336C" w:rsidP="003B336C">
      <w:pPr>
        <w:pStyle w:val="Text"/>
      </w:pPr>
      <w:r w:rsidRPr="00DB4C3C">
        <w:t xml:space="preserve">In order to determine the correctness of </w:t>
      </w:r>
      <w:r>
        <w:t>our</w:t>
      </w:r>
      <w:r w:rsidRPr="00DB4C3C">
        <w:t xml:space="preserve"> method of </w:t>
      </w:r>
      <w:r>
        <w:t>determining</w:t>
      </w:r>
      <w:r w:rsidRPr="00DB4C3C">
        <w:t xml:space="preserve"> fairness </w:t>
      </w:r>
      <w:r>
        <w:t>of conferences</w:t>
      </w:r>
      <w:r w:rsidRPr="00DB4C3C">
        <w:t xml:space="preserve">, </w:t>
      </w:r>
      <w:r>
        <w:t>we compared our analytical results with the fairness</w:t>
      </w:r>
      <w:r w:rsidRPr="00DB4C3C">
        <w:t xml:space="preserve"> determined from </w:t>
      </w:r>
      <w:r>
        <w:t xml:space="preserve">a </w:t>
      </w:r>
      <w:r w:rsidRPr="00DB4C3C">
        <w:t>manual visual analysis of the same conferences.</w:t>
      </w:r>
      <w:r>
        <w:t xml:space="preserve"> </w:t>
      </w:r>
      <w:r w:rsidRPr="00B044F8">
        <w:t>For the NOCS conferences,</w:t>
      </w:r>
      <w:r>
        <w:t xml:space="preserve"> we found</w:t>
      </w:r>
      <w:r w:rsidRPr="00B044F8">
        <w:t xml:space="preserve"> </w:t>
      </w:r>
      <m:oMath>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f</m:t>
            </m:r>
          </m:sub>
        </m:sSub>
      </m:oMath>
      <w:r w:rsidRPr="00B044F8">
        <w:rPr>
          <w:b/>
        </w:rPr>
        <w:t xml:space="preserve"> </w:t>
      </w:r>
      <w:r>
        <w:t>to be</w:t>
      </w:r>
      <w:r w:rsidRPr="00B044F8">
        <w:t xml:space="preserve"> an excellent measure of the fairness</w:t>
      </w:r>
      <w:r>
        <w:t xml:space="preserve"> for any particular year. </w:t>
      </w:r>
      <w:r w:rsidRPr="00B044F8">
        <w:t xml:space="preserve">However there was a problem in determining the average fairness as explained next. </w:t>
      </w:r>
    </w:p>
    <w:p w:rsidR="003B336C" w:rsidRPr="00125528" w:rsidRDefault="003B336C" w:rsidP="003B336C">
      <w:pPr>
        <w:pStyle w:val="Heading2"/>
      </w:pPr>
      <w:r w:rsidRPr="00125528">
        <w:t xml:space="preserve">Average Fairness </w:t>
      </w:r>
      <w:r>
        <w:t>Interpretation</w:t>
      </w:r>
    </w:p>
    <w:p w:rsidR="003B336C" w:rsidRPr="00125528" w:rsidRDefault="003B336C" w:rsidP="003B336C">
      <w:pPr>
        <w:pStyle w:val="Text"/>
        <w:ind w:firstLine="204"/>
        <w:rPr>
          <w:rFonts w:eastAsiaTheme="minorEastAsia"/>
        </w:rPr>
      </w:pPr>
      <w:r w:rsidRPr="00125528">
        <w:rPr>
          <w:rFonts w:eastAsiaTheme="minorEastAsia"/>
        </w:rPr>
        <w:t xml:space="preserve">To understand the </w:t>
      </w:r>
      <w:r>
        <w:rPr>
          <w:rFonts w:eastAsiaTheme="minorEastAsia"/>
        </w:rPr>
        <w:t xml:space="preserve">significance and the </w:t>
      </w:r>
      <w:r w:rsidRPr="00125528">
        <w:rPr>
          <w:rFonts w:eastAsiaTheme="minorEastAsia"/>
        </w:rPr>
        <w:t xml:space="preserve">problem of averages, let us consider the following </w:t>
      </w:r>
      <w:r>
        <w:rPr>
          <w:rFonts w:eastAsiaTheme="minorEastAsia"/>
        </w:rPr>
        <w:t>average</w:t>
      </w:r>
      <w:r w:rsidRPr="00125528">
        <w:rPr>
          <w:rFonts w:eastAsiaTheme="minorEastAsia"/>
        </w:rPr>
        <w:t xml:space="preserve"> </w:t>
      </w:r>
      <w:r>
        <w:rPr>
          <w:rFonts w:eastAsiaTheme="minorEastAsia"/>
        </w:rPr>
        <w:t xml:space="preserve">values of the </w:t>
      </w:r>
      <w:r w:rsidRPr="00125528">
        <w:rPr>
          <w:rFonts w:eastAsiaTheme="minorEastAsia"/>
        </w:rPr>
        <w:t xml:space="preserve">fairness quotient: </w:t>
      </w:r>
    </w:p>
    <w:p w:rsidR="003B336C" w:rsidRDefault="00167287" w:rsidP="003B336C">
      <w:pPr>
        <w:pStyle w:val="Text"/>
        <w:numPr>
          <w:ilvl w:val="0"/>
          <w:numId w:val="45"/>
        </w:numPr>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v</m:t>
                </m:r>
              </m:e>
            </m:acc>
          </m:e>
          <m:sub>
            <m:r>
              <w:rPr>
                <w:rFonts w:ascii="Cambria Math" w:hAnsi="Cambria Math"/>
              </w:rPr>
              <m:t>f-total</m:t>
            </m:r>
          </m:sub>
        </m:sSub>
      </m:oMath>
      <w:r w:rsidR="003B336C" w:rsidRPr="00125528">
        <w:rPr>
          <w:rFonts w:eastAsiaTheme="minorEastAsia"/>
        </w:rPr>
        <w:t xml:space="preserve"> </w:t>
      </w:r>
      <w:r w:rsidR="003B336C">
        <w:rPr>
          <w:rFonts w:eastAsiaTheme="minorEastAsia"/>
        </w:rPr>
        <w:t>= a</w:t>
      </w:r>
      <w:r w:rsidR="003B336C" w:rsidRPr="00125528">
        <w:rPr>
          <w:rFonts w:eastAsiaTheme="minorEastAsia"/>
        </w:rPr>
        <w:t>verage fairness quotient calculated for NOCS and ICCAD over five years</w:t>
      </w:r>
      <w:r w:rsidR="003B336C">
        <w:rPr>
          <w:rFonts w:eastAsiaTheme="minorEastAsia"/>
        </w:rPr>
        <w:t>,</w:t>
      </w:r>
    </w:p>
    <w:p w:rsidR="003B336C" w:rsidRPr="009D6DFB" w:rsidRDefault="00167287" w:rsidP="003B336C">
      <w:pPr>
        <w:pStyle w:val="Text"/>
        <w:numPr>
          <w:ilvl w:val="0"/>
          <w:numId w:val="45"/>
        </w:numPr>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v</m:t>
                </m:r>
              </m:e>
            </m:acc>
          </m:e>
          <m:sub>
            <m:r>
              <w:rPr>
                <w:rFonts w:ascii="Cambria Math" w:hAnsi="Cambria Math"/>
              </w:rPr>
              <m:t>f-total-subset</m:t>
            </m:r>
          </m:sub>
        </m:sSub>
      </m:oMath>
      <w:r w:rsidR="003B336C">
        <w:t xml:space="preserve"> = a</w:t>
      </w:r>
      <w:r w:rsidR="003B336C" w:rsidRPr="00125528">
        <w:t xml:space="preserve">verage fairness quotient calculated for </w:t>
      </w:r>
      <w:r w:rsidR="003B336C">
        <w:t>NOCS and ICCAD excluding years 2011 and 2012,</w:t>
      </w:r>
    </w:p>
    <w:p w:rsidR="003B336C" w:rsidRPr="009D6DFB" w:rsidRDefault="00167287" w:rsidP="003B336C">
      <w:pPr>
        <w:pStyle w:val="Text"/>
        <w:numPr>
          <w:ilvl w:val="0"/>
          <w:numId w:val="45"/>
        </w:numPr>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v</m:t>
                </m:r>
              </m:e>
            </m:acc>
          </m:e>
          <m:sub>
            <m:r>
              <w:rPr>
                <w:rFonts w:ascii="Cambria Math" w:hAnsi="Cambria Math"/>
              </w:rPr>
              <m:t>f-nocs</m:t>
            </m:r>
          </m:sub>
        </m:sSub>
        <m:r>
          <w:rPr>
            <w:rFonts w:ascii="Cambria Math" w:hAnsi="Cambria Math"/>
          </w:rPr>
          <m:t xml:space="preserve"> </m:t>
        </m:r>
      </m:oMath>
      <w:r w:rsidR="003B336C">
        <w:rPr>
          <w:rFonts w:eastAsiaTheme="minorEastAsia"/>
        </w:rPr>
        <w:t>= a</w:t>
      </w:r>
      <w:r w:rsidR="003B336C" w:rsidRPr="00125528">
        <w:rPr>
          <w:rFonts w:eastAsiaTheme="minorEastAsia"/>
        </w:rPr>
        <w:t xml:space="preserve">verage fairness quotient calculated for NOCS </w:t>
      </w:r>
      <w:r w:rsidR="003B336C">
        <w:rPr>
          <w:rFonts w:eastAsiaTheme="minorEastAsia"/>
        </w:rPr>
        <w:t>over five years,</w:t>
      </w:r>
    </w:p>
    <w:p w:rsidR="003B336C" w:rsidRPr="00125528" w:rsidRDefault="00167287" w:rsidP="003B336C">
      <w:pPr>
        <w:pStyle w:val="Text"/>
        <w:numPr>
          <w:ilvl w:val="0"/>
          <w:numId w:val="45"/>
        </w:numPr>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v</m:t>
                </m:r>
              </m:e>
            </m:acc>
          </m:e>
          <m:sub>
            <m:r>
              <w:rPr>
                <w:rFonts w:ascii="Cambria Math" w:hAnsi="Cambria Math"/>
              </w:rPr>
              <m:t>f-nocs-subset</m:t>
            </m:r>
          </m:sub>
        </m:sSub>
        <m:r>
          <w:rPr>
            <w:rFonts w:ascii="Cambria Math" w:hAnsi="Cambria Math"/>
          </w:rPr>
          <m:t xml:space="preserve"> </m:t>
        </m:r>
      </m:oMath>
      <w:r w:rsidR="003B336C">
        <w:rPr>
          <w:rFonts w:eastAsiaTheme="minorEastAsia"/>
        </w:rPr>
        <w:t>= a</w:t>
      </w:r>
      <w:r w:rsidR="003B336C" w:rsidRPr="00125528">
        <w:rPr>
          <w:rFonts w:eastAsiaTheme="minorEastAsia"/>
        </w:rPr>
        <w:t>verage fairness quotient calculated for NOCS disregarding years 2011 and 2012</w:t>
      </w:r>
      <w:r w:rsidR="003B336C">
        <w:rPr>
          <w:rFonts w:eastAsiaTheme="minorEastAsia"/>
        </w:rPr>
        <w:t>, and</w:t>
      </w:r>
    </w:p>
    <w:p w:rsidR="003B336C" w:rsidRPr="00125528" w:rsidRDefault="00167287" w:rsidP="003B336C">
      <w:pPr>
        <w:pStyle w:val="Text"/>
        <w:numPr>
          <w:ilvl w:val="0"/>
          <w:numId w:val="45"/>
        </w:numPr>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v</m:t>
                </m:r>
              </m:e>
            </m:acc>
          </m:e>
          <m:sub>
            <m:r>
              <w:rPr>
                <w:rFonts w:ascii="Cambria Math" w:hAnsi="Cambria Math"/>
              </w:rPr>
              <m:t>f-iccad</m:t>
            </m:r>
          </m:sub>
        </m:sSub>
      </m:oMath>
      <w:r w:rsidR="003B336C">
        <w:rPr>
          <w:rFonts w:eastAsiaTheme="minorEastAsia"/>
        </w:rPr>
        <w:t xml:space="preserve"> = a</w:t>
      </w:r>
      <w:r w:rsidR="003B336C" w:rsidRPr="00125528">
        <w:rPr>
          <w:rFonts w:eastAsiaTheme="minorEastAsia"/>
        </w:rPr>
        <w:t>verage fairness quotient calculated for ICCAD over five years</w:t>
      </w:r>
      <w:r w:rsidR="003B336C">
        <w:rPr>
          <w:rFonts w:eastAsiaTheme="minorEastAsia"/>
        </w:rPr>
        <w:t>.</w:t>
      </w:r>
    </w:p>
    <w:p w:rsidR="003B336C" w:rsidRPr="00DB4C3C" w:rsidRDefault="003B336C" w:rsidP="003B336C">
      <w:pPr>
        <w:pStyle w:val="Text"/>
        <w:ind w:firstLine="0"/>
      </w:pPr>
      <w:r>
        <w:t xml:space="preserve">The values of the average fairness quotients are shown in </w:t>
      </w:r>
      <w:r w:rsidRPr="00D86C77">
        <w:rPr>
          <w:rFonts w:eastAsiaTheme="minorEastAsia"/>
        </w:rPr>
        <w:fldChar w:fldCharType="begin"/>
      </w:r>
      <w:r w:rsidRPr="00D86C77">
        <w:rPr>
          <w:rFonts w:eastAsiaTheme="minorEastAsia"/>
        </w:rPr>
        <w:instrText xml:space="preserve"> REF _Ref427945326 \h  \* MERGEFORMAT </w:instrText>
      </w:r>
      <w:r w:rsidRPr="00D86C77">
        <w:rPr>
          <w:rFonts w:eastAsiaTheme="minorEastAsia"/>
        </w:rPr>
      </w:r>
      <w:r w:rsidRPr="00D86C77">
        <w:rPr>
          <w:rFonts w:eastAsiaTheme="minorEastAsia"/>
        </w:rPr>
        <w:fldChar w:fldCharType="separate"/>
      </w:r>
      <w:r w:rsidR="00050578" w:rsidRPr="00DB4C3C">
        <w:t xml:space="preserve">Table </w:t>
      </w:r>
      <w:r w:rsidR="00050578" w:rsidRPr="00050578">
        <w:rPr>
          <w:noProof/>
        </w:rPr>
        <w:t>2</w:t>
      </w:r>
      <w:r w:rsidRPr="00D86C77">
        <w:rPr>
          <w:rFonts w:eastAsiaTheme="minorEastAsia"/>
        </w:rPr>
        <w:fldChar w:fldCharType="end"/>
      </w:r>
      <w:r w:rsidRPr="00D86C77">
        <w:rPr>
          <w:rFonts w:eastAsiaTheme="minorEastAsia"/>
        </w:rPr>
        <w:t>.</w:t>
      </w:r>
      <w:r>
        <w:rPr>
          <w:rFonts w:eastAsiaTheme="minorEastAsia"/>
        </w:rPr>
        <w:t xml:space="preserve"> </w:t>
      </w:r>
    </w:p>
    <w:p w:rsidR="003B336C" w:rsidRPr="00DB4C3C" w:rsidRDefault="003B336C" w:rsidP="003B336C">
      <w:pPr>
        <w:pStyle w:val="Text"/>
        <w:ind w:firstLine="204"/>
        <w:jc w:val="center"/>
        <w:rPr>
          <w:sz w:val="22"/>
        </w:rPr>
      </w:pPr>
    </w:p>
    <w:p w:rsidR="003B336C" w:rsidRPr="00DB4C3C" w:rsidRDefault="003B336C" w:rsidP="003B336C">
      <w:pPr>
        <w:pStyle w:val="Caption"/>
        <w:jc w:val="center"/>
        <w:rPr>
          <w:i w:val="0"/>
          <w:color w:val="auto"/>
          <w:sz w:val="20"/>
        </w:rPr>
      </w:pPr>
      <w:bookmarkStart w:id="14" w:name="_Ref427945326"/>
      <w:r w:rsidRPr="00DB4C3C">
        <w:rPr>
          <w:i w:val="0"/>
          <w:color w:val="auto"/>
          <w:sz w:val="20"/>
        </w:rPr>
        <w:t xml:space="preserve">Table </w:t>
      </w:r>
      <w:r w:rsidRPr="00DB4C3C">
        <w:rPr>
          <w:i w:val="0"/>
          <w:color w:val="auto"/>
          <w:sz w:val="20"/>
        </w:rPr>
        <w:fldChar w:fldCharType="begin"/>
      </w:r>
      <w:r w:rsidRPr="00DB4C3C">
        <w:rPr>
          <w:i w:val="0"/>
          <w:color w:val="auto"/>
          <w:sz w:val="20"/>
        </w:rPr>
        <w:instrText xml:space="preserve"> SEQ Table \* ARABIC </w:instrText>
      </w:r>
      <w:r w:rsidRPr="00DB4C3C">
        <w:rPr>
          <w:i w:val="0"/>
          <w:color w:val="auto"/>
          <w:sz w:val="20"/>
        </w:rPr>
        <w:fldChar w:fldCharType="separate"/>
      </w:r>
      <w:r w:rsidR="00050578">
        <w:rPr>
          <w:i w:val="0"/>
          <w:noProof/>
          <w:color w:val="auto"/>
          <w:sz w:val="20"/>
        </w:rPr>
        <w:t>2</w:t>
      </w:r>
      <w:r w:rsidRPr="00DB4C3C">
        <w:rPr>
          <w:i w:val="0"/>
          <w:color w:val="auto"/>
          <w:sz w:val="20"/>
        </w:rPr>
        <w:fldChar w:fldCharType="end"/>
      </w:r>
      <w:bookmarkEnd w:id="14"/>
      <w:r w:rsidRPr="00DB4C3C">
        <w:rPr>
          <w:i w:val="0"/>
          <w:color w:val="auto"/>
          <w:sz w:val="20"/>
        </w:rPr>
        <w:t xml:space="preserve">. </w:t>
      </w:r>
      <w:r>
        <w:rPr>
          <w:i w:val="0"/>
          <w:color w:val="auto"/>
          <w:sz w:val="20"/>
        </w:rPr>
        <w:t>Fairness averages for datasets</w:t>
      </w:r>
    </w:p>
    <w:tbl>
      <w:tblPr>
        <w:tblStyle w:val="TableGrid"/>
        <w:tblW w:w="0" w:type="auto"/>
        <w:jc w:val="center"/>
        <w:tblLook w:val="04A0" w:firstRow="1" w:lastRow="0" w:firstColumn="1" w:lastColumn="0" w:noHBand="0" w:noVBand="1"/>
      </w:tblPr>
      <w:tblGrid>
        <w:gridCol w:w="1762"/>
        <w:gridCol w:w="900"/>
      </w:tblGrid>
      <w:tr w:rsidR="003B336C" w:rsidRPr="00DB4C3C" w:rsidTr="00A70EC2">
        <w:trPr>
          <w:trHeight w:val="309"/>
          <w:jc w:val="center"/>
        </w:trPr>
        <w:tc>
          <w:tcPr>
            <w:tcW w:w="1762" w:type="dxa"/>
          </w:tcPr>
          <w:p w:rsidR="003B336C" w:rsidRPr="00935D97" w:rsidRDefault="003B336C" w:rsidP="00A70EC2">
            <w:pPr>
              <w:jc w:val="center"/>
              <w:rPr>
                <w:rFonts w:ascii="Times New Roman" w:hAnsi="Times New Roman" w:cs="Times New Roman"/>
                <w:b/>
                <w:sz w:val="20"/>
              </w:rPr>
            </w:pPr>
            <w:r w:rsidRPr="00935D97">
              <w:rPr>
                <w:rFonts w:ascii="Times New Roman" w:hAnsi="Times New Roman" w:cs="Times New Roman"/>
                <w:b/>
                <w:sz w:val="20"/>
              </w:rPr>
              <w:t>Average quotient</w:t>
            </w:r>
          </w:p>
        </w:tc>
        <w:tc>
          <w:tcPr>
            <w:tcW w:w="900" w:type="dxa"/>
          </w:tcPr>
          <w:p w:rsidR="003B336C" w:rsidRPr="00935D97" w:rsidRDefault="003B336C" w:rsidP="00A70EC2">
            <w:pPr>
              <w:jc w:val="center"/>
              <w:rPr>
                <w:rFonts w:ascii="Times New Roman" w:hAnsi="Times New Roman" w:cs="Times New Roman"/>
                <w:b/>
                <w:sz w:val="20"/>
              </w:rPr>
            </w:pPr>
            <w:r w:rsidRPr="00935D97">
              <w:rPr>
                <w:rFonts w:ascii="Times New Roman" w:hAnsi="Times New Roman" w:cs="Times New Roman"/>
                <w:b/>
                <w:sz w:val="20"/>
              </w:rPr>
              <w:t>Value</w:t>
            </w:r>
          </w:p>
        </w:tc>
      </w:tr>
      <w:tr w:rsidR="003B336C" w:rsidRPr="00DB4C3C" w:rsidTr="00A70EC2">
        <w:trPr>
          <w:trHeight w:val="346"/>
          <w:jc w:val="center"/>
        </w:trPr>
        <w:tc>
          <w:tcPr>
            <w:tcW w:w="1762" w:type="dxa"/>
            <w:vAlign w:val="center"/>
          </w:tcPr>
          <w:p w:rsidR="003B336C" w:rsidRPr="00AA5C84" w:rsidRDefault="00167287" w:rsidP="00A70EC2">
            <w:pPr>
              <w:rPr>
                <w:rFonts w:ascii="Times New Roman" w:hAnsi="Times New Roman" w:cs="Times New Roman"/>
              </w:rPr>
            </w:pPr>
            <m:oMathPara>
              <m:oMathParaPr>
                <m:jc m:val="left"/>
              </m:oMathParaP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f-total</m:t>
                    </m:r>
                  </m:sub>
                </m:sSub>
              </m:oMath>
            </m:oMathPara>
          </w:p>
        </w:tc>
        <w:tc>
          <w:tcPr>
            <w:tcW w:w="900" w:type="dxa"/>
            <w:vAlign w:val="center"/>
          </w:tcPr>
          <w:p w:rsidR="003B336C" w:rsidRPr="00DB4C3C" w:rsidRDefault="003B336C" w:rsidP="00A70EC2">
            <w:pPr>
              <w:jc w:val="right"/>
              <w:rPr>
                <w:rFonts w:ascii="Times New Roman" w:hAnsi="Times New Roman" w:cs="Times New Roman"/>
              </w:rPr>
            </w:pPr>
            <w:r w:rsidRPr="00DB4C3C">
              <w:rPr>
                <w:rFonts w:ascii="Times New Roman" w:hAnsi="Times New Roman" w:cs="Times New Roman"/>
              </w:rPr>
              <w:t>10.39</w:t>
            </w:r>
          </w:p>
        </w:tc>
      </w:tr>
      <w:tr w:rsidR="003B336C" w:rsidRPr="00DB4C3C" w:rsidTr="00A70EC2">
        <w:trPr>
          <w:trHeight w:val="346"/>
          <w:jc w:val="center"/>
        </w:trPr>
        <w:tc>
          <w:tcPr>
            <w:tcW w:w="1762" w:type="dxa"/>
            <w:vAlign w:val="center"/>
          </w:tcPr>
          <w:p w:rsidR="003B336C" w:rsidRPr="00AA5C84" w:rsidRDefault="00167287" w:rsidP="00A70EC2">
            <w:pPr>
              <w:rPr>
                <w:rFonts w:ascii="Times New Roman" w:hAnsi="Times New Roman" w:cs="Times New Roman"/>
              </w:rPr>
            </w:pPr>
            <m:oMathPara>
              <m:oMathParaPr>
                <m:jc m:val="left"/>
              </m:oMathParaP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f-total-subset</m:t>
                    </m:r>
                  </m:sub>
                </m:sSub>
              </m:oMath>
            </m:oMathPara>
          </w:p>
        </w:tc>
        <w:tc>
          <w:tcPr>
            <w:tcW w:w="900" w:type="dxa"/>
            <w:vAlign w:val="center"/>
          </w:tcPr>
          <w:p w:rsidR="003B336C" w:rsidRPr="00DB4C3C" w:rsidRDefault="003B336C" w:rsidP="00A70EC2">
            <w:pPr>
              <w:jc w:val="right"/>
              <w:rPr>
                <w:rFonts w:ascii="Times New Roman" w:hAnsi="Times New Roman" w:cs="Times New Roman"/>
              </w:rPr>
            </w:pPr>
            <w:r w:rsidRPr="00DB4C3C">
              <w:rPr>
                <w:rFonts w:ascii="Times New Roman" w:hAnsi="Times New Roman" w:cs="Times New Roman"/>
              </w:rPr>
              <w:t>4.00</w:t>
            </w:r>
          </w:p>
        </w:tc>
      </w:tr>
      <w:tr w:rsidR="003B336C" w:rsidRPr="00DB4C3C" w:rsidTr="00A70EC2">
        <w:trPr>
          <w:trHeight w:val="328"/>
          <w:jc w:val="center"/>
        </w:trPr>
        <w:tc>
          <w:tcPr>
            <w:tcW w:w="1762" w:type="dxa"/>
            <w:vAlign w:val="center"/>
          </w:tcPr>
          <w:p w:rsidR="003B336C" w:rsidRPr="00AA5C84" w:rsidRDefault="00167287" w:rsidP="00A70EC2">
            <w:pPr>
              <w:rPr>
                <w:rFonts w:ascii="Times New Roman" w:hAnsi="Times New Roman" w:cs="Times New Roman"/>
              </w:rPr>
            </w:pPr>
            <m:oMathPara>
              <m:oMathParaPr>
                <m:jc m:val="left"/>
              </m:oMathParaP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f-nocs</m:t>
                    </m:r>
                  </m:sub>
                </m:sSub>
              </m:oMath>
            </m:oMathPara>
          </w:p>
        </w:tc>
        <w:tc>
          <w:tcPr>
            <w:tcW w:w="900" w:type="dxa"/>
            <w:vAlign w:val="center"/>
          </w:tcPr>
          <w:p w:rsidR="003B336C" w:rsidRPr="00DB4C3C" w:rsidRDefault="003B336C" w:rsidP="00A70EC2">
            <w:pPr>
              <w:jc w:val="right"/>
              <w:rPr>
                <w:rFonts w:ascii="Times New Roman" w:hAnsi="Times New Roman" w:cs="Times New Roman"/>
              </w:rPr>
            </w:pPr>
            <w:r w:rsidRPr="00DB4C3C">
              <w:rPr>
                <w:rFonts w:ascii="Times New Roman" w:hAnsi="Times New Roman" w:cs="Times New Roman"/>
              </w:rPr>
              <w:t>15.84</w:t>
            </w:r>
          </w:p>
        </w:tc>
      </w:tr>
      <w:tr w:rsidR="003B336C" w:rsidRPr="00DB4C3C" w:rsidTr="00A70EC2">
        <w:trPr>
          <w:trHeight w:val="346"/>
          <w:jc w:val="center"/>
        </w:trPr>
        <w:tc>
          <w:tcPr>
            <w:tcW w:w="1762" w:type="dxa"/>
            <w:vAlign w:val="center"/>
          </w:tcPr>
          <w:p w:rsidR="003B336C" w:rsidRPr="00AA5C84" w:rsidRDefault="00167287" w:rsidP="00A70EC2">
            <w:pPr>
              <w:rPr>
                <w:rFonts w:ascii="Times New Roman" w:hAnsi="Times New Roman" w:cs="Times New Roman"/>
              </w:rPr>
            </w:pPr>
            <m:oMathPara>
              <m:oMathParaPr>
                <m:jc m:val="left"/>
              </m:oMathParaP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f-nocs-subset</m:t>
                    </m:r>
                  </m:sub>
                </m:sSub>
              </m:oMath>
            </m:oMathPara>
          </w:p>
        </w:tc>
        <w:tc>
          <w:tcPr>
            <w:tcW w:w="900" w:type="dxa"/>
            <w:vAlign w:val="center"/>
          </w:tcPr>
          <w:p w:rsidR="003B336C" w:rsidRPr="00DB4C3C" w:rsidRDefault="003B336C" w:rsidP="00A70EC2">
            <w:pPr>
              <w:jc w:val="right"/>
              <w:rPr>
                <w:rFonts w:ascii="Times New Roman" w:hAnsi="Times New Roman" w:cs="Times New Roman"/>
              </w:rPr>
            </w:pPr>
            <w:r w:rsidRPr="00DB4C3C">
              <w:rPr>
                <w:rFonts w:ascii="Times New Roman" w:hAnsi="Times New Roman" w:cs="Times New Roman"/>
              </w:rPr>
              <w:t>2.43</w:t>
            </w:r>
          </w:p>
        </w:tc>
      </w:tr>
      <w:tr w:rsidR="003B336C" w:rsidRPr="00DB4C3C" w:rsidTr="00A70EC2">
        <w:trPr>
          <w:trHeight w:val="346"/>
          <w:jc w:val="center"/>
        </w:trPr>
        <w:tc>
          <w:tcPr>
            <w:tcW w:w="1762" w:type="dxa"/>
            <w:vAlign w:val="center"/>
          </w:tcPr>
          <w:p w:rsidR="003B336C" w:rsidRPr="00AA5C84" w:rsidRDefault="00167287" w:rsidP="00A70EC2">
            <w:pPr>
              <w:rPr>
                <w:rFonts w:ascii="Times New Roman" w:hAnsi="Times New Roman" w:cs="Times New Roman"/>
              </w:rPr>
            </w:pPr>
            <m:oMathPara>
              <m:oMathParaPr>
                <m:jc m:val="left"/>
              </m:oMathParaP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f-iccad</m:t>
                    </m:r>
                  </m:sub>
                </m:sSub>
              </m:oMath>
            </m:oMathPara>
          </w:p>
        </w:tc>
        <w:tc>
          <w:tcPr>
            <w:tcW w:w="900" w:type="dxa"/>
            <w:vAlign w:val="center"/>
          </w:tcPr>
          <w:p w:rsidR="003B336C" w:rsidRPr="00DB4C3C" w:rsidRDefault="003B336C" w:rsidP="00A70EC2">
            <w:pPr>
              <w:jc w:val="right"/>
              <w:rPr>
                <w:rFonts w:ascii="Times New Roman" w:hAnsi="Times New Roman" w:cs="Times New Roman"/>
              </w:rPr>
            </w:pPr>
            <w:r w:rsidRPr="00DB4C3C">
              <w:rPr>
                <w:rFonts w:ascii="Times New Roman" w:hAnsi="Times New Roman" w:cs="Times New Roman"/>
              </w:rPr>
              <w:t>4.94</w:t>
            </w:r>
          </w:p>
        </w:tc>
      </w:tr>
    </w:tbl>
    <w:p w:rsidR="003B336C" w:rsidRPr="00DB4C3C" w:rsidRDefault="003B336C" w:rsidP="003B336C">
      <w:pPr>
        <w:jc w:val="center"/>
      </w:pPr>
    </w:p>
    <w:p w:rsidR="003B336C" w:rsidRPr="00DB4C3C" w:rsidRDefault="003B336C" w:rsidP="003B336C">
      <w:pPr>
        <w:pStyle w:val="Text"/>
        <w:ind w:firstLine="204"/>
        <w:rPr>
          <w:rFonts w:eastAsiaTheme="minorEastAsia"/>
        </w:rPr>
      </w:pPr>
      <w:r>
        <w:rPr>
          <w:rFonts w:eastAsiaTheme="minorEastAsia"/>
        </w:rPr>
        <w:t xml:space="preserve">From the table, a value of 10.39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v</m:t>
                </m:r>
              </m:e>
            </m:acc>
          </m:e>
          <m:sub>
            <m:r>
              <w:rPr>
                <w:rFonts w:ascii="Cambria Math" w:hAnsi="Cambria Math"/>
              </w:rPr>
              <m:t>f-total</m:t>
            </m:r>
          </m:sub>
        </m:sSub>
        <m:r>
          <w:rPr>
            <w:rFonts w:ascii="Cambria Math" w:hAnsi="Cambria Math"/>
          </w:rPr>
          <m:t xml:space="preserve"> </m:t>
        </m:r>
      </m:oMath>
      <w:r>
        <w:rPr>
          <w:rFonts w:eastAsiaTheme="minorEastAsia"/>
        </w:rPr>
        <w:t xml:space="preserve"> appears to be </w:t>
      </w:r>
      <w:r w:rsidRPr="00125528">
        <w:rPr>
          <w:rFonts w:eastAsiaTheme="minorEastAsia"/>
        </w:rPr>
        <w:t>off-base from the true “average fairness” of the conferences.</w:t>
      </w:r>
      <w:r>
        <w:rPr>
          <w:rFonts w:eastAsiaTheme="minorEastAsia"/>
        </w:rPr>
        <w:t xml:space="preserve"> This happens because</w:t>
      </w:r>
      <w:r w:rsidRPr="00DB4C3C">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v</m:t>
                </m:r>
              </m:e>
            </m:acc>
          </m:e>
          <m:sub>
            <m:r>
              <w:rPr>
                <w:rFonts w:ascii="Cambria Math" w:hAnsi="Cambria Math"/>
              </w:rPr>
              <m:t>f</m:t>
            </m:r>
          </m:sub>
        </m:sSub>
      </m:oMath>
      <w:r w:rsidRPr="00DB4C3C">
        <w:rPr>
          <w:rFonts w:eastAsiaTheme="minorEastAsia"/>
          <w:b/>
        </w:rPr>
        <w:t xml:space="preserve"> </w:t>
      </w:r>
      <w:r w:rsidRPr="00DB4C3C">
        <w:rPr>
          <w:rFonts w:eastAsiaTheme="minorEastAsia"/>
        </w:rPr>
        <w:t>was greatly skewed by the two perfect years</w:t>
      </w:r>
      <w:r>
        <w:rPr>
          <w:rFonts w:eastAsiaTheme="minorEastAsia"/>
        </w:rPr>
        <w:t>, 2011 and 2012,</w:t>
      </w:r>
      <w:r w:rsidRPr="00DB4C3C">
        <w:rPr>
          <w:rFonts w:eastAsiaTheme="minorEastAsia"/>
        </w:rPr>
        <w:t xml:space="preserve"> of NOCS. The value 4.00, </w:t>
      </w:r>
      <w:r>
        <w:rPr>
          <w:rFonts w:eastAsiaTheme="minorEastAsia"/>
        </w:rPr>
        <w:t xml:space="preserve">of </w:t>
      </w:r>
      <w:r w:rsidRPr="00DB4C3C">
        <w:rPr>
          <w:rFonts w:eastAsiaTheme="minorEastAsia"/>
        </w:rPr>
        <w:t xml:space="preserve">the average with those </w:t>
      </w:r>
      <w:r>
        <w:rPr>
          <w:rFonts w:eastAsiaTheme="minorEastAsia"/>
        </w:rPr>
        <w:t xml:space="preserve">two </w:t>
      </w:r>
      <w:r w:rsidRPr="00DB4C3C">
        <w:rPr>
          <w:rFonts w:eastAsiaTheme="minorEastAsia"/>
        </w:rPr>
        <w:t>years excluded, is far more fitting to the rest of the graph. However, averaging a value across both conferences yields a meaningless overall average. Com</w:t>
      </w:r>
      <w:r>
        <w:rPr>
          <w:rFonts w:eastAsiaTheme="minorEastAsia"/>
        </w:rPr>
        <w:t>puting the quotient</w:t>
      </w:r>
      <w:r w:rsidRPr="00DB4C3C">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v</m:t>
                </m:r>
              </m:e>
            </m:acc>
          </m:e>
          <m:sub>
            <m:r>
              <w:rPr>
                <w:rFonts w:ascii="Cambria Math" w:hAnsi="Cambria Math"/>
              </w:rPr>
              <m:t>f</m:t>
            </m:r>
          </m:sub>
        </m:sSub>
        <m:r>
          <w:rPr>
            <w:rFonts w:ascii="Cambria Math" w:eastAsiaTheme="minorEastAsia" w:hAnsi="Cambria Math"/>
          </w:rPr>
          <m:t xml:space="preserve"> </m:t>
        </m:r>
      </m:oMath>
      <w:r>
        <w:rPr>
          <w:rFonts w:eastAsiaTheme="minorEastAsia"/>
        </w:rPr>
        <w:t xml:space="preserve">for each conference and comparing </w:t>
      </w:r>
      <w:r w:rsidRPr="00DB4C3C">
        <w:rPr>
          <w:rFonts w:eastAsiaTheme="minorEastAsia"/>
        </w:rPr>
        <w:t xml:space="preserve">different conferences </w:t>
      </w:r>
      <w:r>
        <w:rPr>
          <w:rFonts w:eastAsiaTheme="minorEastAsia"/>
        </w:rPr>
        <w:t xml:space="preserve">based on the quotient </w:t>
      </w:r>
      <w:r w:rsidRPr="00DB4C3C">
        <w:rPr>
          <w:rFonts w:eastAsiaTheme="minorEastAsia"/>
        </w:rPr>
        <w:t xml:space="preserve">is of actual importance, as it means that differences in fairness can be interpreted via values on the same scale. Since the fairness </w:t>
      </w:r>
      <w:r>
        <w:rPr>
          <w:rFonts w:eastAsiaTheme="minorEastAsia"/>
        </w:rPr>
        <w:t xml:space="preserve">quotient </w:t>
      </w:r>
      <w:r w:rsidRPr="00DB4C3C">
        <w:rPr>
          <w:rFonts w:eastAsiaTheme="minorEastAsia"/>
        </w:rPr>
        <w:t xml:space="preserve">was computed using two ratios of metrics on a particular subset </w:t>
      </w:r>
      <w:r>
        <w:rPr>
          <w:rFonts w:eastAsiaTheme="minorEastAsia"/>
        </w:rPr>
        <w:t>and not</w:t>
      </w:r>
      <w:r w:rsidRPr="00DB4C3C">
        <w:rPr>
          <w:rFonts w:eastAsiaTheme="minorEastAsia"/>
        </w:rPr>
        <w:t xml:space="preserve"> the entire network, the value retains a consistent meaning </w:t>
      </w:r>
      <w:r>
        <w:rPr>
          <w:rFonts w:eastAsiaTheme="minorEastAsia"/>
        </w:rPr>
        <w:t>independent of</w:t>
      </w:r>
      <w:r w:rsidRPr="00DB4C3C">
        <w:rPr>
          <w:rFonts w:eastAsiaTheme="minorEastAsia"/>
        </w:rPr>
        <w:t xml:space="preserve"> </w:t>
      </w:r>
      <w:r>
        <w:rPr>
          <w:rFonts w:eastAsiaTheme="minorEastAsia"/>
        </w:rPr>
        <w:t>the size of the conference. Hence, l</w:t>
      </w:r>
      <w:r w:rsidRPr="00DB4C3C">
        <w:rPr>
          <w:rFonts w:eastAsiaTheme="minorEastAsia"/>
        </w:rPr>
        <w:t>ooking at differences in the average fairness of NOCS and ICCAD yield</w:t>
      </w:r>
      <w:r>
        <w:rPr>
          <w:rFonts w:eastAsiaTheme="minorEastAsia"/>
        </w:rPr>
        <w:t>s</w:t>
      </w:r>
      <w:r w:rsidRPr="00DB4C3C">
        <w:rPr>
          <w:rFonts w:eastAsiaTheme="minorEastAsia"/>
        </w:rPr>
        <w:t xml:space="preserve"> more meaning than a total average. </w:t>
      </w:r>
    </w:p>
    <w:p w:rsidR="003B336C" w:rsidRPr="00DB4C3C" w:rsidRDefault="003B336C" w:rsidP="003B336C">
      <w:pPr>
        <w:pStyle w:val="Text"/>
        <w:ind w:firstLine="204"/>
        <w:rPr>
          <w:rFonts w:eastAsiaTheme="minorEastAsia"/>
        </w:rPr>
      </w:pPr>
      <w:r w:rsidRPr="00DB4C3C">
        <w:t xml:space="preserve">When dealing with the average fairness of NOCS, </w:t>
      </w:r>
      <w:r>
        <w:t xml:space="preserve">it is better to use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 xml:space="preserve"> v</m:t>
                </m:r>
              </m:e>
            </m:acc>
          </m:e>
          <m:sub>
            <m:r>
              <w:rPr>
                <w:rFonts w:ascii="Cambria Math" w:hAnsi="Cambria Math"/>
                <w:sz w:val="22"/>
              </w:rPr>
              <m:t>f-nocs-subset</m:t>
            </m:r>
          </m:sub>
        </m:sSub>
        <m:r>
          <w:rPr>
            <w:rFonts w:ascii="Cambria Math" w:hAnsi="Cambria Math"/>
            <w:sz w:val="22"/>
          </w:rPr>
          <m:t xml:space="preserve"> </m:t>
        </m:r>
      </m:oMath>
      <w:r w:rsidRPr="00DB4C3C">
        <w:rPr>
          <w:rFonts w:eastAsiaTheme="minorEastAsia"/>
        </w:rPr>
        <w:t xml:space="preserve"> rather than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 xml:space="preserve"> v</m:t>
                </m:r>
              </m:e>
            </m:acc>
          </m:e>
          <m:sub>
            <m:r>
              <w:rPr>
                <w:rFonts w:ascii="Cambria Math" w:hAnsi="Cambria Math"/>
                <w:sz w:val="22"/>
              </w:rPr>
              <m:t>f-nocs</m:t>
            </m:r>
          </m:sub>
        </m:sSub>
        <m:r>
          <w:rPr>
            <w:rFonts w:ascii="Cambria Math" w:eastAsiaTheme="minorEastAsia" w:hAnsi="Cambria Math"/>
            <w:sz w:val="22"/>
          </w:rPr>
          <m:t xml:space="preserve"> </m:t>
        </m:r>
      </m:oMath>
      <w:r w:rsidRPr="00DB4C3C">
        <w:rPr>
          <w:rFonts w:eastAsiaTheme="minorEastAsia"/>
        </w:rPr>
        <w:t xml:space="preserve">so that the “perfect” years do not influence the fairness of the other years. </w:t>
      </w:r>
      <w:r>
        <w:rPr>
          <w:rFonts w:eastAsiaTheme="minorEastAsia"/>
        </w:rPr>
        <w:t>The</w:t>
      </w:r>
      <w:r w:rsidRPr="00DB4C3C">
        <w:rPr>
          <w:rFonts w:eastAsiaTheme="minorEastAsia"/>
        </w:rPr>
        <w:t xml:space="preserve"> two perfect years increase</w:t>
      </w:r>
      <w:r>
        <w:rPr>
          <w:rFonts w:eastAsiaTheme="minorEastAsia"/>
        </w:rPr>
        <w:t>d</w:t>
      </w:r>
      <w:r w:rsidRPr="00DB4C3C">
        <w:rPr>
          <w:rFonts w:eastAsiaTheme="minorEastAsia"/>
        </w:rPr>
        <w:t xml:space="preserve"> the average fairness of the conference as a whole from 2.43 to 15.84. </w:t>
      </w:r>
      <w:r>
        <w:rPr>
          <w:rFonts w:eastAsiaTheme="minorEastAsia"/>
        </w:rPr>
        <w:t>This gives the wrong implication about the conference because</w:t>
      </w:r>
      <w:r w:rsidRPr="00DB4C3C">
        <w:rPr>
          <w:rFonts w:eastAsiaTheme="minorEastAsia"/>
        </w:rPr>
        <w:t xml:space="preserve"> </w:t>
      </w:r>
      <w:r>
        <w:rPr>
          <w:rFonts w:eastAsiaTheme="minorEastAsia"/>
        </w:rPr>
        <w:t xml:space="preserve">if those two years are taken away,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Pr="00DB4C3C">
        <w:rPr>
          <w:rFonts w:eastAsiaTheme="minorEastAsia"/>
          <w:b/>
        </w:rPr>
        <w:t xml:space="preserve"> </w:t>
      </w:r>
      <w:r>
        <w:rPr>
          <w:rFonts w:eastAsiaTheme="minorEastAsia"/>
        </w:rPr>
        <w:t xml:space="preserve">is between 2 and 3. It is not logical to assume, just based on the </w:t>
      </w:r>
      <w:r w:rsidRPr="00DB4C3C">
        <w:rPr>
          <w:rFonts w:eastAsiaTheme="minorEastAsia"/>
        </w:rPr>
        <w:t xml:space="preserve">two years </w:t>
      </w:r>
      <w:r>
        <w:rPr>
          <w:rFonts w:eastAsiaTheme="minorEastAsia"/>
        </w:rPr>
        <w:t xml:space="preserve">that skewed the results, </w:t>
      </w:r>
      <w:r w:rsidRPr="00DB4C3C">
        <w:rPr>
          <w:rFonts w:eastAsiaTheme="minorEastAsia"/>
        </w:rPr>
        <w:t xml:space="preserve">that </w:t>
      </w:r>
      <w:r>
        <w:rPr>
          <w:rFonts w:eastAsiaTheme="minorEastAsia"/>
        </w:rPr>
        <w:t xml:space="preserve">all the </w:t>
      </w:r>
      <w:r w:rsidRPr="00DB4C3C">
        <w:rPr>
          <w:rFonts w:eastAsiaTheme="minorEastAsia"/>
        </w:rPr>
        <w:t>other years not sa</w:t>
      </w:r>
      <w:r>
        <w:rPr>
          <w:rFonts w:eastAsiaTheme="minorEastAsia"/>
        </w:rPr>
        <w:t xml:space="preserve">mpled would have similar values; the fact is that </w:t>
      </w:r>
      <w:r w:rsidRPr="00DB4C3C">
        <w:rPr>
          <w:rFonts w:eastAsiaTheme="minorEastAsia"/>
        </w:rPr>
        <w:t xml:space="preserve">during the majority of the time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Pr="00DB4C3C">
        <w:rPr>
          <w:rFonts w:eastAsiaTheme="minorEastAsia"/>
        </w:rPr>
        <w:t xml:space="preserve"> </w:t>
      </w:r>
      <w:r>
        <w:rPr>
          <w:rFonts w:eastAsiaTheme="minorEastAsia"/>
        </w:rPr>
        <w:t xml:space="preserve">for NOCS is </w:t>
      </w:r>
      <w:r w:rsidRPr="00DB4C3C">
        <w:rPr>
          <w:rFonts w:eastAsiaTheme="minorEastAsia"/>
        </w:rPr>
        <w:t xml:space="preserve">actually far lower. </w:t>
      </w:r>
    </w:p>
    <w:p w:rsidR="003B336C" w:rsidRDefault="003B336C" w:rsidP="003B336C">
      <w:pPr>
        <w:pStyle w:val="Text"/>
        <w:ind w:firstLine="204"/>
        <w:rPr>
          <w:rFonts w:eastAsiaTheme="minorEastAsia"/>
        </w:rPr>
      </w:pPr>
      <w:r w:rsidRPr="00DB4C3C">
        <w:rPr>
          <w:rFonts w:eastAsiaTheme="minorEastAsia"/>
        </w:rPr>
        <w:t xml:space="preserve">Now, assuming that the average fairness of NOCS is represented </w:t>
      </w:r>
      <w:r w:rsidRPr="00DB4C3C">
        <w:t>by</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v</m:t>
            </m:r>
          </m:e>
          <m:sub>
            <m:r>
              <w:rPr>
                <w:rFonts w:ascii="Cambria Math" w:hAnsi="Cambria Math"/>
                <w:sz w:val="22"/>
              </w:rPr>
              <m:t>f-nocs-subset</m:t>
            </m:r>
          </m:sub>
        </m:sSub>
      </m:oMath>
      <w:r w:rsidRPr="00DB4C3C">
        <w:rPr>
          <w:rFonts w:eastAsiaTheme="minorEastAsia"/>
        </w:rPr>
        <w:t xml:space="preserve">, we </w:t>
      </w:r>
      <w:r>
        <w:rPr>
          <w:rFonts w:eastAsiaTheme="minorEastAsia"/>
        </w:rPr>
        <w:t>calculate</w:t>
      </w:r>
      <w:r w:rsidRPr="00DB4C3C">
        <w:rPr>
          <w:rFonts w:eastAsiaTheme="minorEastAsia"/>
        </w:rPr>
        <w:t xml:space="preserve"> the </w:t>
      </w:r>
      <w:r>
        <w:rPr>
          <w:rFonts w:eastAsiaTheme="minorEastAsia"/>
        </w:rPr>
        <w:t xml:space="preserve">average </w:t>
      </w:r>
      <w:r w:rsidRPr="00DB4C3C">
        <w:rPr>
          <w:rFonts w:eastAsiaTheme="minorEastAsia"/>
        </w:rPr>
        <w:t xml:space="preserve">fairness </w:t>
      </w:r>
      <w:r>
        <w:rPr>
          <w:rFonts w:eastAsiaTheme="minorEastAsia"/>
        </w:rPr>
        <w:t xml:space="preserve">quotient </w:t>
      </w:r>
      <w:r w:rsidRPr="00DB4C3C">
        <w:rPr>
          <w:rFonts w:eastAsiaTheme="minorEastAsia"/>
        </w:rPr>
        <w:t xml:space="preserve">of NOCS </w:t>
      </w:r>
      <w:r>
        <w:rPr>
          <w:rFonts w:eastAsiaTheme="minorEastAsia"/>
        </w:rPr>
        <w:t>as</w:t>
      </w:r>
      <w:r w:rsidRPr="00DB4C3C">
        <w:rPr>
          <w:rFonts w:eastAsiaTheme="minorEastAsia"/>
        </w:rPr>
        <w:t xml:space="preserve"> 2.43. ICCAD’s fairness computation requires no exclusion due to the fact that there </w:t>
      </w:r>
      <w:r w:rsidRPr="00DB4C3C">
        <w:rPr>
          <w:rFonts w:eastAsiaTheme="minorEastAsia"/>
        </w:rPr>
        <w:lastRenderedPageBreak/>
        <w:t xml:space="preserve">are no abnormally fair or unfair years in the time range, and we can assume that the conference’s fairness in most years should be close to 4.94. </w:t>
      </w:r>
    </w:p>
    <w:p w:rsidR="003B336C" w:rsidRDefault="003B336C" w:rsidP="003B336C">
      <w:pPr>
        <w:pStyle w:val="Text"/>
        <w:ind w:firstLine="204"/>
        <w:rPr>
          <w:rFonts w:eastAsiaTheme="minorEastAsia"/>
        </w:rPr>
      </w:pPr>
      <w:r>
        <w:rPr>
          <w:rFonts w:eastAsiaTheme="minorEastAsia"/>
        </w:rPr>
        <w:t>From the preceding discussions and the numbers we derived, we have two conclusions: (</w:t>
      </w:r>
      <w:proofErr w:type="spellStart"/>
      <w:r>
        <w:rPr>
          <w:rFonts w:eastAsiaTheme="minorEastAsia"/>
        </w:rPr>
        <w:t>i</w:t>
      </w:r>
      <w:proofErr w:type="spellEnd"/>
      <w:r>
        <w:rPr>
          <w:rFonts w:eastAsiaTheme="minorEastAsia"/>
        </w:rPr>
        <w:t xml:space="preserve">) </w:t>
      </w:r>
      <w:r w:rsidRPr="00DB4C3C">
        <w:rPr>
          <w:rFonts w:eastAsiaTheme="minorEastAsia"/>
        </w:rPr>
        <w:t>ICCAD is</w:t>
      </w:r>
      <w:r>
        <w:rPr>
          <w:rFonts w:eastAsiaTheme="minorEastAsia"/>
        </w:rPr>
        <w:t xml:space="preserve"> generally 103% more </w:t>
      </w:r>
      <w:proofErr w:type="gramStart"/>
      <w:r>
        <w:rPr>
          <w:rFonts w:eastAsiaTheme="minorEastAsia"/>
        </w:rPr>
        <w:t>fair</w:t>
      </w:r>
      <w:proofErr w:type="gramEnd"/>
      <w:r>
        <w:rPr>
          <w:rFonts w:eastAsiaTheme="minorEastAsia"/>
        </w:rPr>
        <w:t xml:space="preserve"> </w:t>
      </w:r>
      <w:r w:rsidRPr="00DB4C3C">
        <w:rPr>
          <w:rFonts w:eastAsiaTheme="minorEastAsia"/>
        </w:rPr>
        <w:t xml:space="preserve">than NOCS, </w:t>
      </w:r>
      <w:r>
        <w:rPr>
          <w:rFonts w:eastAsiaTheme="minorEastAsia"/>
        </w:rPr>
        <w:t xml:space="preserve">and (ii) </w:t>
      </w:r>
      <w:r w:rsidRPr="00DB4C3C">
        <w:rPr>
          <w:rFonts w:eastAsiaTheme="minorEastAsia"/>
        </w:rPr>
        <w:t xml:space="preserve">NOCS had </w:t>
      </w:r>
      <w:r>
        <w:rPr>
          <w:rFonts w:eastAsiaTheme="minorEastAsia"/>
        </w:rPr>
        <w:t>large</w:t>
      </w:r>
      <w:r w:rsidRPr="00DB4C3C">
        <w:rPr>
          <w:rFonts w:eastAsiaTheme="minorEastAsia"/>
        </w:rPr>
        <w:t xml:space="preserve"> swings in fairness between </w:t>
      </w:r>
      <w:r>
        <w:rPr>
          <w:rFonts w:eastAsiaTheme="minorEastAsia"/>
        </w:rPr>
        <w:t xml:space="preserve">the years </w:t>
      </w:r>
      <w:r w:rsidRPr="00DB4C3C">
        <w:rPr>
          <w:rFonts w:eastAsiaTheme="minorEastAsia"/>
        </w:rPr>
        <w:t>2010 and 2011</w:t>
      </w:r>
      <w:r>
        <w:rPr>
          <w:rFonts w:eastAsiaTheme="minorEastAsia"/>
        </w:rPr>
        <w:t>,</w:t>
      </w:r>
      <w:r w:rsidRPr="00DB4C3C">
        <w:rPr>
          <w:rFonts w:eastAsiaTheme="minorEastAsia"/>
        </w:rPr>
        <w:t xml:space="preserve"> and between 2012 and 2013. </w:t>
      </w:r>
      <w:r>
        <w:rPr>
          <w:rFonts w:eastAsiaTheme="minorEastAsia"/>
        </w:rPr>
        <w:t xml:space="preserve">The latter led us to the concept of the </w:t>
      </w:r>
      <w:r w:rsidRPr="00811557">
        <w:rPr>
          <w:rFonts w:eastAsiaTheme="minorEastAsia"/>
          <w:i/>
        </w:rPr>
        <w:t>fairness stability</w:t>
      </w:r>
      <w:r>
        <w:rPr>
          <w:rFonts w:eastAsiaTheme="minorEastAsia"/>
        </w:rPr>
        <w:t xml:space="preserve"> of a conference.  </w:t>
      </w:r>
    </w:p>
    <w:p w:rsidR="003B336C" w:rsidRPr="00DB4C3C" w:rsidRDefault="003B336C" w:rsidP="003B336C">
      <w:pPr>
        <w:pStyle w:val="Heading2"/>
        <w:rPr>
          <w:rFonts w:eastAsiaTheme="minorEastAsia"/>
        </w:rPr>
      </w:pPr>
      <w:r>
        <w:rPr>
          <w:rFonts w:eastAsiaTheme="minorEastAsia"/>
        </w:rPr>
        <w:t xml:space="preserve">Stability Interpretation </w:t>
      </w:r>
    </w:p>
    <w:p w:rsidR="003B336C" w:rsidRPr="00BC4910" w:rsidRDefault="003B336C" w:rsidP="003B336C">
      <w:pPr>
        <w:ind w:firstLine="202"/>
        <w:rPr>
          <w:rFonts w:eastAsiaTheme="minorEastAsia"/>
        </w:rPr>
      </w:pPr>
      <w:r>
        <w:rPr>
          <w:rFonts w:eastAsiaTheme="minorEastAsia"/>
        </w:rPr>
        <w:t>Let us represent the</w:t>
      </w:r>
      <w:r w:rsidRPr="00DB4C3C">
        <w:rPr>
          <w:rFonts w:eastAsiaTheme="minorEastAsia"/>
        </w:rPr>
        <w:t xml:space="preserve"> fairness change </w:t>
      </w:r>
      <w:r>
        <w:rPr>
          <w:rFonts w:eastAsiaTheme="minorEastAsia"/>
        </w:rPr>
        <w:t xml:space="preserve">of a </w:t>
      </w:r>
      <w:r w:rsidRPr="00DB4C3C">
        <w:rPr>
          <w:rFonts w:eastAsiaTheme="minorEastAsia"/>
        </w:rPr>
        <w:t>conference</w:t>
      </w:r>
      <w:r>
        <w:rPr>
          <w:rFonts w:eastAsiaTheme="minorEastAsia"/>
        </w:rPr>
        <w:t xml:space="preserve"> between two consecutive years of interest by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r>
          <w:rPr>
            <w:rFonts w:ascii="Cambria Math" w:eastAsiaTheme="minorEastAsia" w:hAnsi="Cambria Math"/>
          </w:rPr>
          <m:t xml:space="preserve"> </m:t>
        </m:r>
      </m:oMath>
      <w:r>
        <w:rPr>
          <w:rFonts w:eastAsiaTheme="minorEastAsia"/>
        </w:rPr>
        <w:t xml:space="preserve"> and the average fairness change over a </w:t>
      </w:r>
      <w:r w:rsidRPr="00BC4910">
        <w:rPr>
          <w:rFonts w:eastAsiaTheme="minorEastAsia"/>
        </w:rPr>
        <w:t xml:space="preserve">period of time </w:t>
      </w:r>
      <w:proofErr w:type="gramStart"/>
      <w:r>
        <w:rPr>
          <w:rFonts w:eastAsiaTheme="minorEastAsia"/>
        </w:rPr>
        <w:t xml:space="preserve">as </w:t>
      </w:r>
      <w:proofErr w:type="gramEnd"/>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e>
        </m:acc>
        <m:r>
          <w:rPr>
            <w:rFonts w:ascii="Cambria Math" w:eastAsiaTheme="minorEastAsia" w:hAnsi="Cambria Math"/>
          </w:rPr>
          <m:t xml:space="preserve"> </m:t>
        </m:r>
      </m:oMath>
      <w:r>
        <w:rPr>
          <w:rFonts w:eastAsiaTheme="minorEastAsia"/>
        </w:rPr>
        <w:t xml:space="preserve">. Clearly, </w:t>
      </w:r>
      <w:r w:rsidRPr="00BC4910">
        <w:rPr>
          <w:rFonts w:eastAsiaTheme="minorEastAsia"/>
        </w:rPr>
        <w:t xml:space="preserve">for subsequent </w:t>
      </w:r>
      <w:proofErr w:type="gramStart"/>
      <w:r w:rsidRPr="00BC4910">
        <w:rPr>
          <w:rFonts w:eastAsiaTheme="minorEastAsia"/>
        </w:rPr>
        <w:t>years</w:t>
      </w:r>
      <w:proofErr w:type="gramEnd"/>
      <w:r w:rsidRPr="00BC4910">
        <w:rPr>
          <w:rFonts w:eastAsiaTheme="minorEastAsia"/>
        </w:rPr>
        <w:t xml:space="preserve"> y</w:t>
      </w:r>
      <w:r w:rsidRPr="009E2B56">
        <w:rPr>
          <w:rFonts w:eastAsiaTheme="minorEastAsia"/>
          <w:vertAlign w:val="subscript"/>
        </w:rPr>
        <w:t>1</w:t>
      </w:r>
      <w:r w:rsidRPr="00BC4910">
        <w:rPr>
          <w:rFonts w:eastAsiaTheme="minorEastAsia"/>
        </w:rPr>
        <w:t xml:space="preserve"> and y</w:t>
      </w:r>
      <w:r w:rsidRPr="009E2B56">
        <w:rPr>
          <w:rFonts w:eastAsiaTheme="minorEastAsia"/>
          <w:vertAlign w:val="subscript"/>
        </w:rPr>
        <w:t>2</w:t>
      </w:r>
      <w:r w:rsidRPr="00BC4910">
        <w:rPr>
          <w:rFonts w:eastAsiaTheme="minorEastAsia"/>
        </w:rPr>
        <w:t xml:space="preserve">, </w:t>
      </w:r>
      <w:r>
        <w:rPr>
          <w:rFonts w:eastAsiaTheme="minorEastAsia"/>
        </w:rPr>
        <w:t xml:space="preserve">the fairness change is given by </w:t>
      </w:r>
    </w:p>
    <w:p w:rsidR="003B336C" w:rsidRPr="00BC4910" w:rsidRDefault="00167287" w:rsidP="003B336C">
      <w:pPr>
        <w:jc w:val="center"/>
        <w:rPr>
          <w:rFonts w:eastAsiaTheme="minorEastAsia"/>
        </w:rPr>
      </w:pPr>
      <m:oMathPara>
        <m:oMath>
          <m:sSub>
            <m:sSubPr>
              <m:ctrlPr>
                <w:rPr>
                  <w:rFonts w:ascii="Cambria Math" w:eastAsiaTheme="minorEastAsia" w:hAnsi="Cambria Math"/>
                  <w:i/>
                  <w:sz w:val="22"/>
                </w:rPr>
              </m:ctrlPr>
            </m:sSub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2</m:t>
                  </m:r>
                </m:sub>
              </m:sSub>
            </m:sub>
          </m:sSub>
          <m:r>
            <w:rPr>
              <w:rFonts w:ascii="Cambria Math" w:eastAsiaTheme="minorEastAsia" w:hAnsi="Cambria Math"/>
              <w:sz w:val="22"/>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hAnsi="Cambria Math"/>
                          <w:i/>
                          <w:sz w:val="24"/>
                        </w:rPr>
                      </m:ctrlPr>
                    </m:sSubPr>
                    <m:e>
                      <m:r>
                        <w:rPr>
                          <w:rFonts w:ascii="Cambria Math" w:hAnsi="Cambria Math"/>
                          <w:sz w:val="24"/>
                        </w:rPr>
                        <m:t>v</m:t>
                      </m:r>
                    </m:e>
                    <m:sub>
                      <m:r>
                        <w:rPr>
                          <w:rFonts w:ascii="Cambria Math" w:hAnsi="Cambria Math"/>
                          <w:sz w:val="24"/>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1</m:t>
                      </m:r>
                    </m:sub>
                  </m:sSub>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hAnsi="Cambria Math"/>
                          <w:i/>
                          <w:sz w:val="24"/>
                        </w:rPr>
                      </m:ctrlPr>
                    </m:sSubPr>
                    <m:e>
                      <m:r>
                        <w:rPr>
                          <w:rFonts w:ascii="Cambria Math" w:hAnsi="Cambria Math"/>
                          <w:sz w:val="24"/>
                        </w:rPr>
                        <m:t>v</m:t>
                      </m:r>
                    </m:e>
                    <m:sub>
                      <m:r>
                        <w:rPr>
                          <w:rFonts w:ascii="Cambria Math" w:hAnsi="Cambria Math"/>
                          <w:sz w:val="24"/>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2</m:t>
                      </m:r>
                    </m:sub>
                  </m:sSub>
                </m:sub>
              </m:sSub>
            </m:e>
          </m:d>
        </m:oMath>
      </m:oMathPara>
    </w:p>
    <w:p w:rsidR="003B336C" w:rsidRDefault="003B336C" w:rsidP="003B336C">
      <w:pPr>
        <w:rPr>
          <w:rFonts w:eastAsiaTheme="minorEastAsia"/>
        </w:rPr>
      </w:pPr>
      <w:r>
        <w:rPr>
          <w:rFonts w:eastAsiaTheme="minorEastAsia"/>
        </w:rPr>
        <w:t>Therefore, for a range of years, y</w:t>
      </w:r>
      <w:r w:rsidRPr="009E2B56">
        <w:rPr>
          <w:rFonts w:eastAsiaTheme="minorEastAsia"/>
          <w:vertAlign w:val="subscript"/>
        </w:rPr>
        <w:t>1</w:t>
      </w:r>
      <w:r>
        <w:rPr>
          <w:rFonts w:eastAsiaTheme="minorEastAsia"/>
        </w:rPr>
        <w:t xml:space="preserve"> to </w:t>
      </w:r>
      <w:proofErr w:type="spellStart"/>
      <w:r>
        <w:rPr>
          <w:rFonts w:eastAsiaTheme="minorEastAsia"/>
        </w:rPr>
        <w:t>y</w:t>
      </w:r>
      <w:r w:rsidRPr="009E2B56">
        <w:rPr>
          <w:rFonts w:eastAsiaTheme="minorEastAsia"/>
          <w:vertAlign w:val="subscript"/>
        </w:rPr>
        <w:t>m</w:t>
      </w:r>
      <w:proofErr w:type="spellEnd"/>
      <w:r>
        <w:rPr>
          <w:rFonts w:eastAsiaTheme="minorEastAsia"/>
        </w:rPr>
        <w:t xml:space="preserve">, broken into n intervals, the average fairness change can be calculated as </w:t>
      </w:r>
    </w:p>
    <w:p w:rsidR="003B336C" w:rsidRDefault="003B336C" w:rsidP="003B336C">
      <w:pPr>
        <w:jc w:val="center"/>
        <w:rPr>
          <w:rFonts w:eastAsiaTheme="minorEastAsia"/>
        </w:rPr>
      </w:pPr>
      <w:r>
        <w:rPr>
          <w:rFonts w:eastAsiaTheme="minorEastAsia"/>
        </w:rPr>
        <w:t xml:space="preserve"> </w:t>
      </w:r>
      <m:oMath>
        <m:r>
          <m:rPr>
            <m:sty m:val="p"/>
          </m:rPr>
          <w:rPr>
            <w:rFonts w:ascii="Cambria Math" w:eastAsiaTheme="minorEastAsia" w:hAnsi="Cambria Math"/>
            <w:sz w:val="22"/>
          </w:rPr>
          <w:br/>
        </m:r>
      </m:oMath>
      <m:oMathPara>
        <m:oMath>
          <m:acc>
            <m:accPr>
              <m:chr m:val="̅"/>
              <m:ctrlPr>
                <w:rPr>
                  <w:rFonts w:ascii="Cambria Math" w:eastAsiaTheme="minorEastAsia" w:hAnsi="Cambria Math"/>
                  <w:i/>
                  <w:sz w:val="22"/>
                </w:rPr>
              </m:ctrlPr>
            </m:accPr>
            <m:e>
              <m:sSub>
                <m:sSubPr>
                  <m:ctrlPr>
                    <w:rPr>
                      <w:rFonts w:ascii="Cambria Math" w:eastAsiaTheme="minorEastAsia" w:hAnsi="Cambria Math"/>
                      <w:i/>
                      <w:sz w:val="22"/>
                    </w:rPr>
                  </m:ctrlPr>
                </m:sSub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m</m:t>
                      </m:r>
                    </m:sub>
                  </m:sSub>
                </m:sub>
              </m:sSub>
            </m:e>
          </m:acc>
          <m:r>
            <w:rPr>
              <w:rFonts w:ascii="Cambria Math" w:eastAsiaTheme="minorEastAsia" w:hAnsi="Cambria Math"/>
              <w:sz w:val="22"/>
            </w:rPr>
            <m:t>=</m:t>
          </m:r>
          <m:f>
            <m:fPr>
              <m:ctrlPr>
                <w:rPr>
                  <w:rFonts w:ascii="Cambria Math" w:eastAsiaTheme="minorEastAsia" w:hAnsi="Cambria Math"/>
                  <w:i/>
                </w:rPr>
              </m:ctrlPr>
            </m:fPr>
            <m:num>
              <m:sSub>
                <m:sSubPr>
                  <m:ctrlPr>
                    <w:rPr>
                      <w:rFonts w:ascii="Cambria Math" w:eastAsiaTheme="minorEastAsia" w:hAnsi="Cambria Math"/>
                      <w:i/>
                      <w:sz w:val="22"/>
                    </w:rPr>
                  </m:ctrlPr>
                </m:sSub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2</m:t>
                      </m:r>
                    </m:sub>
                  </m:sSub>
                </m:sub>
              </m:sSub>
              <m:r>
                <w:rPr>
                  <w:rFonts w:ascii="Cambria Math" w:eastAsiaTheme="minorEastAsia" w:hAnsi="Cambria Math"/>
                  <w:sz w:val="22"/>
                </w:rPr>
                <m:t>+</m:t>
              </m:r>
              <m:sSub>
                <m:sSubPr>
                  <m:ctrlPr>
                    <w:rPr>
                      <w:rFonts w:ascii="Cambria Math" w:eastAsiaTheme="minorEastAsia" w:hAnsi="Cambria Math"/>
                      <w:i/>
                      <w:sz w:val="22"/>
                    </w:rPr>
                  </m:ctrlPr>
                </m:sSub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2</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3</m:t>
                      </m:r>
                    </m:sub>
                  </m:sSub>
                </m:sub>
              </m:sSub>
              <m:r>
                <w:rPr>
                  <w:rFonts w:ascii="Cambria Math" w:eastAsiaTheme="minorEastAsia" w:hAnsi="Cambria Math"/>
                  <w:sz w:val="22"/>
                </w:rPr>
                <m:t>+…+</m:t>
              </m:r>
              <m:sSub>
                <m:sSubPr>
                  <m:ctrlPr>
                    <w:rPr>
                      <w:rFonts w:ascii="Cambria Math" w:eastAsiaTheme="minorEastAsia" w:hAnsi="Cambria Math"/>
                      <w:i/>
                      <w:sz w:val="22"/>
                    </w:rPr>
                  </m:ctrlPr>
                </m:sSub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m-1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m</m:t>
                      </m:r>
                    </m:sub>
                  </m:sSub>
                </m:sub>
              </m:sSub>
            </m:num>
            <m:den>
              <m:r>
                <w:rPr>
                  <w:rFonts w:ascii="Cambria Math" w:eastAsiaTheme="minorEastAsia" w:hAnsi="Cambria Math"/>
                </w:rPr>
                <m:t>n</m:t>
              </m:r>
            </m:den>
          </m:f>
        </m:oMath>
      </m:oMathPara>
    </w:p>
    <w:p w:rsidR="003B336C" w:rsidRPr="00BC4910" w:rsidRDefault="003B336C" w:rsidP="003B336C">
      <w:pPr>
        <w:rPr>
          <w:rFonts w:eastAsiaTheme="minorEastAsia"/>
        </w:rPr>
      </w:pPr>
      <w:r>
        <w:rPr>
          <w:rFonts w:eastAsiaTheme="minorEastAsia"/>
        </w:rPr>
        <w:t xml:space="preserve"> </w:t>
      </w:r>
    </w:p>
    <w:p w:rsidR="003B336C" w:rsidRDefault="003B336C" w:rsidP="003B336C">
      <w:r>
        <w:t>S</w:t>
      </w:r>
      <w:r w:rsidRPr="00B620E1">
        <w:t xml:space="preserve">tability </w:t>
      </w:r>
      <w:r>
        <w:t>being an inverse</w:t>
      </w:r>
      <w:r w:rsidRPr="00B620E1">
        <w:t xml:space="preserve"> </w:t>
      </w:r>
      <w:r>
        <w:t xml:space="preserve">measure of variation, we define the </w:t>
      </w:r>
      <w:r w:rsidRPr="00634D71">
        <w:rPr>
          <w:i/>
        </w:rPr>
        <w:t>fairness stability</w:t>
      </w:r>
      <w:r>
        <w:t xml:space="preserve"> of a conference for a given period of interest as: </w:t>
      </w:r>
    </w:p>
    <w:p w:rsidR="003B336C" w:rsidRPr="007B1B4D" w:rsidRDefault="00167287" w:rsidP="003B336C">
      <w:pPr>
        <w:jc w:val="center"/>
        <w:rPr>
          <w:rFonts w:eastAsiaTheme="minorEastAsia"/>
          <w:sz w:val="22"/>
        </w:rPr>
      </w:pPr>
      <m:oMathPara>
        <m:oMath>
          <m:sSub>
            <m:sSubPr>
              <m:ctrlPr>
                <w:rPr>
                  <w:rFonts w:ascii="Cambria Math" w:eastAsiaTheme="minorEastAsia" w:hAnsi="Cambria Math"/>
                  <w:i/>
                  <w:sz w:val="22"/>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m</m:t>
                  </m:r>
                </m:sub>
              </m:sSub>
            </m:sub>
          </m:sSub>
          <m:r>
            <w:rPr>
              <w:rFonts w:ascii="Cambria Math" w:eastAsiaTheme="minorEastAsia" w:hAnsi="Cambria Math"/>
              <w:sz w:val="22"/>
            </w:rPr>
            <m:t xml:space="preserve">∝ </m:t>
          </m:r>
          <m:f>
            <m:fPr>
              <m:ctrlPr>
                <w:rPr>
                  <w:rFonts w:ascii="Cambria Math" w:eastAsiaTheme="minorEastAsia" w:hAnsi="Cambria Math"/>
                  <w:i/>
                  <w:sz w:val="22"/>
                </w:rPr>
              </m:ctrlPr>
            </m:fPr>
            <m:num>
              <m:r>
                <w:rPr>
                  <w:rFonts w:ascii="Cambria Math" w:eastAsiaTheme="minorEastAsia" w:hAnsi="Cambria Math"/>
                  <w:sz w:val="22"/>
                </w:rPr>
                <m:t>1</m:t>
              </m:r>
            </m:num>
            <m:den>
              <m:acc>
                <m:accPr>
                  <m:chr m:val="̅"/>
                  <m:ctrlPr>
                    <w:rPr>
                      <w:rFonts w:ascii="Cambria Math" w:eastAsiaTheme="minorEastAsia" w:hAnsi="Cambria Math"/>
                      <w:i/>
                      <w:sz w:val="22"/>
                    </w:rPr>
                  </m:ctrlPr>
                </m:accPr>
                <m:e>
                  <m:sSub>
                    <m:sSubPr>
                      <m:ctrlPr>
                        <w:rPr>
                          <w:rFonts w:ascii="Cambria Math" w:eastAsiaTheme="minorEastAsia" w:hAnsi="Cambria Math"/>
                          <w:i/>
                          <w:sz w:val="22"/>
                        </w:rPr>
                      </m:ctrlPr>
                    </m:sSub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m</m:t>
                          </m:r>
                        </m:sub>
                      </m:sSub>
                    </m:sub>
                  </m:sSub>
                </m:e>
              </m:acc>
            </m:den>
          </m:f>
        </m:oMath>
      </m:oMathPara>
    </w:p>
    <w:p w:rsidR="003B336C" w:rsidRPr="00BC4910" w:rsidRDefault="003B336C" w:rsidP="003B336C">
      <w:pPr>
        <w:rPr>
          <w:rFonts w:eastAsiaTheme="minorEastAsia"/>
        </w:rPr>
      </w:pPr>
      <w:r>
        <w:t xml:space="preserve">In general terms, </w:t>
      </w:r>
    </w:p>
    <w:bookmarkStart w:id="15" w:name="OLE_LINK1"/>
    <w:p w:rsidR="003B336C" w:rsidRPr="007B1B4D" w:rsidRDefault="00167287" w:rsidP="003B336C">
      <w:pPr>
        <w:jc w:val="center"/>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 xml:space="preserve"> s</m:t>
              </m:r>
            </m:e>
            <m:sub>
              <m:r>
                <w:rPr>
                  <w:rFonts w:ascii="Cambria Math" w:eastAsiaTheme="minorEastAsia" w:hAnsi="Cambria Math"/>
                  <w:sz w:val="22"/>
                </w:rPr>
                <m:t>f</m:t>
              </m:r>
            </m:sub>
          </m:sSub>
          <w:bookmarkEnd w:id="15"/>
          <m:r>
            <w:rPr>
              <w:rFonts w:ascii="Cambria Math" w:eastAsiaTheme="minorEastAsia" w:hAnsi="Cambria Math"/>
              <w:sz w:val="22"/>
            </w:rPr>
            <m:t>=</m:t>
          </m:r>
          <m:sSub>
            <m:sSubPr>
              <m:ctrlPr>
                <w:rPr>
                  <w:rFonts w:ascii="Cambria Math" w:eastAsia="Calibri" w:hAnsi="Cambria Math"/>
                  <w:i/>
                  <w:sz w:val="22"/>
                </w:rPr>
              </m:ctrlPr>
            </m:sSubPr>
            <m:e>
              <m:r>
                <w:rPr>
                  <w:rFonts w:ascii="Cambria Math" w:hAnsi="Cambria Math"/>
                </w:rPr>
                <m:t>σ</m:t>
              </m:r>
            </m:e>
            <m:sub>
              <m:r>
                <w:rPr>
                  <w:rFonts w:ascii="Cambria Math" w:hAnsi="Cambria Math"/>
                </w:rPr>
                <m:t>2</m:t>
              </m:r>
            </m:sub>
          </m:sSub>
          <m:r>
            <w:rPr>
              <w:rFonts w:ascii="Cambria Math" w:eastAsiaTheme="minorEastAsia" w:hAnsi="Cambria Math"/>
              <w:sz w:val="22"/>
            </w:rPr>
            <m:t>×</m:t>
          </m:r>
          <m:sSup>
            <m:sSupPr>
              <m:ctrlPr>
                <w:rPr>
                  <w:rFonts w:ascii="Cambria Math" w:eastAsiaTheme="minorEastAsia" w:hAnsi="Cambria Math"/>
                  <w:i/>
                  <w:sz w:val="22"/>
                </w:rPr>
              </m:ctrlPr>
            </m:sSupPr>
            <m:e>
              <m:r>
                <w:rPr>
                  <w:rFonts w:ascii="Cambria Math" w:eastAsiaTheme="minorEastAsia" w:hAnsi="Cambria Math"/>
                  <w:sz w:val="22"/>
                </w:rPr>
                <m:t>(</m:t>
              </m:r>
              <m:acc>
                <m:accPr>
                  <m:chr m:val="̅"/>
                  <m:ctrlPr>
                    <w:rPr>
                      <w:rFonts w:ascii="Cambria Math" w:eastAsiaTheme="minorEastAsia" w:hAnsi="Cambria Math"/>
                      <w:i/>
                      <w:sz w:val="22"/>
                    </w:rPr>
                  </m:ctrlPr>
                </m:accPr>
                <m:e>
                  <m:sSub>
                    <m:sSubPr>
                      <m:ctrlPr>
                        <w:rPr>
                          <w:rFonts w:ascii="Cambria Math" w:eastAsiaTheme="minorEastAsia" w:hAnsi="Cambria Math"/>
                          <w:i/>
                          <w:sz w:val="22"/>
                        </w:rPr>
                      </m:ctrlPr>
                    </m:sSubPr>
                    <m:e>
                      <m:r>
                        <w:rPr>
                          <w:rFonts w:ascii="Cambria Math" w:eastAsiaTheme="minorEastAsia" w:hAnsi="Cambria Math"/>
                          <w:sz w:val="22"/>
                        </w:rPr>
                        <m:t>∆</m:t>
                      </m:r>
                    </m:e>
                    <m:sub>
                      <m:r>
                        <w:rPr>
                          <w:rFonts w:ascii="Cambria Math" w:eastAsiaTheme="minorEastAsia" w:hAnsi="Cambria Math"/>
                          <w:sz w:val="22"/>
                        </w:rPr>
                        <m:t>f</m:t>
                      </m:r>
                    </m:sub>
                  </m:sSub>
                </m:e>
              </m:acc>
              <m:r>
                <w:rPr>
                  <w:rFonts w:ascii="Cambria Math" w:eastAsiaTheme="minorEastAsia" w:hAnsi="Cambria Math"/>
                  <w:sz w:val="22"/>
                </w:rPr>
                <m:t>)</m:t>
              </m:r>
            </m:e>
            <m:sup>
              <m:r>
                <w:rPr>
                  <w:rFonts w:ascii="Cambria Math" w:eastAsiaTheme="minorEastAsia" w:hAnsi="Cambria Math"/>
                  <w:sz w:val="22"/>
                </w:rPr>
                <m:t>-1</m:t>
              </m:r>
            </m:sup>
          </m:sSup>
          <m:r>
            <w:rPr>
              <w:rFonts w:ascii="Cambria Math" w:eastAsiaTheme="minorEastAsia" w:hAnsi="Cambria Math"/>
              <w:sz w:val="22"/>
            </w:rPr>
            <m:t>=</m:t>
          </m:r>
          <m:f>
            <m:fPr>
              <m:type m:val="skw"/>
              <m:ctrlPr>
                <w:rPr>
                  <w:rFonts w:ascii="Cambria Math" w:eastAsiaTheme="minorEastAsia" w:hAnsi="Cambria Math"/>
                  <w:i/>
                  <w:sz w:val="22"/>
                </w:rPr>
              </m:ctrlPr>
            </m:fPr>
            <m:num>
              <m:sSub>
                <m:sSubPr>
                  <m:ctrlPr>
                    <w:rPr>
                      <w:rFonts w:ascii="Cambria Math" w:eastAsia="Calibri" w:hAnsi="Cambria Math"/>
                      <w:i/>
                      <w:sz w:val="22"/>
                    </w:rPr>
                  </m:ctrlPr>
                </m:sSubPr>
                <m:e>
                  <m:r>
                    <w:rPr>
                      <w:rFonts w:ascii="Cambria Math" w:hAnsi="Cambria Math"/>
                    </w:rPr>
                    <m:t>σ</m:t>
                  </m:r>
                </m:e>
                <m:sub>
                  <m:r>
                    <w:rPr>
                      <w:rFonts w:ascii="Cambria Math" w:hAnsi="Cambria Math"/>
                    </w:rPr>
                    <m:t>2</m:t>
                  </m:r>
                </m:sub>
              </m:sSub>
            </m:num>
            <m:den>
              <m:acc>
                <m:accPr>
                  <m:chr m:val="̅"/>
                  <m:ctrlPr>
                    <w:rPr>
                      <w:rFonts w:ascii="Cambria Math" w:eastAsiaTheme="minorEastAsia" w:hAnsi="Cambria Math"/>
                      <w:i/>
                      <w:sz w:val="22"/>
                    </w:rPr>
                  </m:ctrlPr>
                </m:accPr>
                <m:e>
                  <m:sSub>
                    <m:sSubPr>
                      <m:ctrlPr>
                        <w:rPr>
                          <w:rFonts w:ascii="Cambria Math" w:eastAsiaTheme="minorEastAsia" w:hAnsi="Cambria Math"/>
                          <w:i/>
                          <w:sz w:val="22"/>
                        </w:rPr>
                      </m:ctrlPr>
                    </m:sSubPr>
                    <m:e>
                      <m:r>
                        <w:rPr>
                          <w:rFonts w:ascii="Cambria Math" w:eastAsiaTheme="minorEastAsia" w:hAnsi="Cambria Math"/>
                          <w:sz w:val="22"/>
                        </w:rPr>
                        <m:t>∆</m:t>
                      </m:r>
                    </m:e>
                    <m:sub>
                      <m:r>
                        <w:rPr>
                          <w:rFonts w:ascii="Cambria Math" w:eastAsiaTheme="minorEastAsia" w:hAnsi="Cambria Math"/>
                          <w:sz w:val="22"/>
                        </w:rPr>
                        <m:t>f</m:t>
                      </m:r>
                    </m:sub>
                  </m:sSub>
                </m:e>
              </m:acc>
            </m:den>
          </m:f>
        </m:oMath>
      </m:oMathPara>
    </w:p>
    <w:p w:rsidR="003B336C" w:rsidRDefault="003B336C" w:rsidP="003B336C">
      <w:pPr>
        <w:rPr>
          <w:rFonts w:eastAsiaTheme="minorEastAsia"/>
        </w:rPr>
      </w:pPr>
      <w:r w:rsidRPr="00B620E1">
        <w:t xml:space="preserve">Note that  </w:t>
      </w:r>
      <m:oMath>
        <m:sSub>
          <m:sSubPr>
            <m:ctrlPr>
              <w:rPr>
                <w:rFonts w:ascii="Cambria Math" w:eastAsia="Calibri" w:hAnsi="Cambria Math"/>
                <w:i/>
              </w:rPr>
            </m:ctrlPr>
          </m:sSubPr>
          <m:e>
            <m:r>
              <w:rPr>
                <w:rFonts w:ascii="Cambria Math" w:hAnsi="Cambria Math"/>
              </w:rPr>
              <m:t>σ</m:t>
            </m:r>
          </m:e>
          <m:sub>
            <m:r>
              <w:rPr>
                <w:rFonts w:ascii="Cambria Math" w:hAnsi="Cambria Math"/>
              </w:rPr>
              <m:t>2</m:t>
            </m:r>
          </m:sub>
        </m:sSub>
      </m:oMath>
      <w:r w:rsidRPr="00B620E1">
        <w:t xml:space="preserve"> is </w:t>
      </w:r>
      <w:r>
        <w:t xml:space="preserve">the constant of proportionality that we have also used as a </w:t>
      </w:r>
      <w:r w:rsidRPr="00B620E1">
        <w:t>re-ranging parameter</w:t>
      </w:r>
      <w:r>
        <w:t xml:space="preserve"> with value </w:t>
      </w:r>
      <w:r w:rsidRPr="00B620E1">
        <w:t>100</w:t>
      </w:r>
      <w:r>
        <w:t>.</w:t>
      </w:r>
      <w:r w:rsidRPr="00B620E1">
        <w:t xml:space="preserve">  </w:t>
      </w:r>
      <m:oMath>
        <m:sSub>
          <m:sSubPr>
            <m:ctrlPr>
              <w:rPr>
                <w:rFonts w:ascii="Cambria Math" w:eastAsiaTheme="minorEastAsia" w:hAnsi="Cambria Math"/>
                <w:i/>
              </w:rPr>
            </m:ctrlPr>
          </m:sSubPr>
          <m:e>
            <m:r>
              <w:rPr>
                <w:rFonts w:ascii="Cambria Math" w:eastAsiaTheme="minorEastAsia" w:hAnsi="Cambria Math"/>
              </w:rPr>
              <m:t xml:space="preserve"> s</m:t>
            </m:r>
          </m:e>
          <m:sub>
            <m:r>
              <w:rPr>
                <w:rFonts w:ascii="Cambria Math" w:eastAsiaTheme="minorEastAsia" w:hAnsi="Cambria Math"/>
              </w:rPr>
              <m:t>f</m:t>
            </m:r>
          </m:sub>
        </m:sSub>
      </m:oMath>
      <w:r w:rsidRPr="00B620E1">
        <w:rPr>
          <w:rFonts w:eastAsiaTheme="minorEastAsia"/>
        </w:rPr>
        <w:t xml:space="preserve"> </w:t>
      </w:r>
      <w:proofErr w:type="gramStart"/>
      <w:r w:rsidRPr="00B620E1">
        <w:rPr>
          <w:rFonts w:eastAsiaTheme="minorEastAsia"/>
        </w:rPr>
        <w:t>is</w:t>
      </w:r>
      <w:proofErr w:type="gramEnd"/>
      <w:r w:rsidRPr="00B620E1">
        <w:rPr>
          <w:rFonts w:eastAsiaTheme="minorEastAsia"/>
        </w:rPr>
        <w:t xml:space="preserve"> scaled by 100 to normalize its scale to the other variables such as</w:t>
      </w:r>
      <m:oMath>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f</m:t>
            </m:r>
          </m:sub>
        </m:sSub>
      </m:oMath>
      <w:r w:rsidRPr="00B620E1">
        <w:rPr>
          <w:rFonts w:eastAsiaTheme="minorEastAsia"/>
        </w:rPr>
        <w:t xml:space="preserve">. </w:t>
      </w:r>
      <w:r>
        <w:rPr>
          <w:rFonts w:eastAsiaTheme="minorEastAsia"/>
        </w:rPr>
        <w:t xml:space="preserve"> </w:t>
      </w:r>
    </w:p>
    <w:p w:rsidR="003B336C" w:rsidRPr="00A64467" w:rsidRDefault="003B336C" w:rsidP="003B336C">
      <w:pPr>
        <w:pStyle w:val="Heading2"/>
        <w:rPr>
          <w:rFonts w:eastAsiaTheme="minorEastAsia"/>
        </w:rPr>
      </w:pPr>
      <w:r>
        <w:rPr>
          <w:rFonts w:eastAsiaTheme="minorEastAsia"/>
        </w:rPr>
        <w:t xml:space="preserve"> </w:t>
      </w:r>
      <w:r w:rsidRPr="00A64467">
        <w:rPr>
          <w:rFonts w:eastAsiaTheme="minorEastAsia"/>
        </w:rPr>
        <w:t xml:space="preserve">Stability Analysis </w:t>
      </w:r>
    </w:p>
    <w:p w:rsidR="003B336C" w:rsidRPr="00125528" w:rsidRDefault="003B336C" w:rsidP="003B336C">
      <w:pPr>
        <w:pStyle w:val="Text"/>
        <w:ind w:firstLine="204"/>
        <w:rPr>
          <w:rFonts w:eastAsiaTheme="minorEastAsia"/>
        </w:rPr>
      </w:pPr>
      <w:r>
        <w:rPr>
          <w:rFonts w:eastAsiaTheme="minorEastAsia"/>
        </w:rPr>
        <w:t xml:space="preserve">Let us consider the stability of NOCS and ICCAD, as shown </w:t>
      </w:r>
      <w:r w:rsidRPr="00A64467">
        <w:rPr>
          <w:rFonts w:eastAsiaTheme="minorEastAsia"/>
        </w:rPr>
        <w:t xml:space="preserve">in </w:t>
      </w:r>
      <w:r w:rsidRPr="00A64467">
        <w:rPr>
          <w:rFonts w:eastAsiaTheme="minorEastAsia"/>
        </w:rPr>
        <w:fldChar w:fldCharType="begin"/>
      </w:r>
      <w:r w:rsidRPr="00A64467">
        <w:rPr>
          <w:rFonts w:eastAsiaTheme="minorEastAsia"/>
        </w:rPr>
        <w:instrText xml:space="preserve"> REF _Ref428018880 \h  \* MERGEFORMAT </w:instrText>
      </w:r>
      <w:r w:rsidRPr="00A64467">
        <w:rPr>
          <w:rFonts w:eastAsiaTheme="minorEastAsia"/>
        </w:rPr>
      </w:r>
      <w:r w:rsidRPr="00A64467">
        <w:rPr>
          <w:rFonts w:eastAsiaTheme="minorEastAsia"/>
        </w:rPr>
        <w:fldChar w:fldCharType="separate"/>
      </w:r>
      <w:r w:rsidR="00050578" w:rsidRPr="005E3888">
        <w:t xml:space="preserve">Table </w:t>
      </w:r>
      <w:r w:rsidR="00050578">
        <w:rPr>
          <w:noProof/>
        </w:rPr>
        <w:t>3</w:t>
      </w:r>
      <w:r w:rsidRPr="00A64467">
        <w:rPr>
          <w:rFonts w:eastAsiaTheme="minorEastAsia"/>
        </w:rPr>
        <w:fldChar w:fldCharType="end"/>
      </w:r>
      <w:r w:rsidRPr="00A64467">
        <w:rPr>
          <w:rFonts w:eastAsiaTheme="minorEastAsia"/>
        </w:rPr>
        <w:t xml:space="preserve"> and </w:t>
      </w:r>
      <w:r w:rsidRPr="00A64467">
        <w:rPr>
          <w:rFonts w:eastAsiaTheme="minorEastAsia"/>
        </w:rPr>
        <w:fldChar w:fldCharType="begin"/>
      </w:r>
      <w:r w:rsidRPr="00A64467">
        <w:rPr>
          <w:rFonts w:eastAsiaTheme="minorEastAsia"/>
        </w:rPr>
        <w:instrText xml:space="preserve"> REF _Ref428018887 \h  \* MERGEFORMAT </w:instrText>
      </w:r>
      <w:r w:rsidRPr="00A64467">
        <w:rPr>
          <w:rFonts w:eastAsiaTheme="minorEastAsia"/>
        </w:rPr>
      </w:r>
      <w:r w:rsidRPr="00A64467">
        <w:rPr>
          <w:rFonts w:eastAsiaTheme="minorEastAsia"/>
        </w:rPr>
        <w:fldChar w:fldCharType="separate"/>
      </w:r>
      <w:r w:rsidR="00050578" w:rsidRPr="005E3888">
        <w:t xml:space="preserve">Table </w:t>
      </w:r>
      <w:r w:rsidR="00050578" w:rsidRPr="00050578">
        <w:rPr>
          <w:noProof/>
        </w:rPr>
        <w:t>4</w:t>
      </w:r>
      <w:r w:rsidRPr="00A64467">
        <w:rPr>
          <w:rFonts w:eastAsiaTheme="minorEastAsia"/>
        </w:rPr>
        <w:fldChar w:fldCharType="end"/>
      </w:r>
      <w:r>
        <w:rPr>
          <w:rFonts w:eastAsiaTheme="minorEastAsia"/>
        </w:rPr>
        <w:t xml:space="preserve">, in terms of the following metrics: </w:t>
      </w:r>
    </w:p>
    <w:p w:rsidR="003B336C" w:rsidRDefault="00167287" w:rsidP="003B336C">
      <w:pPr>
        <w:pStyle w:val="Text"/>
        <w:numPr>
          <w:ilvl w:val="0"/>
          <w:numId w:val="45"/>
        </w:numP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 xml:space="preserve"> s</m:t>
            </m:r>
          </m:e>
          <m:sub>
            <m:r>
              <m:rPr>
                <m:sty m:val="bi"/>
              </m:rPr>
              <w:rPr>
                <w:rFonts w:ascii="Cambria Math" w:eastAsiaTheme="minorEastAsia" w:hAnsi="Cambria Math"/>
              </w:rPr>
              <m:t>f-nocs-perfect</m:t>
            </m:r>
          </m:sub>
        </m:sSub>
      </m:oMath>
      <w:r w:rsidR="003B336C" w:rsidRPr="00125528">
        <w:rPr>
          <w:rFonts w:eastAsiaTheme="minorEastAsia"/>
        </w:rPr>
        <w:t xml:space="preserve"> </w:t>
      </w:r>
      <w:r w:rsidR="003B336C">
        <w:rPr>
          <w:rFonts w:eastAsiaTheme="minorEastAsia"/>
        </w:rPr>
        <w:t>= stability of NOCS calculated for the year intervals 2010-2011 and 2012-2013,</w:t>
      </w:r>
    </w:p>
    <w:p w:rsidR="003B336C" w:rsidRPr="009D6DFB" w:rsidRDefault="00167287" w:rsidP="003B336C">
      <w:pPr>
        <w:pStyle w:val="Text"/>
        <w:numPr>
          <w:ilvl w:val="0"/>
          <w:numId w:val="45"/>
        </w:numP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 xml:space="preserve"> s</m:t>
            </m:r>
          </m:e>
          <m:sub>
            <m:r>
              <m:rPr>
                <m:sty m:val="bi"/>
              </m:rPr>
              <w:rPr>
                <w:rFonts w:ascii="Cambria Math" w:eastAsiaTheme="minorEastAsia" w:hAnsi="Cambria Math"/>
              </w:rPr>
              <m:t>f-nocs-regular</m:t>
            </m:r>
          </m:sub>
        </m:sSub>
      </m:oMath>
      <w:r w:rsidR="003B336C">
        <w:t xml:space="preserve"> = </w:t>
      </w:r>
      <w:r w:rsidR="003B336C">
        <w:rPr>
          <w:rFonts w:eastAsiaTheme="minorEastAsia"/>
        </w:rPr>
        <w:t>stability of NOCS calculated for the year intervals 2011-2012 and</w:t>
      </w:r>
      <w:r w:rsidR="003B336C" w:rsidRPr="001C6226">
        <w:rPr>
          <w:rFonts w:eastAsiaTheme="minorEastAsia"/>
        </w:rPr>
        <w:t xml:space="preserve"> 2013-2014</w:t>
      </w:r>
      <w:r w:rsidR="003B336C">
        <w:rPr>
          <w:rFonts w:eastAsiaTheme="minorEastAsia"/>
        </w:rPr>
        <w:t>,</w:t>
      </w:r>
    </w:p>
    <w:p w:rsidR="003B336C" w:rsidRPr="001C6226" w:rsidRDefault="00167287" w:rsidP="003B336C">
      <w:pPr>
        <w:pStyle w:val="Text"/>
        <w:numPr>
          <w:ilvl w:val="0"/>
          <w:numId w:val="45"/>
        </w:numP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 xml:space="preserve"> s</m:t>
            </m:r>
          </m:e>
          <m:sub>
            <m:r>
              <m:rPr>
                <m:sty m:val="bi"/>
              </m:rPr>
              <w:rPr>
                <w:rFonts w:ascii="Cambria Math" w:eastAsiaTheme="minorEastAsia" w:hAnsi="Cambria Math"/>
              </w:rPr>
              <m:t>f-nocs</m:t>
            </m:r>
          </m:sub>
        </m:sSub>
        <m:r>
          <w:rPr>
            <w:rFonts w:ascii="Cambria Math" w:hAnsi="Cambria Math"/>
          </w:rPr>
          <m:t xml:space="preserve"> </m:t>
        </m:r>
      </m:oMath>
      <w:r w:rsidR="003B336C">
        <w:rPr>
          <w:rFonts w:eastAsiaTheme="minorEastAsia"/>
        </w:rPr>
        <w:t xml:space="preserve">= stability of NOCS calculated for the year intervals 2010-2011,   </w:t>
      </w:r>
      <w:r w:rsidR="003B336C" w:rsidRPr="001C6226">
        <w:rPr>
          <w:rFonts w:eastAsiaTheme="minorEastAsia"/>
        </w:rPr>
        <w:t>2011-2012,</w:t>
      </w:r>
      <w:r w:rsidR="003B336C">
        <w:rPr>
          <w:rFonts w:eastAsiaTheme="minorEastAsia"/>
        </w:rPr>
        <w:t xml:space="preserve"> 2012-2013,   and </w:t>
      </w:r>
      <w:r w:rsidR="003B336C" w:rsidRPr="001C6226">
        <w:rPr>
          <w:rFonts w:eastAsiaTheme="minorEastAsia"/>
        </w:rPr>
        <w:t>2012-2013</w:t>
      </w:r>
      <w:r w:rsidR="003B336C">
        <w:rPr>
          <w:rFonts w:eastAsiaTheme="minorEastAsia"/>
        </w:rPr>
        <w:t>, and</w:t>
      </w:r>
    </w:p>
    <w:p w:rsidR="003B336C" w:rsidRDefault="00167287" w:rsidP="003B336C">
      <w:pPr>
        <w:pStyle w:val="Text"/>
        <w:numPr>
          <w:ilvl w:val="0"/>
          <w:numId w:val="45"/>
        </w:numP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 xml:space="preserve"> s</m:t>
            </m:r>
          </m:e>
          <m:sub>
            <m:r>
              <m:rPr>
                <m:sty m:val="bi"/>
              </m:rPr>
              <w:rPr>
                <w:rFonts w:ascii="Cambria Math" w:eastAsiaTheme="minorEastAsia" w:hAnsi="Cambria Math"/>
              </w:rPr>
              <m:t>f-iccad</m:t>
            </m:r>
          </m:sub>
        </m:sSub>
        <m:r>
          <w:rPr>
            <w:rFonts w:ascii="Cambria Math" w:hAnsi="Cambria Math"/>
          </w:rPr>
          <m:t xml:space="preserve"> </m:t>
        </m:r>
      </m:oMath>
      <w:r w:rsidR="003B336C">
        <w:rPr>
          <w:rFonts w:eastAsiaTheme="minorEastAsia"/>
        </w:rPr>
        <w:t xml:space="preserve">= stability of ICCAD calculated for the year intervals 2010-2011,   </w:t>
      </w:r>
      <w:r w:rsidR="003B336C" w:rsidRPr="001C6226">
        <w:rPr>
          <w:rFonts w:eastAsiaTheme="minorEastAsia"/>
        </w:rPr>
        <w:t>2011-2012,</w:t>
      </w:r>
      <w:r w:rsidR="003B336C">
        <w:rPr>
          <w:rFonts w:eastAsiaTheme="minorEastAsia"/>
        </w:rPr>
        <w:t xml:space="preserve"> 2012-2013,   and </w:t>
      </w:r>
      <w:r w:rsidR="003B336C" w:rsidRPr="001C6226">
        <w:rPr>
          <w:rFonts w:eastAsiaTheme="minorEastAsia"/>
        </w:rPr>
        <w:t>2012-2013</w:t>
      </w:r>
      <w:r w:rsidR="003B336C">
        <w:rPr>
          <w:rFonts w:eastAsiaTheme="minorEastAsia"/>
        </w:rPr>
        <w:t>.</w:t>
      </w:r>
    </w:p>
    <w:p w:rsidR="003B336C" w:rsidRDefault="003B336C" w:rsidP="003B336C">
      <w:pPr>
        <w:pStyle w:val="Text"/>
        <w:ind w:firstLine="0"/>
        <w:rPr>
          <w:rFonts w:eastAsiaTheme="minorEastAsia"/>
        </w:rPr>
      </w:pPr>
      <w:r>
        <w:rPr>
          <w:rFonts w:eastAsiaTheme="minorEastAsia"/>
        </w:rPr>
        <w:t xml:space="preserve">As can be seen, NOCS is not consistently stable over its entire lifetime of five years that we considered. When considering </w:t>
      </w:r>
      <m:oMath>
        <m:sSub>
          <m:sSubPr>
            <m:ctrlPr>
              <w:rPr>
                <w:rFonts w:ascii="Cambria Math" w:eastAsiaTheme="minorEastAsia" w:hAnsi="Cambria Math"/>
                <w:b/>
                <w:i/>
              </w:rPr>
            </m:ctrlPr>
          </m:sSubPr>
          <m:e>
            <m:r>
              <m:rPr>
                <m:sty m:val="bi"/>
              </m:rPr>
              <w:rPr>
                <w:rFonts w:ascii="Cambria Math" w:eastAsiaTheme="minorEastAsia" w:hAnsi="Cambria Math"/>
              </w:rPr>
              <m:t xml:space="preserve"> s</m:t>
            </m:r>
          </m:e>
          <m:sub>
            <m:r>
              <m:rPr>
                <m:sty m:val="bi"/>
              </m:rPr>
              <w:rPr>
                <w:rFonts w:ascii="Cambria Math" w:eastAsiaTheme="minorEastAsia" w:hAnsi="Cambria Math"/>
              </w:rPr>
              <m:t>f-nocs-perfect</m:t>
            </m:r>
          </m:sub>
        </m:sSub>
      </m:oMath>
      <w:r>
        <w:rPr>
          <w:rFonts w:eastAsiaTheme="minorEastAsia"/>
        </w:rPr>
        <w:t xml:space="preserve"> for the special intervals of 2010-2011 and 2012-2013, where the fair years respectively began and ended, we can see that there is a big variation in fairness values, leading to a low stability of 2.8.   On the other hand, </w:t>
      </w:r>
      <w:r>
        <w:rPr>
          <w:rFonts w:eastAsiaTheme="minorEastAsia"/>
        </w:rPr>
        <w:lastRenderedPageBreak/>
        <w:t xml:space="preserve">considering </w:t>
      </w:r>
      <m:oMath>
        <m:sSub>
          <m:sSubPr>
            <m:ctrlPr>
              <w:rPr>
                <w:rFonts w:ascii="Cambria Math" w:eastAsiaTheme="minorEastAsia" w:hAnsi="Cambria Math"/>
                <w:b/>
                <w:i/>
              </w:rPr>
            </m:ctrlPr>
          </m:sSubPr>
          <m:e>
            <m:r>
              <m:rPr>
                <m:sty m:val="bi"/>
              </m:rPr>
              <w:rPr>
                <w:rFonts w:ascii="Cambria Math" w:eastAsiaTheme="minorEastAsia" w:hAnsi="Cambria Math"/>
              </w:rPr>
              <m:t xml:space="preserve"> s</m:t>
            </m:r>
          </m:e>
          <m:sub>
            <m:r>
              <m:rPr>
                <m:sty m:val="bi"/>
              </m:rPr>
              <w:rPr>
                <w:rFonts w:ascii="Cambria Math" w:eastAsiaTheme="minorEastAsia" w:hAnsi="Cambria Math"/>
              </w:rPr>
              <m:t>f-nocs-regular</m:t>
            </m:r>
          </m:sub>
        </m:sSub>
      </m:oMath>
      <w:r>
        <w:rPr>
          <w:rFonts w:eastAsiaTheme="minorEastAsia"/>
        </w:rPr>
        <w:t xml:space="preserve"> for the intervals 2011-2012 and 2013-2014, </w:t>
      </w:r>
      <w:r w:rsidRPr="001C6226">
        <w:rPr>
          <w:rFonts w:eastAsiaTheme="minorEastAsia"/>
        </w:rPr>
        <w:t>when the transitions were between</w:t>
      </w:r>
      <w:r>
        <w:rPr>
          <w:rFonts w:eastAsiaTheme="minorEastAsia"/>
        </w:rPr>
        <w:t xml:space="preserve"> the</w:t>
      </w:r>
      <w:r w:rsidRPr="001C6226">
        <w:rPr>
          <w:rFonts w:eastAsiaTheme="minorEastAsia"/>
        </w:rPr>
        <w:t xml:space="preserve"> years that </w:t>
      </w:r>
      <w:r>
        <w:rPr>
          <w:rFonts w:eastAsiaTheme="minorEastAsia"/>
        </w:rPr>
        <w:t xml:space="preserve">    </w:t>
      </w:r>
    </w:p>
    <w:p w:rsidR="003B336C" w:rsidRDefault="003B336C" w:rsidP="003B336C">
      <w:pPr>
        <w:pStyle w:val="Text"/>
        <w:ind w:firstLine="0"/>
        <w:rPr>
          <w:rFonts w:eastAsiaTheme="minorEastAsia"/>
        </w:rPr>
      </w:pPr>
    </w:p>
    <w:p w:rsidR="005157D4" w:rsidRDefault="003B336C" w:rsidP="003B336C">
      <w:pPr>
        <w:pStyle w:val="Text"/>
        <w:ind w:firstLine="0"/>
        <w:rPr>
          <w:rFonts w:eastAsiaTheme="minorEastAsia"/>
        </w:rPr>
      </w:pPr>
      <w:proofErr w:type="gramStart"/>
      <w:r w:rsidRPr="001C6226">
        <w:rPr>
          <w:rFonts w:eastAsiaTheme="minorEastAsia"/>
        </w:rPr>
        <w:lastRenderedPageBreak/>
        <w:t>were</w:t>
      </w:r>
      <w:proofErr w:type="gramEnd"/>
      <w:r w:rsidRPr="001C6226">
        <w:rPr>
          <w:rFonts w:eastAsiaTheme="minorEastAsia"/>
        </w:rPr>
        <w:t xml:space="preserve"> either both highly fair or highly unfair, the stability</w:t>
      </w:r>
      <w:r>
        <w:rPr>
          <w:rFonts w:eastAsiaTheme="minorEastAsia"/>
        </w:rPr>
        <w:t xml:space="preserve"> value is 250. </w:t>
      </w:r>
    </w:p>
    <w:p w:rsidR="003B336C" w:rsidRDefault="003B336C" w:rsidP="003B336C">
      <w:pPr>
        <w:pStyle w:val="Text"/>
        <w:ind w:firstLine="0"/>
        <w:rPr>
          <w:rFonts w:eastAsiaTheme="minorEastAsia"/>
        </w:rPr>
        <w:sectPr w:rsidR="003B336C" w:rsidSect="007648C5">
          <w:headerReference w:type="default" r:id="rId13"/>
          <w:footerReference w:type="even" r:id="rId14"/>
          <w:footerReference w:type="default" r:id="rId15"/>
          <w:pgSz w:w="12240" w:h="15840" w:code="1"/>
          <w:pgMar w:top="1008" w:right="936" w:bottom="1008" w:left="936" w:header="432" w:footer="432" w:gutter="0"/>
          <w:cols w:num="2" w:space="288"/>
        </w:sectPr>
      </w:pPr>
    </w:p>
    <w:p w:rsidR="003B336C" w:rsidRDefault="003B336C" w:rsidP="003B336C">
      <w:pPr>
        <w:jc w:val="center"/>
      </w:pPr>
      <w:bookmarkStart w:id="16" w:name="_Ref428018880"/>
      <w:r w:rsidRPr="005E3888">
        <w:lastRenderedPageBreak/>
        <w:t xml:space="preserve">Table </w:t>
      </w:r>
      <w:fldSimple w:instr=" SEQ Table \* ARABIC ">
        <w:r w:rsidR="00050578">
          <w:rPr>
            <w:noProof/>
          </w:rPr>
          <w:t>3</w:t>
        </w:r>
      </w:fldSimple>
      <w:bookmarkEnd w:id="16"/>
      <w:r w:rsidRPr="005E3888">
        <w:t>. NOCS stability analysis</w:t>
      </w:r>
    </w:p>
    <w:p w:rsidR="003B336C" w:rsidRPr="00980971" w:rsidRDefault="003B336C" w:rsidP="003B336C"/>
    <w:tbl>
      <w:tblPr>
        <w:tblStyle w:val="TableGrid"/>
        <w:tblW w:w="0" w:type="auto"/>
        <w:jc w:val="center"/>
        <w:tblLook w:val="04A0" w:firstRow="1" w:lastRow="0" w:firstColumn="1" w:lastColumn="0" w:noHBand="0" w:noVBand="1"/>
      </w:tblPr>
      <w:tblGrid>
        <w:gridCol w:w="1694"/>
        <w:gridCol w:w="1512"/>
        <w:gridCol w:w="1044"/>
        <w:gridCol w:w="1170"/>
        <w:gridCol w:w="1350"/>
        <w:gridCol w:w="1440"/>
        <w:gridCol w:w="1260"/>
      </w:tblGrid>
      <w:tr w:rsidR="003B336C" w:rsidTr="00A70EC2">
        <w:trPr>
          <w:jc w:val="center"/>
        </w:trPr>
        <w:tc>
          <w:tcPr>
            <w:tcW w:w="1677" w:type="dxa"/>
          </w:tcPr>
          <w:p w:rsidR="003B336C" w:rsidRPr="00A64467" w:rsidRDefault="003B336C" w:rsidP="00A70EC2">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Parameter</w:t>
            </w:r>
          </w:p>
        </w:tc>
        <w:tc>
          <w:tcPr>
            <w:tcW w:w="1512" w:type="dxa"/>
          </w:tcPr>
          <w:p w:rsidR="003B336C" w:rsidRPr="00A64467" w:rsidRDefault="003B336C" w:rsidP="00A70EC2">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Years</w:t>
            </w:r>
          </w:p>
        </w:tc>
        <w:tc>
          <w:tcPr>
            <w:tcW w:w="1044" w:type="dxa"/>
          </w:tcPr>
          <w:p w:rsidR="003B336C" w:rsidRPr="00A64467" w:rsidRDefault="003B336C" w:rsidP="00A70EC2">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2010</w:t>
            </w:r>
          </w:p>
        </w:tc>
        <w:tc>
          <w:tcPr>
            <w:tcW w:w="1170" w:type="dxa"/>
          </w:tcPr>
          <w:p w:rsidR="003B336C" w:rsidRPr="00A64467" w:rsidRDefault="003B336C" w:rsidP="00A70EC2">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2011</w:t>
            </w:r>
          </w:p>
        </w:tc>
        <w:tc>
          <w:tcPr>
            <w:tcW w:w="1350" w:type="dxa"/>
          </w:tcPr>
          <w:p w:rsidR="003B336C" w:rsidRPr="00A64467" w:rsidRDefault="003B336C" w:rsidP="00A70EC2">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2012</w:t>
            </w:r>
          </w:p>
        </w:tc>
        <w:tc>
          <w:tcPr>
            <w:tcW w:w="1440" w:type="dxa"/>
          </w:tcPr>
          <w:p w:rsidR="003B336C" w:rsidRPr="00A64467" w:rsidRDefault="003B336C" w:rsidP="00A70EC2">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2013</w:t>
            </w:r>
          </w:p>
        </w:tc>
        <w:tc>
          <w:tcPr>
            <w:tcW w:w="1260" w:type="dxa"/>
          </w:tcPr>
          <w:p w:rsidR="003B336C" w:rsidRPr="00A64467" w:rsidRDefault="003B336C" w:rsidP="00A70EC2">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2014</w:t>
            </w:r>
          </w:p>
        </w:tc>
      </w:tr>
      <w:tr w:rsidR="003B336C" w:rsidRPr="005E3888" w:rsidTr="00A70EC2">
        <w:trPr>
          <w:jc w:val="center"/>
        </w:trPr>
        <w:tc>
          <w:tcPr>
            <w:tcW w:w="1677" w:type="dxa"/>
          </w:tcPr>
          <w:p w:rsidR="003B336C" w:rsidRPr="00D30915" w:rsidRDefault="00167287" w:rsidP="00A70EC2">
            <w:pPr>
              <w:jc w:val="center"/>
              <w:rPr>
                <w:rFonts w:ascii="Times New Roman" w:eastAsiaTheme="minorEastAsia" w:hAnsi="Times New Roman" w:cs="Times New Roman"/>
                <w:b/>
                <w:szCs w:val="20"/>
              </w:rPr>
            </w:pPr>
            <m:oMathPara>
              <m:oMath>
                <m:sSub>
                  <m:sSubPr>
                    <m:ctrlPr>
                      <w:rPr>
                        <w:rFonts w:ascii="Cambria Math" w:hAnsi="Cambria Math" w:cs="Times New Roman"/>
                        <w:b/>
                        <w:i/>
                        <w:szCs w:val="20"/>
                      </w:rPr>
                    </m:ctrlPr>
                  </m:sSubPr>
                  <m:e>
                    <m:r>
                      <m:rPr>
                        <m:sty m:val="bi"/>
                      </m:rPr>
                      <w:rPr>
                        <w:rFonts w:ascii="Cambria Math" w:hAnsi="Cambria Math" w:cs="Times New Roman"/>
                        <w:szCs w:val="20"/>
                      </w:rPr>
                      <m:t>v</m:t>
                    </m:r>
                  </m:e>
                  <m:sub>
                    <m:r>
                      <m:rPr>
                        <m:sty m:val="bi"/>
                      </m:rPr>
                      <w:rPr>
                        <w:rFonts w:ascii="Cambria Math" w:hAnsi="Cambria Math" w:cs="Times New Roman"/>
                        <w:szCs w:val="20"/>
                      </w:rPr>
                      <m:t>f</m:t>
                    </m:r>
                  </m:sub>
                </m:sSub>
              </m:oMath>
            </m:oMathPara>
          </w:p>
        </w:tc>
        <w:tc>
          <w:tcPr>
            <w:tcW w:w="1512" w:type="dxa"/>
          </w:tcPr>
          <w:p w:rsidR="003B336C" w:rsidRPr="00A64467" w:rsidRDefault="003B336C" w:rsidP="00A70EC2">
            <w:pPr>
              <w:jc w:val="center"/>
              <w:rPr>
                <w:rFonts w:ascii="Times New Roman" w:eastAsiaTheme="minorEastAsia" w:hAnsi="Times New Roman" w:cs="Times New Roman"/>
                <w:sz w:val="20"/>
                <w:szCs w:val="20"/>
              </w:rPr>
            </w:pPr>
          </w:p>
        </w:tc>
        <w:tc>
          <w:tcPr>
            <w:tcW w:w="1044" w:type="dxa"/>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3.2</w:t>
            </w:r>
          </w:p>
        </w:tc>
        <w:tc>
          <w:tcPr>
            <w:tcW w:w="1170" w:type="dxa"/>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38.7</w:t>
            </w:r>
          </w:p>
        </w:tc>
        <w:tc>
          <w:tcPr>
            <w:tcW w:w="1350" w:type="dxa"/>
            <w:tcBorders>
              <w:bottom w:val="single" w:sz="4" w:space="0" w:color="auto"/>
            </w:tcBorders>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38.2</w:t>
            </w:r>
          </w:p>
        </w:tc>
        <w:tc>
          <w:tcPr>
            <w:tcW w:w="1440" w:type="dxa"/>
            <w:tcBorders>
              <w:bottom w:val="single" w:sz="4" w:space="0" w:color="auto"/>
            </w:tcBorders>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1.9</w:t>
            </w:r>
          </w:p>
        </w:tc>
        <w:tc>
          <w:tcPr>
            <w:tcW w:w="1260" w:type="dxa"/>
            <w:tcBorders>
              <w:bottom w:val="single" w:sz="4" w:space="0" w:color="auto"/>
            </w:tcBorders>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2.2</w:t>
            </w:r>
          </w:p>
        </w:tc>
      </w:tr>
      <w:tr w:rsidR="003B336C" w:rsidRPr="005E3888" w:rsidTr="00A70EC2">
        <w:trPr>
          <w:jc w:val="center"/>
        </w:trPr>
        <w:tc>
          <w:tcPr>
            <w:tcW w:w="1677" w:type="dxa"/>
            <w:vMerge w:val="restart"/>
          </w:tcPr>
          <w:p w:rsidR="003B336C" w:rsidRPr="00D30915" w:rsidRDefault="00167287" w:rsidP="00A70EC2">
            <w:pPr>
              <w:jc w:val="center"/>
              <w:rPr>
                <w:rFonts w:ascii="Times New Roman" w:eastAsiaTheme="minorEastAsia" w:hAnsi="Times New Roman" w:cs="Times New Roman"/>
                <w:b/>
                <w:szCs w:val="20"/>
              </w:rPr>
            </w:pPr>
            <m:oMathPara>
              <m:oMathParaPr>
                <m:jc m:val="center"/>
              </m:oMathParaPr>
              <m:oMath>
                <m:sSub>
                  <m:sSubPr>
                    <m:ctrlPr>
                      <w:rPr>
                        <w:rFonts w:ascii="Cambria Math" w:eastAsiaTheme="minorEastAsia" w:hAnsi="Cambria Math" w:cs="Times New Roman"/>
                        <w:b/>
                        <w:i/>
                        <w:szCs w:val="20"/>
                      </w:rPr>
                    </m:ctrlPr>
                  </m:sSubPr>
                  <m:e>
                    <m:r>
                      <m:rPr>
                        <m:sty m:val="bi"/>
                      </m:rPr>
                      <w:rPr>
                        <w:rFonts w:ascii="Cambria Math" w:eastAsiaTheme="minorEastAsia" w:hAnsi="Cambria Math" w:cs="Times New Roman"/>
                        <w:szCs w:val="20"/>
                      </w:rPr>
                      <m:t>∆</m:t>
                    </m:r>
                  </m:e>
                  <m:sub>
                    <m:r>
                      <m:rPr>
                        <m:sty m:val="bi"/>
                      </m:rPr>
                      <w:rPr>
                        <w:rFonts w:ascii="Cambria Math" w:eastAsiaTheme="minorEastAsia" w:hAnsi="Cambria Math" w:cs="Times New Roman"/>
                        <w:szCs w:val="20"/>
                      </w:rPr>
                      <m:t>f</m:t>
                    </m:r>
                  </m:sub>
                </m:sSub>
              </m:oMath>
            </m:oMathPara>
          </w:p>
        </w:tc>
        <w:tc>
          <w:tcPr>
            <w:tcW w:w="1512" w:type="dxa"/>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2010-2011</w:t>
            </w:r>
          </w:p>
        </w:tc>
        <w:tc>
          <w:tcPr>
            <w:tcW w:w="2214" w:type="dxa"/>
            <w:gridSpan w:val="2"/>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35.5</w:t>
            </w:r>
          </w:p>
        </w:tc>
        <w:tc>
          <w:tcPr>
            <w:tcW w:w="1350" w:type="dxa"/>
            <w:shd w:val="clear" w:color="auto" w:fill="BFBFBF" w:themeFill="background1" w:themeFillShade="BF"/>
          </w:tcPr>
          <w:p w:rsidR="003B336C" w:rsidRPr="00A64467" w:rsidRDefault="003B336C" w:rsidP="00A70EC2">
            <w:pPr>
              <w:jc w:val="center"/>
              <w:rPr>
                <w:rFonts w:ascii="Times New Roman" w:eastAsiaTheme="minorEastAsia" w:hAnsi="Times New Roman" w:cs="Times New Roman"/>
                <w:sz w:val="20"/>
                <w:szCs w:val="20"/>
              </w:rPr>
            </w:pPr>
          </w:p>
        </w:tc>
        <w:tc>
          <w:tcPr>
            <w:tcW w:w="1440" w:type="dxa"/>
            <w:tcBorders>
              <w:bottom w:val="single" w:sz="4" w:space="0" w:color="auto"/>
            </w:tcBorders>
            <w:shd w:val="clear" w:color="auto" w:fill="BFBFBF" w:themeFill="background1" w:themeFillShade="BF"/>
          </w:tcPr>
          <w:p w:rsidR="003B336C" w:rsidRPr="00A64467" w:rsidRDefault="003B336C" w:rsidP="00A70EC2">
            <w:pPr>
              <w:jc w:val="center"/>
              <w:rPr>
                <w:rFonts w:ascii="Times New Roman" w:eastAsiaTheme="minorEastAsia" w:hAnsi="Times New Roman" w:cs="Times New Roman"/>
                <w:sz w:val="20"/>
                <w:szCs w:val="20"/>
              </w:rPr>
            </w:pPr>
          </w:p>
        </w:tc>
        <w:tc>
          <w:tcPr>
            <w:tcW w:w="1260" w:type="dxa"/>
            <w:tcBorders>
              <w:bottom w:val="single" w:sz="4" w:space="0" w:color="auto"/>
            </w:tcBorders>
            <w:shd w:val="clear" w:color="auto" w:fill="BFBFBF" w:themeFill="background1" w:themeFillShade="BF"/>
          </w:tcPr>
          <w:p w:rsidR="003B336C" w:rsidRPr="00A64467" w:rsidRDefault="003B336C" w:rsidP="00A70EC2">
            <w:pPr>
              <w:jc w:val="center"/>
              <w:rPr>
                <w:rFonts w:ascii="Times New Roman" w:eastAsiaTheme="minorEastAsia" w:hAnsi="Times New Roman" w:cs="Times New Roman"/>
                <w:sz w:val="20"/>
                <w:szCs w:val="20"/>
              </w:rPr>
            </w:pPr>
          </w:p>
        </w:tc>
      </w:tr>
      <w:tr w:rsidR="003B336C" w:rsidRPr="005E3888" w:rsidTr="00A70EC2">
        <w:trPr>
          <w:jc w:val="center"/>
        </w:trPr>
        <w:tc>
          <w:tcPr>
            <w:tcW w:w="1677" w:type="dxa"/>
            <w:vMerge/>
          </w:tcPr>
          <w:p w:rsidR="003B336C" w:rsidRPr="00D30915" w:rsidRDefault="003B336C" w:rsidP="00A70EC2">
            <w:pPr>
              <w:jc w:val="center"/>
              <w:rPr>
                <w:rFonts w:ascii="Times New Roman" w:eastAsiaTheme="minorEastAsia" w:hAnsi="Times New Roman" w:cs="Times New Roman"/>
                <w:b/>
                <w:szCs w:val="20"/>
              </w:rPr>
            </w:pPr>
          </w:p>
        </w:tc>
        <w:tc>
          <w:tcPr>
            <w:tcW w:w="1512" w:type="dxa"/>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2011-2012</w:t>
            </w:r>
          </w:p>
        </w:tc>
        <w:tc>
          <w:tcPr>
            <w:tcW w:w="1044" w:type="dxa"/>
            <w:shd w:val="clear" w:color="auto" w:fill="BFBFBF" w:themeFill="background1" w:themeFillShade="BF"/>
          </w:tcPr>
          <w:p w:rsidR="003B336C" w:rsidRPr="00A64467" w:rsidRDefault="003B336C" w:rsidP="00A70EC2">
            <w:pPr>
              <w:jc w:val="center"/>
              <w:rPr>
                <w:rFonts w:ascii="Times New Roman" w:eastAsiaTheme="minorEastAsia" w:hAnsi="Times New Roman" w:cs="Times New Roman"/>
                <w:sz w:val="20"/>
                <w:szCs w:val="20"/>
              </w:rPr>
            </w:pPr>
          </w:p>
        </w:tc>
        <w:tc>
          <w:tcPr>
            <w:tcW w:w="2520" w:type="dxa"/>
            <w:gridSpan w:val="2"/>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0.5</w:t>
            </w:r>
          </w:p>
        </w:tc>
        <w:tc>
          <w:tcPr>
            <w:tcW w:w="1440" w:type="dxa"/>
            <w:shd w:val="clear" w:color="auto" w:fill="BFBFBF" w:themeFill="background1" w:themeFillShade="BF"/>
          </w:tcPr>
          <w:p w:rsidR="003B336C" w:rsidRPr="00A64467" w:rsidRDefault="003B336C" w:rsidP="00A70EC2">
            <w:pPr>
              <w:jc w:val="center"/>
              <w:rPr>
                <w:rFonts w:ascii="Times New Roman" w:eastAsiaTheme="minorEastAsia" w:hAnsi="Times New Roman" w:cs="Times New Roman"/>
                <w:sz w:val="20"/>
                <w:szCs w:val="20"/>
              </w:rPr>
            </w:pPr>
          </w:p>
        </w:tc>
        <w:tc>
          <w:tcPr>
            <w:tcW w:w="1260" w:type="dxa"/>
            <w:tcBorders>
              <w:bottom w:val="single" w:sz="4" w:space="0" w:color="auto"/>
            </w:tcBorders>
            <w:shd w:val="clear" w:color="auto" w:fill="BFBFBF" w:themeFill="background1" w:themeFillShade="BF"/>
          </w:tcPr>
          <w:p w:rsidR="003B336C" w:rsidRPr="00A64467" w:rsidRDefault="003B336C" w:rsidP="00A70EC2">
            <w:pPr>
              <w:jc w:val="center"/>
              <w:rPr>
                <w:rFonts w:ascii="Times New Roman" w:eastAsiaTheme="minorEastAsia" w:hAnsi="Times New Roman" w:cs="Times New Roman"/>
                <w:sz w:val="20"/>
                <w:szCs w:val="20"/>
              </w:rPr>
            </w:pPr>
          </w:p>
        </w:tc>
      </w:tr>
      <w:tr w:rsidR="003B336C" w:rsidRPr="005E3888" w:rsidTr="00A70EC2">
        <w:trPr>
          <w:jc w:val="center"/>
        </w:trPr>
        <w:tc>
          <w:tcPr>
            <w:tcW w:w="1677" w:type="dxa"/>
            <w:vMerge/>
          </w:tcPr>
          <w:p w:rsidR="003B336C" w:rsidRPr="00D30915" w:rsidRDefault="003B336C" w:rsidP="00A70EC2">
            <w:pPr>
              <w:jc w:val="center"/>
              <w:rPr>
                <w:rFonts w:ascii="Times New Roman" w:eastAsiaTheme="minorEastAsia" w:hAnsi="Times New Roman" w:cs="Times New Roman"/>
                <w:b/>
                <w:szCs w:val="20"/>
              </w:rPr>
            </w:pPr>
          </w:p>
        </w:tc>
        <w:tc>
          <w:tcPr>
            <w:tcW w:w="1512" w:type="dxa"/>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2012-2013</w:t>
            </w:r>
          </w:p>
        </w:tc>
        <w:tc>
          <w:tcPr>
            <w:tcW w:w="1044" w:type="dxa"/>
            <w:shd w:val="clear" w:color="auto" w:fill="BFBFBF" w:themeFill="background1" w:themeFillShade="BF"/>
          </w:tcPr>
          <w:p w:rsidR="003B336C" w:rsidRPr="00A64467" w:rsidRDefault="003B336C" w:rsidP="00A70EC2">
            <w:pPr>
              <w:jc w:val="center"/>
              <w:rPr>
                <w:rFonts w:ascii="Times New Roman" w:eastAsiaTheme="minorEastAsia" w:hAnsi="Times New Roman" w:cs="Times New Roman"/>
                <w:sz w:val="20"/>
                <w:szCs w:val="20"/>
              </w:rPr>
            </w:pPr>
          </w:p>
        </w:tc>
        <w:tc>
          <w:tcPr>
            <w:tcW w:w="1170" w:type="dxa"/>
            <w:shd w:val="clear" w:color="auto" w:fill="BFBFBF" w:themeFill="background1" w:themeFillShade="BF"/>
          </w:tcPr>
          <w:p w:rsidR="003B336C" w:rsidRPr="00A64467" w:rsidRDefault="003B336C" w:rsidP="00A70EC2">
            <w:pPr>
              <w:jc w:val="center"/>
              <w:rPr>
                <w:rFonts w:ascii="Times New Roman" w:eastAsiaTheme="minorEastAsia" w:hAnsi="Times New Roman" w:cs="Times New Roman"/>
                <w:sz w:val="20"/>
                <w:szCs w:val="20"/>
              </w:rPr>
            </w:pPr>
          </w:p>
        </w:tc>
        <w:tc>
          <w:tcPr>
            <w:tcW w:w="2790" w:type="dxa"/>
            <w:gridSpan w:val="2"/>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36.3</w:t>
            </w:r>
          </w:p>
        </w:tc>
        <w:tc>
          <w:tcPr>
            <w:tcW w:w="1260" w:type="dxa"/>
            <w:shd w:val="clear" w:color="auto" w:fill="BFBFBF" w:themeFill="background1" w:themeFillShade="BF"/>
          </w:tcPr>
          <w:p w:rsidR="003B336C" w:rsidRPr="00A64467" w:rsidRDefault="003B336C" w:rsidP="00A70EC2">
            <w:pPr>
              <w:jc w:val="center"/>
              <w:rPr>
                <w:rFonts w:ascii="Times New Roman" w:eastAsiaTheme="minorEastAsia" w:hAnsi="Times New Roman" w:cs="Times New Roman"/>
                <w:sz w:val="20"/>
                <w:szCs w:val="20"/>
              </w:rPr>
            </w:pPr>
          </w:p>
        </w:tc>
      </w:tr>
      <w:tr w:rsidR="003B336C" w:rsidRPr="005E3888" w:rsidTr="00A70EC2">
        <w:trPr>
          <w:jc w:val="center"/>
        </w:trPr>
        <w:tc>
          <w:tcPr>
            <w:tcW w:w="1677" w:type="dxa"/>
            <w:vMerge/>
          </w:tcPr>
          <w:p w:rsidR="003B336C" w:rsidRPr="00D30915" w:rsidRDefault="003B336C" w:rsidP="00A70EC2">
            <w:pPr>
              <w:jc w:val="center"/>
              <w:rPr>
                <w:rFonts w:ascii="Times New Roman" w:eastAsiaTheme="minorEastAsia" w:hAnsi="Times New Roman" w:cs="Times New Roman"/>
                <w:b/>
                <w:szCs w:val="20"/>
              </w:rPr>
            </w:pPr>
          </w:p>
        </w:tc>
        <w:tc>
          <w:tcPr>
            <w:tcW w:w="1512" w:type="dxa"/>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2013-2014</w:t>
            </w:r>
          </w:p>
        </w:tc>
        <w:tc>
          <w:tcPr>
            <w:tcW w:w="1044" w:type="dxa"/>
            <w:shd w:val="clear" w:color="auto" w:fill="BFBFBF" w:themeFill="background1" w:themeFillShade="BF"/>
          </w:tcPr>
          <w:p w:rsidR="003B336C" w:rsidRPr="00A64467" w:rsidRDefault="003B336C" w:rsidP="00A70EC2">
            <w:pPr>
              <w:jc w:val="center"/>
              <w:rPr>
                <w:rFonts w:ascii="Times New Roman" w:eastAsiaTheme="minorEastAsia" w:hAnsi="Times New Roman" w:cs="Times New Roman"/>
                <w:sz w:val="20"/>
                <w:szCs w:val="20"/>
              </w:rPr>
            </w:pPr>
          </w:p>
        </w:tc>
        <w:tc>
          <w:tcPr>
            <w:tcW w:w="1170" w:type="dxa"/>
            <w:shd w:val="clear" w:color="auto" w:fill="BFBFBF" w:themeFill="background1" w:themeFillShade="BF"/>
          </w:tcPr>
          <w:p w:rsidR="003B336C" w:rsidRPr="00A64467" w:rsidRDefault="003B336C" w:rsidP="00A70EC2">
            <w:pPr>
              <w:jc w:val="center"/>
              <w:rPr>
                <w:rFonts w:ascii="Times New Roman" w:eastAsiaTheme="minorEastAsia" w:hAnsi="Times New Roman" w:cs="Times New Roman"/>
                <w:sz w:val="20"/>
                <w:szCs w:val="20"/>
              </w:rPr>
            </w:pPr>
          </w:p>
        </w:tc>
        <w:tc>
          <w:tcPr>
            <w:tcW w:w="1350" w:type="dxa"/>
            <w:shd w:val="clear" w:color="auto" w:fill="BFBFBF" w:themeFill="background1" w:themeFillShade="BF"/>
          </w:tcPr>
          <w:p w:rsidR="003B336C" w:rsidRPr="00A64467" w:rsidRDefault="003B336C" w:rsidP="00A70EC2">
            <w:pPr>
              <w:jc w:val="center"/>
              <w:rPr>
                <w:rFonts w:ascii="Times New Roman" w:eastAsiaTheme="minorEastAsia" w:hAnsi="Times New Roman" w:cs="Times New Roman"/>
                <w:sz w:val="20"/>
                <w:szCs w:val="20"/>
              </w:rPr>
            </w:pPr>
          </w:p>
        </w:tc>
        <w:tc>
          <w:tcPr>
            <w:tcW w:w="2700" w:type="dxa"/>
            <w:gridSpan w:val="2"/>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0.3</w:t>
            </w:r>
          </w:p>
        </w:tc>
      </w:tr>
      <w:tr w:rsidR="003B336C" w:rsidRPr="005E3888" w:rsidTr="00A70EC2">
        <w:trPr>
          <w:jc w:val="center"/>
        </w:trPr>
        <w:tc>
          <w:tcPr>
            <w:tcW w:w="1677" w:type="dxa"/>
            <w:vAlign w:val="center"/>
          </w:tcPr>
          <w:p w:rsidR="003B336C" w:rsidRPr="00D30915" w:rsidRDefault="00167287" w:rsidP="00A70EC2">
            <w:pPr>
              <w:jc w:val="center"/>
              <w:rPr>
                <w:rFonts w:ascii="Times New Roman" w:eastAsiaTheme="minorEastAsia" w:hAnsi="Times New Roman" w:cs="Times New Roman"/>
                <w:b/>
                <w:szCs w:val="20"/>
              </w:rPr>
            </w:pPr>
            <m:oMathPara>
              <m:oMath>
                <m:sSub>
                  <m:sSubPr>
                    <m:ctrlPr>
                      <w:rPr>
                        <w:rFonts w:ascii="Cambria Math" w:eastAsiaTheme="minorEastAsia" w:hAnsi="Cambria Math" w:cs="Times New Roman"/>
                        <w:b/>
                        <w:i/>
                        <w:szCs w:val="20"/>
                      </w:rPr>
                    </m:ctrlPr>
                  </m:sSubPr>
                  <m:e>
                    <m:r>
                      <m:rPr>
                        <m:sty m:val="bi"/>
                      </m:rPr>
                      <w:rPr>
                        <w:rFonts w:ascii="Cambria Math" w:eastAsiaTheme="minorEastAsia" w:hAnsi="Cambria Math" w:cs="Times New Roman"/>
                        <w:szCs w:val="20"/>
                      </w:rPr>
                      <m:t xml:space="preserve"> s</m:t>
                    </m:r>
                  </m:e>
                  <m:sub>
                    <m:r>
                      <m:rPr>
                        <m:sty m:val="bi"/>
                      </m:rPr>
                      <w:rPr>
                        <w:rFonts w:ascii="Cambria Math" w:eastAsiaTheme="minorEastAsia" w:hAnsi="Cambria Math" w:cs="Times New Roman"/>
                        <w:szCs w:val="20"/>
                      </w:rPr>
                      <m:t>f-nocs-perfect</m:t>
                    </m:r>
                  </m:sub>
                </m:sSub>
              </m:oMath>
            </m:oMathPara>
          </w:p>
        </w:tc>
        <w:tc>
          <w:tcPr>
            <w:tcW w:w="1512" w:type="dxa"/>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2010-</w:t>
            </w:r>
            <w:r>
              <w:rPr>
                <w:rFonts w:ascii="Times New Roman" w:eastAsiaTheme="minorEastAsia" w:hAnsi="Times New Roman" w:cs="Times New Roman"/>
                <w:sz w:val="20"/>
                <w:szCs w:val="20"/>
              </w:rPr>
              <w:t>20</w:t>
            </w:r>
            <w:r w:rsidRPr="00A64467">
              <w:rPr>
                <w:rFonts w:ascii="Times New Roman" w:eastAsiaTheme="minorEastAsia" w:hAnsi="Times New Roman" w:cs="Times New Roman"/>
                <w:sz w:val="20"/>
                <w:szCs w:val="20"/>
              </w:rPr>
              <w:t>11,    2012-</w:t>
            </w:r>
            <w:r>
              <w:rPr>
                <w:rFonts w:ascii="Times New Roman" w:eastAsiaTheme="minorEastAsia" w:hAnsi="Times New Roman" w:cs="Times New Roman"/>
                <w:sz w:val="20"/>
                <w:szCs w:val="20"/>
              </w:rPr>
              <w:t>20</w:t>
            </w:r>
            <w:r w:rsidRPr="00A64467">
              <w:rPr>
                <w:rFonts w:ascii="Times New Roman" w:eastAsiaTheme="minorEastAsia" w:hAnsi="Times New Roman" w:cs="Times New Roman"/>
                <w:sz w:val="20"/>
                <w:szCs w:val="20"/>
              </w:rPr>
              <w:t>13</w:t>
            </w:r>
          </w:p>
        </w:tc>
        <w:tc>
          <w:tcPr>
            <w:tcW w:w="6264" w:type="dxa"/>
            <w:gridSpan w:val="5"/>
            <w:vAlign w:val="center"/>
          </w:tcPr>
          <w:p w:rsidR="003B336C" w:rsidRPr="00A64467" w:rsidRDefault="00167287" w:rsidP="00A70EC2">
            <w:pPr>
              <w:jc w:val="center"/>
              <w:rPr>
                <w:rFonts w:ascii="Times New Roman" w:eastAsiaTheme="minorEastAsia" w:hAnsi="Times New Roman" w:cs="Times New Roman"/>
                <w:sz w:val="20"/>
                <w:szCs w:val="20"/>
              </w:rPr>
            </w:pP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 xml:space="preserve"> s</m:t>
                  </m:r>
                </m:e>
                <m:sub>
                  <m:r>
                    <w:rPr>
                      <w:rFonts w:ascii="Cambria Math" w:eastAsiaTheme="minorEastAsia" w:hAnsi="Cambria Math" w:cs="Times New Roman"/>
                      <w:szCs w:val="20"/>
                    </w:rPr>
                    <m:t>f-nocs-perfect</m:t>
                  </m:r>
                </m:sub>
              </m:sSub>
              <m:r>
                <w:rPr>
                  <w:rFonts w:ascii="Cambria Math" w:eastAsiaTheme="minorEastAsia" w:hAnsi="Cambria Math" w:cs="Times New Roman"/>
                  <w:szCs w:val="20"/>
                </w:rPr>
                <m:t xml:space="preserve"> </m:t>
              </m:r>
            </m:oMath>
            <w:r w:rsidR="003B336C" w:rsidRPr="00A64467">
              <w:rPr>
                <w:rFonts w:ascii="Times New Roman" w:eastAsiaTheme="minorEastAsia" w:hAnsi="Times New Roman" w:cs="Times New Roman"/>
                <w:szCs w:val="20"/>
              </w:rPr>
              <w:t>=</w:t>
            </w:r>
            <w:r w:rsidR="003B336C">
              <w:rPr>
                <w:rFonts w:ascii="Times New Roman" w:eastAsiaTheme="minorEastAsia" w:hAnsi="Times New Roman" w:cs="Times New Roman"/>
                <w:szCs w:val="20"/>
              </w:rPr>
              <w:t xml:space="preserve"> </w:t>
            </w:r>
            <w:r w:rsidR="003B336C" w:rsidRPr="00A64467">
              <w:rPr>
                <w:rFonts w:ascii="Times New Roman" w:eastAsiaTheme="minorEastAsia" w:hAnsi="Times New Roman" w:cs="Times New Roman"/>
                <w:sz w:val="20"/>
                <w:szCs w:val="20"/>
              </w:rPr>
              <w:t>100/[(35.5+36.3)/2]=2.8</w:t>
            </w:r>
          </w:p>
        </w:tc>
      </w:tr>
      <w:tr w:rsidR="003B336C" w:rsidRPr="005E3888" w:rsidTr="00A70EC2">
        <w:trPr>
          <w:jc w:val="center"/>
        </w:trPr>
        <w:tc>
          <w:tcPr>
            <w:tcW w:w="1677" w:type="dxa"/>
            <w:vAlign w:val="center"/>
          </w:tcPr>
          <w:p w:rsidR="003B336C" w:rsidRPr="00D30915" w:rsidRDefault="00167287" w:rsidP="00A70EC2">
            <w:pPr>
              <w:jc w:val="center"/>
              <w:rPr>
                <w:rFonts w:ascii="Times New Roman" w:eastAsiaTheme="minorEastAsia" w:hAnsi="Times New Roman" w:cs="Times New Roman"/>
                <w:b/>
                <w:szCs w:val="20"/>
              </w:rPr>
            </w:pPr>
            <m:oMathPara>
              <m:oMath>
                <m:sSub>
                  <m:sSubPr>
                    <m:ctrlPr>
                      <w:rPr>
                        <w:rFonts w:ascii="Cambria Math" w:eastAsiaTheme="minorEastAsia" w:hAnsi="Cambria Math" w:cs="Times New Roman"/>
                        <w:b/>
                        <w:i/>
                        <w:szCs w:val="20"/>
                      </w:rPr>
                    </m:ctrlPr>
                  </m:sSubPr>
                  <m:e>
                    <m:r>
                      <m:rPr>
                        <m:sty m:val="bi"/>
                      </m:rPr>
                      <w:rPr>
                        <w:rFonts w:ascii="Cambria Math" w:eastAsiaTheme="minorEastAsia" w:hAnsi="Cambria Math" w:cs="Times New Roman"/>
                        <w:szCs w:val="20"/>
                      </w:rPr>
                      <m:t xml:space="preserve"> s</m:t>
                    </m:r>
                  </m:e>
                  <m:sub>
                    <m:r>
                      <m:rPr>
                        <m:sty m:val="bi"/>
                      </m:rPr>
                      <w:rPr>
                        <w:rFonts w:ascii="Cambria Math" w:eastAsiaTheme="minorEastAsia" w:hAnsi="Cambria Math" w:cs="Times New Roman"/>
                        <w:szCs w:val="20"/>
                      </w:rPr>
                      <m:t>f-nocs-regular</m:t>
                    </m:r>
                  </m:sub>
                </m:sSub>
              </m:oMath>
            </m:oMathPara>
          </w:p>
        </w:tc>
        <w:tc>
          <w:tcPr>
            <w:tcW w:w="1512" w:type="dxa"/>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2011-</w:t>
            </w:r>
            <w:r>
              <w:rPr>
                <w:rFonts w:ascii="Times New Roman" w:eastAsiaTheme="minorEastAsia" w:hAnsi="Times New Roman" w:cs="Times New Roman"/>
                <w:sz w:val="20"/>
                <w:szCs w:val="20"/>
              </w:rPr>
              <w:t>20</w:t>
            </w:r>
            <w:r w:rsidRPr="00A64467">
              <w:rPr>
                <w:rFonts w:ascii="Times New Roman" w:eastAsiaTheme="minorEastAsia" w:hAnsi="Times New Roman" w:cs="Times New Roman"/>
                <w:sz w:val="20"/>
                <w:szCs w:val="20"/>
              </w:rPr>
              <w:t>12,    2013-</w:t>
            </w:r>
            <w:r>
              <w:rPr>
                <w:rFonts w:ascii="Times New Roman" w:eastAsiaTheme="minorEastAsia" w:hAnsi="Times New Roman" w:cs="Times New Roman"/>
                <w:sz w:val="20"/>
                <w:szCs w:val="20"/>
              </w:rPr>
              <w:t>20</w:t>
            </w:r>
            <w:r w:rsidRPr="00A64467">
              <w:rPr>
                <w:rFonts w:ascii="Times New Roman" w:eastAsiaTheme="minorEastAsia" w:hAnsi="Times New Roman" w:cs="Times New Roman"/>
                <w:sz w:val="20"/>
                <w:szCs w:val="20"/>
              </w:rPr>
              <w:t>14</w:t>
            </w:r>
          </w:p>
        </w:tc>
        <w:tc>
          <w:tcPr>
            <w:tcW w:w="6264" w:type="dxa"/>
            <w:gridSpan w:val="5"/>
            <w:vAlign w:val="center"/>
          </w:tcPr>
          <w:p w:rsidR="003B336C" w:rsidRPr="00A64467" w:rsidRDefault="00167287" w:rsidP="00A70EC2">
            <w:pPr>
              <w:tabs>
                <w:tab w:val="left" w:pos="2454"/>
              </w:tabs>
              <w:jc w:val="center"/>
              <w:rPr>
                <w:rFonts w:ascii="Times New Roman" w:eastAsiaTheme="minorEastAsia" w:hAnsi="Times New Roman" w:cs="Times New Roman"/>
                <w:sz w:val="20"/>
                <w:szCs w:val="20"/>
              </w:rPr>
            </w:pP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 xml:space="preserve"> s</m:t>
                  </m:r>
                </m:e>
                <m:sub>
                  <m:r>
                    <w:rPr>
                      <w:rFonts w:ascii="Cambria Math" w:eastAsiaTheme="minorEastAsia" w:hAnsi="Cambria Math" w:cs="Times New Roman"/>
                      <w:szCs w:val="20"/>
                    </w:rPr>
                    <m:t>f-nocs-regular</m:t>
                  </m:r>
                </m:sub>
              </m:sSub>
              <m:r>
                <w:rPr>
                  <w:rFonts w:ascii="Cambria Math" w:eastAsiaTheme="minorEastAsia" w:hAnsi="Cambria Math" w:cs="Times New Roman"/>
                  <w:szCs w:val="20"/>
                </w:rPr>
                <m:t xml:space="preserve"> </m:t>
              </m:r>
            </m:oMath>
            <w:r w:rsidR="003B336C">
              <w:rPr>
                <w:rFonts w:ascii="Times New Roman" w:eastAsiaTheme="minorEastAsia" w:hAnsi="Times New Roman" w:cs="Times New Roman"/>
                <w:sz w:val="20"/>
                <w:szCs w:val="20"/>
              </w:rPr>
              <w:t xml:space="preserve">= </w:t>
            </w:r>
            <w:r w:rsidR="003B336C" w:rsidRPr="00A64467">
              <w:rPr>
                <w:rFonts w:ascii="Times New Roman" w:eastAsiaTheme="minorEastAsia" w:hAnsi="Times New Roman" w:cs="Times New Roman"/>
                <w:sz w:val="20"/>
                <w:szCs w:val="20"/>
              </w:rPr>
              <w:t>100/[(0.5+0.3)/2]=250</w:t>
            </w:r>
          </w:p>
        </w:tc>
      </w:tr>
      <w:tr w:rsidR="003B336C" w:rsidRPr="005E3888" w:rsidTr="00A70EC2">
        <w:trPr>
          <w:jc w:val="center"/>
        </w:trPr>
        <w:tc>
          <w:tcPr>
            <w:tcW w:w="1677" w:type="dxa"/>
            <w:vAlign w:val="center"/>
          </w:tcPr>
          <w:p w:rsidR="003B336C" w:rsidRPr="00D30915" w:rsidRDefault="00167287" w:rsidP="00A70EC2">
            <w:pPr>
              <w:jc w:val="center"/>
              <w:rPr>
                <w:rFonts w:ascii="Times New Roman" w:eastAsiaTheme="minorEastAsia" w:hAnsi="Times New Roman" w:cs="Times New Roman"/>
                <w:b/>
                <w:szCs w:val="20"/>
              </w:rPr>
            </w:pPr>
            <m:oMathPara>
              <m:oMath>
                <m:sSub>
                  <m:sSubPr>
                    <m:ctrlPr>
                      <w:rPr>
                        <w:rFonts w:ascii="Cambria Math" w:eastAsiaTheme="minorEastAsia" w:hAnsi="Cambria Math" w:cs="Times New Roman"/>
                        <w:b/>
                        <w:i/>
                        <w:szCs w:val="20"/>
                      </w:rPr>
                    </m:ctrlPr>
                  </m:sSubPr>
                  <m:e>
                    <m:r>
                      <m:rPr>
                        <m:sty m:val="bi"/>
                      </m:rPr>
                      <w:rPr>
                        <w:rFonts w:ascii="Cambria Math" w:eastAsiaTheme="minorEastAsia" w:hAnsi="Cambria Math" w:cs="Times New Roman"/>
                        <w:szCs w:val="20"/>
                      </w:rPr>
                      <m:t xml:space="preserve"> s</m:t>
                    </m:r>
                  </m:e>
                  <m:sub>
                    <m:r>
                      <m:rPr>
                        <m:sty m:val="bi"/>
                      </m:rPr>
                      <w:rPr>
                        <w:rFonts w:ascii="Cambria Math" w:eastAsiaTheme="minorEastAsia" w:hAnsi="Cambria Math" w:cs="Times New Roman"/>
                        <w:szCs w:val="20"/>
                      </w:rPr>
                      <m:t>f-nocs</m:t>
                    </m:r>
                  </m:sub>
                </m:sSub>
              </m:oMath>
            </m:oMathPara>
          </w:p>
        </w:tc>
        <w:tc>
          <w:tcPr>
            <w:tcW w:w="1512" w:type="dxa"/>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2010-</w:t>
            </w:r>
            <w:r>
              <w:rPr>
                <w:rFonts w:ascii="Times New Roman" w:eastAsiaTheme="minorEastAsia" w:hAnsi="Times New Roman" w:cs="Times New Roman"/>
                <w:sz w:val="20"/>
                <w:szCs w:val="20"/>
              </w:rPr>
              <w:t>20</w:t>
            </w:r>
            <w:r w:rsidRPr="00A64467">
              <w:rPr>
                <w:rFonts w:ascii="Times New Roman" w:eastAsiaTheme="minorEastAsia" w:hAnsi="Times New Roman" w:cs="Times New Roman"/>
                <w:sz w:val="20"/>
                <w:szCs w:val="20"/>
              </w:rPr>
              <w:t>11,    2011-</w:t>
            </w:r>
            <w:r>
              <w:rPr>
                <w:rFonts w:ascii="Times New Roman" w:eastAsiaTheme="minorEastAsia" w:hAnsi="Times New Roman" w:cs="Times New Roman"/>
                <w:sz w:val="20"/>
                <w:szCs w:val="20"/>
              </w:rPr>
              <w:t>20</w:t>
            </w:r>
            <w:r w:rsidRPr="00A64467">
              <w:rPr>
                <w:rFonts w:ascii="Times New Roman" w:eastAsiaTheme="minorEastAsia" w:hAnsi="Times New Roman" w:cs="Times New Roman"/>
                <w:sz w:val="20"/>
                <w:szCs w:val="20"/>
              </w:rPr>
              <w:t>12,</w:t>
            </w:r>
          </w:p>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2012-</w:t>
            </w:r>
            <w:r>
              <w:rPr>
                <w:rFonts w:ascii="Times New Roman" w:eastAsiaTheme="minorEastAsia" w:hAnsi="Times New Roman" w:cs="Times New Roman"/>
                <w:sz w:val="20"/>
                <w:szCs w:val="20"/>
              </w:rPr>
              <w:t>20</w:t>
            </w:r>
            <w:r w:rsidRPr="00A64467">
              <w:rPr>
                <w:rFonts w:ascii="Times New Roman" w:eastAsiaTheme="minorEastAsia" w:hAnsi="Times New Roman" w:cs="Times New Roman"/>
                <w:sz w:val="20"/>
                <w:szCs w:val="20"/>
              </w:rPr>
              <w:t>13,    2012-</w:t>
            </w:r>
            <w:r>
              <w:rPr>
                <w:rFonts w:ascii="Times New Roman" w:eastAsiaTheme="minorEastAsia" w:hAnsi="Times New Roman" w:cs="Times New Roman"/>
                <w:sz w:val="20"/>
                <w:szCs w:val="20"/>
              </w:rPr>
              <w:t>20</w:t>
            </w:r>
            <w:r w:rsidRPr="00A64467">
              <w:rPr>
                <w:rFonts w:ascii="Times New Roman" w:eastAsiaTheme="minorEastAsia" w:hAnsi="Times New Roman" w:cs="Times New Roman"/>
                <w:sz w:val="20"/>
                <w:szCs w:val="20"/>
              </w:rPr>
              <w:t>13</w:t>
            </w:r>
          </w:p>
        </w:tc>
        <w:tc>
          <w:tcPr>
            <w:tcW w:w="6264" w:type="dxa"/>
            <w:gridSpan w:val="5"/>
            <w:vAlign w:val="center"/>
          </w:tcPr>
          <w:p w:rsidR="003B336C" w:rsidRPr="00A64467" w:rsidRDefault="00167287" w:rsidP="00A70EC2">
            <w:pPr>
              <w:jc w:val="center"/>
              <w:rPr>
                <w:rFonts w:ascii="Times New Roman" w:eastAsiaTheme="minorEastAsia" w:hAnsi="Times New Roman" w:cs="Times New Roman"/>
                <w:sz w:val="20"/>
                <w:szCs w:val="20"/>
              </w:rPr>
            </w:pP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 xml:space="preserve"> s</m:t>
                  </m:r>
                </m:e>
                <m:sub>
                  <m:r>
                    <w:rPr>
                      <w:rFonts w:ascii="Cambria Math" w:eastAsiaTheme="minorEastAsia" w:hAnsi="Cambria Math" w:cs="Times New Roman"/>
                      <w:szCs w:val="20"/>
                    </w:rPr>
                    <m:t>f-nocs</m:t>
                  </m:r>
                </m:sub>
              </m:sSub>
              <m:r>
                <w:rPr>
                  <w:rFonts w:ascii="Cambria Math" w:eastAsiaTheme="minorEastAsia" w:hAnsi="Cambria Math" w:cs="Times New Roman"/>
                  <w:szCs w:val="20"/>
                </w:rPr>
                <m:t xml:space="preserve"> </m:t>
              </m:r>
            </m:oMath>
            <w:r w:rsidR="003B336C">
              <w:rPr>
                <w:rFonts w:ascii="Times New Roman" w:eastAsiaTheme="minorEastAsia" w:hAnsi="Times New Roman" w:cs="Times New Roman"/>
                <w:sz w:val="20"/>
                <w:szCs w:val="20"/>
              </w:rPr>
              <w:t xml:space="preserve">= </w:t>
            </w:r>
            <w:r w:rsidR="003B336C" w:rsidRPr="00A64467">
              <w:rPr>
                <w:rFonts w:ascii="Times New Roman" w:eastAsiaTheme="minorEastAsia" w:hAnsi="Times New Roman" w:cs="Times New Roman"/>
                <w:sz w:val="20"/>
                <w:szCs w:val="20"/>
              </w:rPr>
              <w:t>100/[(35.5+0.5+36.3+0.3)/4]=5.5</w:t>
            </w:r>
          </w:p>
        </w:tc>
      </w:tr>
    </w:tbl>
    <w:p w:rsidR="003B336C" w:rsidRPr="00980971" w:rsidRDefault="003B336C" w:rsidP="003B336C"/>
    <w:p w:rsidR="003B336C" w:rsidRPr="005E3888" w:rsidRDefault="003B336C" w:rsidP="003B336C">
      <w:pPr>
        <w:pStyle w:val="Caption"/>
        <w:jc w:val="center"/>
        <w:rPr>
          <w:rFonts w:eastAsiaTheme="minorEastAsia"/>
          <w:i w:val="0"/>
          <w:color w:val="auto"/>
          <w:sz w:val="22"/>
          <w:szCs w:val="20"/>
        </w:rPr>
      </w:pPr>
      <w:bookmarkStart w:id="17" w:name="_Ref428018887"/>
      <w:r w:rsidRPr="005E3888">
        <w:rPr>
          <w:i w:val="0"/>
          <w:color w:val="auto"/>
          <w:sz w:val="20"/>
        </w:rPr>
        <w:t xml:space="preserve">Table </w:t>
      </w:r>
      <w:r w:rsidRPr="005E3888">
        <w:rPr>
          <w:i w:val="0"/>
          <w:color w:val="auto"/>
          <w:sz w:val="20"/>
        </w:rPr>
        <w:fldChar w:fldCharType="begin"/>
      </w:r>
      <w:r w:rsidRPr="005E3888">
        <w:rPr>
          <w:i w:val="0"/>
          <w:color w:val="auto"/>
          <w:sz w:val="20"/>
        </w:rPr>
        <w:instrText xml:space="preserve"> SEQ Table \* ARABIC </w:instrText>
      </w:r>
      <w:r w:rsidRPr="005E3888">
        <w:rPr>
          <w:i w:val="0"/>
          <w:color w:val="auto"/>
          <w:sz w:val="20"/>
        </w:rPr>
        <w:fldChar w:fldCharType="separate"/>
      </w:r>
      <w:r w:rsidR="00050578">
        <w:rPr>
          <w:i w:val="0"/>
          <w:noProof/>
          <w:color w:val="auto"/>
          <w:sz w:val="20"/>
        </w:rPr>
        <w:t>4</w:t>
      </w:r>
      <w:r w:rsidRPr="005E3888">
        <w:rPr>
          <w:i w:val="0"/>
          <w:color w:val="auto"/>
          <w:sz w:val="20"/>
        </w:rPr>
        <w:fldChar w:fldCharType="end"/>
      </w:r>
      <w:bookmarkEnd w:id="17"/>
      <w:r w:rsidRPr="005E3888">
        <w:rPr>
          <w:i w:val="0"/>
          <w:color w:val="auto"/>
          <w:sz w:val="20"/>
        </w:rPr>
        <w:t>. ICCAD stability analysis</w:t>
      </w:r>
    </w:p>
    <w:tbl>
      <w:tblPr>
        <w:tblStyle w:val="TableGrid"/>
        <w:tblW w:w="0" w:type="auto"/>
        <w:jc w:val="center"/>
        <w:tblLook w:val="04A0" w:firstRow="1" w:lastRow="0" w:firstColumn="1" w:lastColumn="0" w:noHBand="0" w:noVBand="1"/>
      </w:tblPr>
      <w:tblGrid>
        <w:gridCol w:w="1677"/>
        <w:gridCol w:w="1512"/>
        <w:gridCol w:w="1044"/>
        <w:gridCol w:w="1170"/>
        <w:gridCol w:w="1350"/>
        <w:gridCol w:w="1440"/>
        <w:gridCol w:w="1260"/>
      </w:tblGrid>
      <w:tr w:rsidR="003B336C" w:rsidTr="00A70EC2">
        <w:trPr>
          <w:jc w:val="center"/>
        </w:trPr>
        <w:tc>
          <w:tcPr>
            <w:tcW w:w="1677" w:type="dxa"/>
          </w:tcPr>
          <w:p w:rsidR="003B336C" w:rsidRPr="00A64467" w:rsidRDefault="003B336C" w:rsidP="00A70EC2">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Parameter</w:t>
            </w:r>
          </w:p>
        </w:tc>
        <w:tc>
          <w:tcPr>
            <w:tcW w:w="1512" w:type="dxa"/>
          </w:tcPr>
          <w:p w:rsidR="003B336C" w:rsidRPr="00A64467" w:rsidRDefault="003B336C" w:rsidP="00A70EC2">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Years</w:t>
            </w:r>
          </w:p>
        </w:tc>
        <w:tc>
          <w:tcPr>
            <w:tcW w:w="1044" w:type="dxa"/>
          </w:tcPr>
          <w:p w:rsidR="003B336C" w:rsidRPr="00A64467" w:rsidRDefault="003B336C" w:rsidP="00A70EC2">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2010</w:t>
            </w:r>
          </w:p>
        </w:tc>
        <w:tc>
          <w:tcPr>
            <w:tcW w:w="1170" w:type="dxa"/>
          </w:tcPr>
          <w:p w:rsidR="003B336C" w:rsidRPr="00A64467" w:rsidRDefault="003B336C" w:rsidP="00A70EC2">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2011</w:t>
            </w:r>
          </w:p>
        </w:tc>
        <w:tc>
          <w:tcPr>
            <w:tcW w:w="1350" w:type="dxa"/>
          </w:tcPr>
          <w:p w:rsidR="003B336C" w:rsidRPr="00A64467" w:rsidRDefault="003B336C" w:rsidP="00A70EC2">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2012</w:t>
            </w:r>
          </w:p>
        </w:tc>
        <w:tc>
          <w:tcPr>
            <w:tcW w:w="1440" w:type="dxa"/>
          </w:tcPr>
          <w:p w:rsidR="003B336C" w:rsidRPr="00A64467" w:rsidRDefault="003B336C" w:rsidP="00A70EC2">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2013</w:t>
            </w:r>
          </w:p>
        </w:tc>
        <w:tc>
          <w:tcPr>
            <w:tcW w:w="1260" w:type="dxa"/>
          </w:tcPr>
          <w:p w:rsidR="003B336C" w:rsidRPr="00A64467" w:rsidRDefault="003B336C" w:rsidP="00A70EC2">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2014</w:t>
            </w:r>
          </w:p>
        </w:tc>
      </w:tr>
      <w:tr w:rsidR="003B336C" w:rsidRPr="005E3888" w:rsidTr="00A70EC2">
        <w:trPr>
          <w:jc w:val="center"/>
        </w:trPr>
        <w:tc>
          <w:tcPr>
            <w:tcW w:w="1677" w:type="dxa"/>
            <w:vAlign w:val="center"/>
          </w:tcPr>
          <w:p w:rsidR="003B336C" w:rsidRPr="00D30915" w:rsidRDefault="00167287" w:rsidP="00A70EC2">
            <w:pPr>
              <w:jc w:val="center"/>
              <w:rPr>
                <w:rFonts w:ascii="Times New Roman" w:eastAsiaTheme="minorEastAsia" w:hAnsi="Times New Roman" w:cs="Times New Roman"/>
                <w:b/>
                <w:szCs w:val="20"/>
              </w:rPr>
            </w:pPr>
            <m:oMathPara>
              <m:oMath>
                <m:sSub>
                  <m:sSubPr>
                    <m:ctrlPr>
                      <w:rPr>
                        <w:rFonts w:ascii="Cambria Math" w:hAnsi="Cambria Math" w:cs="Times New Roman"/>
                        <w:b/>
                        <w:i/>
                        <w:szCs w:val="20"/>
                      </w:rPr>
                    </m:ctrlPr>
                  </m:sSubPr>
                  <m:e>
                    <m:r>
                      <m:rPr>
                        <m:sty m:val="bi"/>
                      </m:rPr>
                      <w:rPr>
                        <w:rFonts w:ascii="Cambria Math" w:hAnsi="Cambria Math" w:cs="Times New Roman"/>
                        <w:szCs w:val="20"/>
                      </w:rPr>
                      <m:t>v</m:t>
                    </m:r>
                  </m:e>
                  <m:sub>
                    <m:r>
                      <m:rPr>
                        <m:sty m:val="bi"/>
                      </m:rPr>
                      <w:rPr>
                        <w:rFonts w:ascii="Cambria Math" w:hAnsi="Cambria Math" w:cs="Times New Roman"/>
                        <w:szCs w:val="20"/>
                      </w:rPr>
                      <m:t>f</m:t>
                    </m:r>
                  </m:sub>
                </m:sSub>
              </m:oMath>
            </m:oMathPara>
          </w:p>
        </w:tc>
        <w:tc>
          <w:tcPr>
            <w:tcW w:w="1512" w:type="dxa"/>
            <w:vAlign w:val="center"/>
          </w:tcPr>
          <w:p w:rsidR="003B336C" w:rsidRPr="00A64467" w:rsidRDefault="003B336C" w:rsidP="00A70EC2">
            <w:pPr>
              <w:jc w:val="center"/>
              <w:rPr>
                <w:rFonts w:ascii="Times New Roman" w:eastAsiaTheme="minorEastAsia" w:hAnsi="Times New Roman" w:cs="Times New Roman"/>
                <w:sz w:val="20"/>
                <w:szCs w:val="20"/>
              </w:rPr>
            </w:pPr>
          </w:p>
        </w:tc>
        <w:tc>
          <w:tcPr>
            <w:tcW w:w="1044" w:type="dxa"/>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4.1</w:t>
            </w:r>
          </w:p>
        </w:tc>
        <w:tc>
          <w:tcPr>
            <w:tcW w:w="1170" w:type="dxa"/>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5.7</w:t>
            </w:r>
          </w:p>
        </w:tc>
        <w:tc>
          <w:tcPr>
            <w:tcW w:w="1350" w:type="dxa"/>
            <w:tcBorders>
              <w:bottom w:val="single" w:sz="4" w:space="0" w:color="auto"/>
            </w:tcBorders>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6.1</w:t>
            </w:r>
          </w:p>
        </w:tc>
        <w:tc>
          <w:tcPr>
            <w:tcW w:w="1440" w:type="dxa"/>
            <w:tcBorders>
              <w:bottom w:val="single" w:sz="4" w:space="0" w:color="auto"/>
            </w:tcBorders>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2.3</w:t>
            </w:r>
          </w:p>
        </w:tc>
        <w:tc>
          <w:tcPr>
            <w:tcW w:w="1260" w:type="dxa"/>
            <w:tcBorders>
              <w:bottom w:val="single" w:sz="4" w:space="0" w:color="auto"/>
            </w:tcBorders>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6.5</w:t>
            </w:r>
          </w:p>
        </w:tc>
      </w:tr>
      <w:tr w:rsidR="003B336C" w:rsidRPr="005E3888" w:rsidTr="00A70EC2">
        <w:trPr>
          <w:jc w:val="center"/>
        </w:trPr>
        <w:tc>
          <w:tcPr>
            <w:tcW w:w="1677" w:type="dxa"/>
            <w:vMerge w:val="restart"/>
            <w:vAlign w:val="center"/>
          </w:tcPr>
          <w:p w:rsidR="003B336C" w:rsidRPr="00D30915" w:rsidRDefault="00167287" w:rsidP="00A70EC2">
            <w:pPr>
              <w:jc w:val="center"/>
              <w:rPr>
                <w:rFonts w:ascii="Times New Roman" w:eastAsiaTheme="minorEastAsia" w:hAnsi="Times New Roman" w:cs="Times New Roman"/>
                <w:b/>
                <w:szCs w:val="20"/>
              </w:rPr>
            </w:pPr>
            <m:oMathPara>
              <m:oMathParaPr>
                <m:jc m:val="center"/>
              </m:oMathParaPr>
              <m:oMath>
                <m:sSub>
                  <m:sSubPr>
                    <m:ctrlPr>
                      <w:rPr>
                        <w:rFonts w:ascii="Cambria Math" w:eastAsiaTheme="minorEastAsia" w:hAnsi="Cambria Math" w:cs="Times New Roman"/>
                        <w:b/>
                        <w:i/>
                        <w:szCs w:val="20"/>
                      </w:rPr>
                    </m:ctrlPr>
                  </m:sSubPr>
                  <m:e>
                    <m:r>
                      <m:rPr>
                        <m:sty m:val="bi"/>
                      </m:rPr>
                      <w:rPr>
                        <w:rFonts w:ascii="Cambria Math" w:eastAsiaTheme="minorEastAsia" w:hAnsi="Cambria Math" w:cs="Times New Roman"/>
                        <w:szCs w:val="20"/>
                      </w:rPr>
                      <m:t>∆</m:t>
                    </m:r>
                  </m:e>
                  <m:sub>
                    <m:r>
                      <m:rPr>
                        <m:sty m:val="bi"/>
                      </m:rPr>
                      <w:rPr>
                        <w:rFonts w:ascii="Cambria Math" w:eastAsiaTheme="minorEastAsia" w:hAnsi="Cambria Math" w:cs="Times New Roman"/>
                        <w:szCs w:val="20"/>
                      </w:rPr>
                      <m:t>f</m:t>
                    </m:r>
                  </m:sub>
                </m:sSub>
              </m:oMath>
            </m:oMathPara>
          </w:p>
        </w:tc>
        <w:tc>
          <w:tcPr>
            <w:tcW w:w="1512" w:type="dxa"/>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2010-2011</w:t>
            </w:r>
          </w:p>
        </w:tc>
        <w:tc>
          <w:tcPr>
            <w:tcW w:w="2214" w:type="dxa"/>
            <w:gridSpan w:val="2"/>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1.6</w:t>
            </w:r>
          </w:p>
        </w:tc>
        <w:tc>
          <w:tcPr>
            <w:tcW w:w="1350" w:type="dxa"/>
            <w:shd w:val="clear" w:color="auto" w:fill="BFBFBF" w:themeFill="background1" w:themeFillShade="BF"/>
            <w:vAlign w:val="center"/>
          </w:tcPr>
          <w:p w:rsidR="003B336C" w:rsidRPr="00A64467" w:rsidRDefault="003B336C" w:rsidP="00A70EC2">
            <w:pPr>
              <w:jc w:val="center"/>
              <w:rPr>
                <w:rFonts w:ascii="Times New Roman" w:eastAsiaTheme="minorEastAsia" w:hAnsi="Times New Roman" w:cs="Times New Roman"/>
                <w:sz w:val="20"/>
                <w:szCs w:val="20"/>
              </w:rPr>
            </w:pPr>
          </w:p>
        </w:tc>
        <w:tc>
          <w:tcPr>
            <w:tcW w:w="1440" w:type="dxa"/>
            <w:tcBorders>
              <w:bottom w:val="single" w:sz="4" w:space="0" w:color="auto"/>
            </w:tcBorders>
            <w:shd w:val="clear" w:color="auto" w:fill="BFBFBF" w:themeFill="background1" w:themeFillShade="BF"/>
            <w:vAlign w:val="center"/>
          </w:tcPr>
          <w:p w:rsidR="003B336C" w:rsidRPr="00A64467" w:rsidRDefault="003B336C" w:rsidP="00A70EC2">
            <w:pPr>
              <w:jc w:val="center"/>
              <w:rPr>
                <w:rFonts w:ascii="Times New Roman" w:eastAsiaTheme="minorEastAsia" w:hAnsi="Times New Roman" w:cs="Times New Roman"/>
                <w:sz w:val="20"/>
                <w:szCs w:val="20"/>
              </w:rPr>
            </w:pPr>
          </w:p>
        </w:tc>
        <w:tc>
          <w:tcPr>
            <w:tcW w:w="1260" w:type="dxa"/>
            <w:tcBorders>
              <w:bottom w:val="single" w:sz="4" w:space="0" w:color="auto"/>
            </w:tcBorders>
            <w:shd w:val="clear" w:color="auto" w:fill="BFBFBF" w:themeFill="background1" w:themeFillShade="BF"/>
            <w:vAlign w:val="center"/>
          </w:tcPr>
          <w:p w:rsidR="003B336C" w:rsidRPr="00A64467" w:rsidRDefault="003B336C" w:rsidP="00A70EC2">
            <w:pPr>
              <w:jc w:val="center"/>
              <w:rPr>
                <w:rFonts w:ascii="Times New Roman" w:eastAsiaTheme="minorEastAsia" w:hAnsi="Times New Roman" w:cs="Times New Roman"/>
                <w:sz w:val="20"/>
                <w:szCs w:val="20"/>
              </w:rPr>
            </w:pPr>
          </w:p>
        </w:tc>
      </w:tr>
      <w:tr w:rsidR="003B336C" w:rsidRPr="005E3888" w:rsidTr="00A70EC2">
        <w:trPr>
          <w:jc w:val="center"/>
        </w:trPr>
        <w:tc>
          <w:tcPr>
            <w:tcW w:w="1677" w:type="dxa"/>
            <w:vMerge/>
            <w:vAlign w:val="center"/>
          </w:tcPr>
          <w:p w:rsidR="003B336C" w:rsidRPr="00D30915" w:rsidRDefault="003B336C" w:rsidP="00A70EC2">
            <w:pPr>
              <w:jc w:val="center"/>
              <w:rPr>
                <w:rFonts w:ascii="Times New Roman" w:eastAsiaTheme="minorEastAsia" w:hAnsi="Times New Roman" w:cs="Times New Roman"/>
                <w:b/>
                <w:szCs w:val="20"/>
              </w:rPr>
            </w:pPr>
          </w:p>
        </w:tc>
        <w:tc>
          <w:tcPr>
            <w:tcW w:w="1512" w:type="dxa"/>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2011-2012</w:t>
            </w:r>
          </w:p>
        </w:tc>
        <w:tc>
          <w:tcPr>
            <w:tcW w:w="1044" w:type="dxa"/>
            <w:shd w:val="clear" w:color="auto" w:fill="BFBFBF" w:themeFill="background1" w:themeFillShade="BF"/>
            <w:vAlign w:val="center"/>
          </w:tcPr>
          <w:p w:rsidR="003B336C" w:rsidRPr="00A64467" w:rsidRDefault="003B336C" w:rsidP="00A70EC2">
            <w:pPr>
              <w:jc w:val="center"/>
              <w:rPr>
                <w:rFonts w:ascii="Times New Roman" w:eastAsiaTheme="minorEastAsia" w:hAnsi="Times New Roman" w:cs="Times New Roman"/>
                <w:sz w:val="20"/>
                <w:szCs w:val="20"/>
              </w:rPr>
            </w:pPr>
          </w:p>
        </w:tc>
        <w:tc>
          <w:tcPr>
            <w:tcW w:w="2520" w:type="dxa"/>
            <w:gridSpan w:val="2"/>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0.4</w:t>
            </w:r>
          </w:p>
        </w:tc>
        <w:tc>
          <w:tcPr>
            <w:tcW w:w="1440" w:type="dxa"/>
            <w:shd w:val="clear" w:color="auto" w:fill="BFBFBF" w:themeFill="background1" w:themeFillShade="BF"/>
            <w:vAlign w:val="center"/>
          </w:tcPr>
          <w:p w:rsidR="003B336C" w:rsidRPr="00A64467" w:rsidRDefault="003B336C" w:rsidP="00A70EC2">
            <w:pPr>
              <w:jc w:val="center"/>
              <w:rPr>
                <w:rFonts w:ascii="Times New Roman" w:eastAsiaTheme="minorEastAsia" w:hAnsi="Times New Roman" w:cs="Times New Roman"/>
                <w:sz w:val="20"/>
                <w:szCs w:val="20"/>
              </w:rPr>
            </w:pPr>
          </w:p>
        </w:tc>
        <w:tc>
          <w:tcPr>
            <w:tcW w:w="1260" w:type="dxa"/>
            <w:tcBorders>
              <w:bottom w:val="single" w:sz="4" w:space="0" w:color="auto"/>
            </w:tcBorders>
            <w:shd w:val="clear" w:color="auto" w:fill="BFBFBF" w:themeFill="background1" w:themeFillShade="BF"/>
            <w:vAlign w:val="center"/>
          </w:tcPr>
          <w:p w:rsidR="003B336C" w:rsidRPr="00A64467" w:rsidRDefault="003B336C" w:rsidP="00A70EC2">
            <w:pPr>
              <w:jc w:val="center"/>
              <w:rPr>
                <w:rFonts w:ascii="Times New Roman" w:eastAsiaTheme="minorEastAsia" w:hAnsi="Times New Roman" w:cs="Times New Roman"/>
                <w:sz w:val="20"/>
                <w:szCs w:val="20"/>
              </w:rPr>
            </w:pPr>
          </w:p>
        </w:tc>
      </w:tr>
      <w:tr w:rsidR="003B336C" w:rsidRPr="005E3888" w:rsidTr="00A70EC2">
        <w:trPr>
          <w:jc w:val="center"/>
        </w:trPr>
        <w:tc>
          <w:tcPr>
            <w:tcW w:w="1677" w:type="dxa"/>
            <w:vMerge/>
            <w:vAlign w:val="center"/>
          </w:tcPr>
          <w:p w:rsidR="003B336C" w:rsidRPr="00D30915" w:rsidRDefault="003B336C" w:rsidP="00A70EC2">
            <w:pPr>
              <w:jc w:val="center"/>
              <w:rPr>
                <w:rFonts w:ascii="Times New Roman" w:eastAsiaTheme="minorEastAsia" w:hAnsi="Times New Roman" w:cs="Times New Roman"/>
                <w:b/>
                <w:szCs w:val="20"/>
              </w:rPr>
            </w:pPr>
          </w:p>
        </w:tc>
        <w:tc>
          <w:tcPr>
            <w:tcW w:w="1512" w:type="dxa"/>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2012-2013</w:t>
            </w:r>
          </w:p>
        </w:tc>
        <w:tc>
          <w:tcPr>
            <w:tcW w:w="1044" w:type="dxa"/>
            <w:shd w:val="clear" w:color="auto" w:fill="BFBFBF" w:themeFill="background1" w:themeFillShade="BF"/>
            <w:vAlign w:val="center"/>
          </w:tcPr>
          <w:p w:rsidR="003B336C" w:rsidRPr="00A64467" w:rsidRDefault="003B336C" w:rsidP="00A70EC2">
            <w:pPr>
              <w:jc w:val="center"/>
              <w:rPr>
                <w:rFonts w:ascii="Times New Roman" w:eastAsiaTheme="minorEastAsia" w:hAnsi="Times New Roman" w:cs="Times New Roman"/>
                <w:sz w:val="20"/>
                <w:szCs w:val="20"/>
              </w:rPr>
            </w:pPr>
          </w:p>
        </w:tc>
        <w:tc>
          <w:tcPr>
            <w:tcW w:w="1170" w:type="dxa"/>
            <w:shd w:val="clear" w:color="auto" w:fill="BFBFBF" w:themeFill="background1" w:themeFillShade="BF"/>
            <w:vAlign w:val="center"/>
          </w:tcPr>
          <w:p w:rsidR="003B336C" w:rsidRPr="00A64467" w:rsidRDefault="003B336C" w:rsidP="00A70EC2">
            <w:pPr>
              <w:jc w:val="center"/>
              <w:rPr>
                <w:rFonts w:ascii="Times New Roman" w:eastAsiaTheme="minorEastAsia" w:hAnsi="Times New Roman" w:cs="Times New Roman"/>
                <w:sz w:val="20"/>
                <w:szCs w:val="20"/>
              </w:rPr>
            </w:pPr>
          </w:p>
        </w:tc>
        <w:tc>
          <w:tcPr>
            <w:tcW w:w="2790" w:type="dxa"/>
            <w:gridSpan w:val="2"/>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3.8</w:t>
            </w:r>
          </w:p>
        </w:tc>
        <w:tc>
          <w:tcPr>
            <w:tcW w:w="1260" w:type="dxa"/>
            <w:shd w:val="clear" w:color="auto" w:fill="BFBFBF" w:themeFill="background1" w:themeFillShade="BF"/>
            <w:vAlign w:val="center"/>
          </w:tcPr>
          <w:p w:rsidR="003B336C" w:rsidRPr="00A64467" w:rsidRDefault="003B336C" w:rsidP="00A70EC2">
            <w:pPr>
              <w:jc w:val="center"/>
              <w:rPr>
                <w:rFonts w:ascii="Times New Roman" w:eastAsiaTheme="minorEastAsia" w:hAnsi="Times New Roman" w:cs="Times New Roman"/>
                <w:sz w:val="20"/>
                <w:szCs w:val="20"/>
              </w:rPr>
            </w:pPr>
          </w:p>
        </w:tc>
      </w:tr>
      <w:tr w:rsidR="003B336C" w:rsidRPr="005E3888" w:rsidTr="00A70EC2">
        <w:trPr>
          <w:jc w:val="center"/>
        </w:trPr>
        <w:tc>
          <w:tcPr>
            <w:tcW w:w="1677" w:type="dxa"/>
            <w:vMerge/>
            <w:vAlign w:val="center"/>
          </w:tcPr>
          <w:p w:rsidR="003B336C" w:rsidRPr="00D30915" w:rsidRDefault="003B336C" w:rsidP="00A70EC2">
            <w:pPr>
              <w:jc w:val="center"/>
              <w:rPr>
                <w:rFonts w:ascii="Times New Roman" w:eastAsiaTheme="minorEastAsia" w:hAnsi="Times New Roman" w:cs="Times New Roman"/>
                <w:b/>
                <w:szCs w:val="20"/>
              </w:rPr>
            </w:pPr>
          </w:p>
        </w:tc>
        <w:tc>
          <w:tcPr>
            <w:tcW w:w="1512" w:type="dxa"/>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2013-2014</w:t>
            </w:r>
          </w:p>
        </w:tc>
        <w:tc>
          <w:tcPr>
            <w:tcW w:w="1044" w:type="dxa"/>
            <w:shd w:val="clear" w:color="auto" w:fill="BFBFBF" w:themeFill="background1" w:themeFillShade="BF"/>
            <w:vAlign w:val="center"/>
          </w:tcPr>
          <w:p w:rsidR="003B336C" w:rsidRPr="00A64467" w:rsidRDefault="003B336C" w:rsidP="00A70EC2">
            <w:pPr>
              <w:jc w:val="center"/>
              <w:rPr>
                <w:rFonts w:ascii="Times New Roman" w:eastAsiaTheme="minorEastAsia" w:hAnsi="Times New Roman" w:cs="Times New Roman"/>
                <w:sz w:val="20"/>
                <w:szCs w:val="20"/>
              </w:rPr>
            </w:pPr>
          </w:p>
        </w:tc>
        <w:tc>
          <w:tcPr>
            <w:tcW w:w="1170" w:type="dxa"/>
            <w:shd w:val="clear" w:color="auto" w:fill="BFBFBF" w:themeFill="background1" w:themeFillShade="BF"/>
            <w:vAlign w:val="center"/>
          </w:tcPr>
          <w:p w:rsidR="003B336C" w:rsidRPr="00A64467" w:rsidRDefault="003B336C" w:rsidP="00A70EC2">
            <w:pPr>
              <w:jc w:val="center"/>
              <w:rPr>
                <w:rFonts w:ascii="Times New Roman" w:eastAsiaTheme="minorEastAsia" w:hAnsi="Times New Roman" w:cs="Times New Roman"/>
                <w:sz w:val="20"/>
                <w:szCs w:val="20"/>
              </w:rPr>
            </w:pPr>
          </w:p>
        </w:tc>
        <w:tc>
          <w:tcPr>
            <w:tcW w:w="1350" w:type="dxa"/>
            <w:shd w:val="clear" w:color="auto" w:fill="BFBFBF" w:themeFill="background1" w:themeFillShade="BF"/>
            <w:vAlign w:val="center"/>
          </w:tcPr>
          <w:p w:rsidR="003B336C" w:rsidRPr="00A64467" w:rsidRDefault="003B336C" w:rsidP="00A70EC2">
            <w:pPr>
              <w:jc w:val="center"/>
              <w:rPr>
                <w:rFonts w:ascii="Times New Roman" w:eastAsiaTheme="minorEastAsia" w:hAnsi="Times New Roman" w:cs="Times New Roman"/>
                <w:sz w:val="20"/>
                <w:szCs w:val="20"/>
              </w:rPr>
            </w:pPr>
          </w:p>
        </w:tc>
        <w:tc>
          <w:tcPr>
            <w:tcW w:w="2700" w:type="dxa"/>
            <w:gridSpan w:val="2"/>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4.2</w:t>
            </w:r>
          </w:p>
        </w:tc>
      </w:tr>
      <w:tr w:rsidR="003B336C" w:rsidRPr="005E3888" w:rsidTr="00A70EC2">
        <w:trPr>
          <w:jc w:val="center"/>
        </w:trPr>
        <w:tc>
          <w:tcPr>
            <w:tcW w:w="1677" w:type="dxa"/>
            <w:vAlign w:val="center"/>
          </w:tcPr>
          <w:p w:rsidR="003B336C" w:rsidRPr="00D30915" w:rsidRDefault="00167287" w:rsidP="00A70EC2">
            <w:pPr>
              <w:jc w:val="center"/>
              <w:rPr>
                <w:rFonts w:ascii="Times New Roman" w:eastAsiaTheme="minorEastAsia" w:hAnsi="Times New Roman" w:cs="Times New Roman"/>
                <w:b/>
                <w:szCs w:val="20"/>
              </w:rPr>
            </w:pPr>
            <m:oMathPara>
              <m:oMath>
                <m:sSub>
                  <m:sSubPr>
                    <m:ctrlPr>
                      <w:rPr>
                        <w:rFonts w:ascii="Cambria Math" w:eastAsiaTheme="minorEastAsia" w:hAnsi="Cambria Math" w:cs="Times New Roman"/>
                        <w:b/>
                        <w:i/>
                        <w:szCs w:val="20"/>
                      </w:rPr>
                    </m:ctrlPr>
                  </m:sSubPr>
                  <m:e>
                    <m:r>
                      <m:rPr>
                        <m:sty m:val="bi"/>
                      </m:rPr>
                      <w:rPr>
                        <w:rFonts w:ascii="Cambria Math" w:eastAsiaTheme="minorEastAsia" w:hAnsi="Cambria Math" w:cs="Times New Roman"/>
                        <w:szCs w:val="20"/>
                      </w:rPr>
                      <m:t xml:space="preserve"> s</m:t>
                    </m:r>
                  </m:e>
                  <m:sub>
                    <m:r>
                      <m:rPr>
                        <m:sty m:val="bi"/>
                      </m:rPr>
                      <w:rPr>
                        <w:rFonts w:ascii="Cambria Math" w:eastAsiaTheme="minorEastAsia" w:hAnsi="Cambria Math" w:cs="Times New Roman"/>
                        <w:szCs w:val="20"/>
                      </w:rPr>
                      <m:t>f-iccad</m:t>
                    </m:r>
                  </m:sub>
                </m:sSub>
              </m:oMath>
            </m:oMathPara>
          </w:p>
        </w:tc>
        <w:tc>
          <w:tcPr>
            <w:tcW w:w="1512" w:type="dxa"/>
            <w:vAlign w:val="center"/>
          </w:tcPr>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2010-11,    2011-12,</w:t>
            </w:r>
          </w:p>
          <w:p w:rsidR="003B336C" w:rsidRPr="00A64467" w:rsidRDefault="003B336C" w:rsidP="00A70EC2">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2012-13,    2012-13</w:t>
            </w:r>
          </w:p>
        </w:tc>
        <w:tc>
          <w:tcPr>
            <w:tcW w:w="6264" w:type="dxa"/>
            <w:gridSpan w:val="5"/>
            <w:vAlign w:val="center"/>
          </w:tcPr>
          <w:p w:rsidR="003B336C" w:rsidRPr="00A64467" w:rsidRDefault="00167287" w:rsidP="00A70EC2">
            <w:pPr>
              <w:jc w:val="center"/>
              <w:rPr>
                <w:rFonts w:ascii="Times New Roman" w:eastAsiaTheme="minorEastAsia" w:hAnsi="Times New Roman" w:cs="Times New Roman"/>
                <w:sz w:val="20"/>
                <w:szCs w:val="20"/>
              </w:rPr>
            </w:pP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 xml:space="preserve"> s</m:t>
                  </m:r>
                </m:e>
                <m:sub>
                  <m:r>
                    <w:rPr>
                      <w:rFonts w:ascii="Cambria Math" w:eastAsiaTheme="minorEastAsia" w:hAnsi="Cambria Math" w:cs="Times New Roman"/>
                      <w:szCs w:val="20"/>
                    </w:rPr>
                    <m:t>f-iccad</m:t>
                  </m:r>
                </m:sub>
              </m:sSub>
              <m:r>
                <w:rPr>
                  <w:rFonts w:ascii="Cambria Math" w:eastAsiaTheme="minorEastAsia" w:hAnsi="Cambria Math" w:cs="Times New Roman"/>
                  <w:szCs w:val="20"/>
                </w:rPr>
                <m:t xml:space="preserve"> </m:t>
              </m:r>
            </m:oMath>
            <w:r w:rsidR="003B336C">
              <w:rPr>
                <w:rFonts w:ascii="Times New Roman" w:eastAsiaTheme="minorEastAsia" w:hAnsi="Times New Roman" w:cs="Times New Roman"/>
                <w:sz w:val="20"/>
                <w:szCs w:val="20"/>
              </w:rPr>
              <w:t xml:space="preserve">= </w:t>
            </w:r>
            <w:r w:rsidR="003B336C" w:rsidRPr="00A64467">
              <w:rPr>
                <w:rFonts w:ascii="Times New Roman" w:eastAsiaTheme="minorEastAsia" w:hAnsi="Times New Roman" w:cs="Times New Roman"/>
                <w:sz w:val="20"/>
                <w:szCs w:val="20"/>
              </w:rPr>
              <w:t>100/[(1.6+0.4+3.8+4.2)/4]=40</w:t>
            </w:r>
          </w:p>
        </w:tc>
      </w:tr>
    </w:tbl>
    <w:p w:rsidR="003B336C" w:rsidRDefault="003B336C" w:rsidP="003B336C">
      <w:pPr>
        <w:jc w:val="center"/>
        <w:rPr>
          <w:rFonts w:eastAsiaTheme="minorEastAsia"/>
        </w:rPr>
      </w:pPr>
    </w:p>
    <w:p w:rsidR="003B336C" w:rsidRDefault="003B336C" w:rsidP="003B336C">
      <w:pPr>
        <w:jc w:val="center"/>
        <w:rPr>
          <w:rFonts w:eastAsiaTheme="minorEastAsia"/>
        </w:rPr>
        <w:sectPr w:rsidR="003B336C" w:rsidSect="00941504">
          <w:type w:val="continuous"/>
          <w:pgSz w:w="12240" w:h="15840" w:code="1"/>
          <w:pgMar w:top="1008" w:right="936" w:bottom="1008" w:left="936" w:header="432" w:footer="432" w:gutter="0"/>
          <w:cols w:space="288"/>
        </w:sectPr>
      </w:pPr>
    </w:p>
    <w:p w:rsidR="003B336C" w:rsidRDefault="003B336C" w:rsidP="003B336C">
      <w:pPr>
        <w:pStyle w:val="Text"/>
        <w:ind w:firstLine="0"/>
        <w:rPr>
          <w:rFonts w:eastAsiaTheme="minorEastAsia"/>
        </w:rPr>
        <w:sectPr w:rsidR="003B336C" w:rsidSect="003B336C">
          <w:type w:val="continuous"/>
          <w:pgSz w:w="12240" w:h="15840" w:code="1"/>
          <w:pgMar w:top="1008" w:right="936" w:bottom="1008" w:left="936" w:header="432" w:footer="432" w:gutter="0"/>
          <w:cols w:space="288"/>
        </w:sectPr>
      </w:pPr>
    </w:p>
    <w:p w:rsidR="003B336C" w:rsidRDefault="003B336C" w:rsidP="003B336C">
      <w:pPr>
        <w:pStyle w:val="Text"/>
        <w:ind w:firstLine="0"/>
        <w:rPr>
          <w:rFonts w:eastAsiaTheme="minorEastAsia"/>
        </w:rPr>
      </w:pPr>
      <w:bookmarkStart w:id="18" w:name="_Ref427788054"/>
      <w:r>
        <w:rPr>
          <w:rFonts w:eastAsiaTheme="minorEastAsia"/>
        </w:rPr>
        <w:lastRenderedPageBreak/>
        <w:t xml:space="preserve">Thereafter, when the stability value is calculated using all of the single-year intervals, </w:t>
      </w:r>
      <m:oMath>
        <m:sSub>
          <m:sSubPr>
            <m:ctrlPr>
              <w:rPr>
                <w:rFonts w:ascii="Cambria Math" w:eastAsiaTheme="minorEastAsia" w:hAnsi="Cambria Math"/>
                <w:b/>
                <w:i/>
              </w:rPr>
            </m:ctrlPr>
          </m:sSubPr>
          <m:e>
            <m:r>
              <m:rPr>
                <m:sty m:val="bi"/>
              </m:rPr>
              <w:rPr>
                <w:rFonts w:ascii="Cambria Math" w:eastAsiaTheme="minorEastAsia" w:hAnsi="Cambria Math"/>
              </w:rPr>
              <m:t xml:space="preserve"> s</m:t>
            </m:r>
          </m:e>
          <m:sub>
            <m:r>
              <m:rPr>
                <m:sty m:val="bi"/>
              </m:rPr>
              <w:rPr>
                <w:rFonts w:ascii="Cambria Math" w:eastAsiaTheme="minorEastAsia" w:hAnsi="Cambria Math"/>
              </w:rPr>
              <m:t>f-nocs</m:t>
            </m:r>
          </m:sub>
        </m:sSub>
        <m:r>
          <m:rPr>
            <m:sty m:val="bi"/>
          </m:rPr>
          <w:rPr>
            <w:rFonts w:ascii="Cambria Math" w:eastAsiaTheme="minorEastAsia" w:hAnsi="Cambria Math"/>
          </w:rPr>
          <m:t xml:space="preserve"> </m:t>
        </m:r>
      </m:oMath>
      <w:r>
        <w:rPr>
          <w:rFonts w:eastAsiaTheme="minorEastAsia"/>
        </w:rPr>
        <w:t xml:space="preserve">is found to be 5.5, a low number. Since NOCS has such a high variance in its data, it is difficult to determine whether the stability values for NOCS actually reflect a realistic number. We therefore turned to ICCAD, where there is no big variance in the data. When the stability </w:t>
      </w:r>
      <m:oMath>
        <m:sSub>
          <m:sSubPr>
            <m:ctrlPr>
              <w:rPr>
                <w:rFonts w:ascii="Cambria Math" w:eastAsiaTheme="minorEastAsia" w:hAnsi="Cambria Math"/>
                <w:b/>
                <w:i/>
              </w:rPr>
            </m:ctrlPr>
          </m:sSubPr>
          <m:e>
            <m:r>
              <m:rPr>
                <m:sty m:val="bi"/>
              </m:rPr>
              <w:rPr>
                <w:rFonts w:ascii="Cambria Math" w:eastAsiaTheme="minorEastAsia" w:hAnsi="Cambria Math"/>
              </w:rPr>
              <m:t xml:space="preserve"> s</m:t>
            </m:r>
          </m:e>
          <m:sub>
            <m:r>
              <m:rPr>
                <m:sty m:val="bi"/>
              </m:rPr>
              <w:rPr>
                <w:rFonts w:ascii="Cambria Math" w:eastAsiaTheme="minorEastAsia" w:hAnsi="Cambria Math"/>
              </w:rPr>
              <m:t>f-iccad</m:t>
            </m:r>
          </m:sub>
        </m:sSub>
        <m:r>
          <m:rPr>
            <m:sty m:val="bi"/>
          </m:rPr>
          <w:rPr>
            <w:rFonts w:ascii="Cambria Math" w:eastAsiaTheme="minorEastAsia" w:hAnsi="Cambria Math"/>
          </w:rPr>
          <m:t xml:space="preserve"> </m:t>
        </m:r>
      </m:oMath>
      <w:r>
        <w:rPr>
          <w:rFonts w:eastAsiaTheme="minorEastAsia"/>
        </w:rPr>
        <w:t xml:space="preserve">is computed across the same five consecutive single-year intervals as NOCS, we get a value of 40. From this, we see that a conference with no significant anomalies or variations in fairness values – in other words a “stable” conference – should probably have a value in the ballpark of 40. </w:t>
      </w:r>
    </w:p>
    <w:p w:rsidR="003B336C" w:rsidRDefault="003B336C" w:rsidP="003B336C">
      <w:pPr>
        <w:pStyle w:val="Text"/>
        <w:rPr>
          <w:rFonts w:eastAsiaTheme="minorEastAsia"/>
        </w:rPr>
      </w:pPr>
      <w:r>
        <w:rPr>
          <w:rFonts w:eastAsiaTheme="minorEastAsia"/>
        </w:rPr>
        <w:t xml:space="preserve">The stability values calculated for the different subsets of the NOCS conference serve different purposes. The low stability of the high-variance </w:t>
      </w:r>
      <w:proofErr w:type="gramStart"/>
      <w:r>
        <w:rPr>
          <w:rFonts w:eastAsiaTheme="minorEastAsia"/>
        </w:rPr>
        <w:t>years</w:t>
      </w:r>
      <w:proofErr w:type="gramEnd"/>
      <w:r>
        <w:rPr>
          <w:rFonts w:eastAsiaTheme="minorEastAsia"/>
        </w:rPr>
        <w:t xml:space="preserve"> shows just how big of a difference there can be between two years; raw fairness values do not show this as clearly. The high stability values of the other years show that the same conference can remain very similar between two other consecutive years. </w:t>
      </w:r>
    </w:p>
    <w:p w:rsidR="003B336C" w:rsidRDefault="003B336C" w:rsidP="003B336C">
      <w:pPr>
        <w:pStyle w:val="Text"/>
        <w:rPr>
          <w:rFonts w:eastAsiaTheme="minorEastAsia"/>
        </w:rPr>
      </w:pPr>
      <w:r>
        <w:rPr>
          <w:rFonts w:eastAsiaTheme="minorEastAsia"/>
        </w:rPr>
        <w:t xml:space="preserve">The NOCS conference was initially chosen because it is a conference that did not change too much over the years in terms of the number of authors and the number of TPC members. However, even though the conference was stable </w:t>
      </w:r>
      <w:r>
        <w:rPr>
          <w:rFonts w:eastAsiaTheme="minorEastAsia"/>
        </w:rPr>
        <w:lastRenderedPageBreak/>
        <w:t xml:space="preserve">with respect to the number of participants, the overall stability of the conference calculated over five years shows that NOCS as a whole is still an unstable conference per our definition of stability in the context of fairness; a visual analysis does not yield this insight that we get from computed fairness and stability numbers.  </w:t>
      </w:r>
    </w:p>
    <w:p w:rsidR="003B336C" w:rsidRPr="00DB4C3C" w:rsidRDefault="003B336C" w:rsidP="003B336C">
      <w:pPr>
        <w:pStyle w:val="Heading1"/>
      </w:pPr>
      <w:bookmarkStart w:id="19" w:name="_Ref428090361"/>
      <w:r w:rsidRPr="00DB4C3C">
        <w:t>Conclusion</w:t>
      </w:r>
      <w:bookmarkEnd w:id="18"/>
      <w:bookmarkEnd w:id="19"/>
    </w:p>
    <w:p w:rsidR="003B336C" w:rsidRDefault="003B336C" w:rsidP="003B336C">
      <w:pPr>
        <w:pStyle w:val="Text"/>
      </w:pPr>
      <w:r>
        <w:t xml:space="preserve">We defined and analyzed </w:t>
      </w:r>
      <w:r w:rsidRPr="00AA4883">
        <w:rPr>
          <w:i/>
        </w:rPr>
        <w:t>fairness</w:t>
      </w:r>
      <w:r>
        <w:t xml:space="preserve"> and </w:t>
      </w:r>
      <w:r w:rsidRPr="00AA4883">
        <w:rPr>
          <w:i/>
        </w:rPr>
        <w:t>stability</w:t>
      </w:r>
      <w:r>
        <w:t xml:space="preserve"> of scientific collaborations in academic conferences by using co-authorship and institutional attributes of papers appearing in NOCS and ICCAD over a five year period (2010-2014). The conference data obtained from IEEE Xplore was converted into a network graph, from which we computed numerical values of fairness and stability for the two conferences using our proposed methodology</w:t>
      </w:r>
      <w:r w:rsidRPr="00E77551">
        <w:t xml:space="preserve"> </w:t>
      </w:r>
      <w:r>
        <w:t xml:space="preserve">and the properties of the collaborative network graph of the authors. Our calculations led to interesting results that were not otherwise apparent from a simple visual analysis; a conference that seemed rather stable upon a casual manual inspection actually turned out to be quite unstable with regards to fairness. </w:t>
      </w:r>
    </w:p>
    <w:p w:rsidR="003B336C" w:rsidRDefault="003B336C" w:rsidP="003B336C">
      <w:pPr>
        <w:ind w:firstLine="202"/>
        <w:jc w:val="both"/>
      </w:pPr>
      <w:r>
        <w:t xml:space="preserve">We analyzed only two conferences for five years in this paper, but we aim to investigate the properties of a larger </w:t>
      </w:r>
      <w:r>
        <w:lastRenderedPageBreak/>
        <w:t xml:space="preserve">number of conferences over a longer time period in order to study if shifts in the scientific community affect the fairness and the stability of a conference. It would be very interesting to include the information about external reviewers in our network graph and perform a more precise calculation of fairness and a more in-depth analysis of stability. We believe that our techniques and results can be used to guide and optimize policies </w:t>
      </w:r>
      <w:r w:rsidRPr="003F0F1C">
        <w:t xml:space="preserve">regarding </w:t>
      </w:r>
      <w:r>
        <w:t>the rules of engagement in different academic events and networks. Given the generality of our methodology, it would be interesting to extend our analysis to the examination of other social networks as well.</w:t>
      </w:r>
    </w:p>
    <w:p w:rsidR="003B336C" w:rsidRPr="00DB4C3C" w:rsidRDefault="003B336C" w:rsidP="003B336C">
      <w:pPr>
        <w:pStyle w:val="ReferenceHead"/>
      </w:pPr>
      <w:r w:rsidRPr="00DB4C3C">
        <w:t>Acknowledgment</w:t>
      </w:r>
    </w:p>
    <w:p w:rsidR="003B336C" w:rsidRPr="00DB4C3C" w:rsidRDefault="003B336C" w:rsidP="003B336C">
      <w:pPr>
        <w:pStyle w:val="Text"/>
        <w:ind w:firstLine="204"/>
      </w:pPr>
      <w:r w:rsidRPr="00DB4C3C">
        <w:t xml:space="preserve">The authors would like to thank the Department of Electrical and Computer Engineering at Carnegie Mellon University for providing an opportunity to discuss the project requirements and get on with some implementation prototypes. </w:t>
      </w:r>
    </w:p>
    <w:p w:rsidR="003B336C" w:rsidRPr="00DB4C3C" w:rsidRDefault="003B336C" w:rsidP="003B336C">
      <w:pPr>
        <w:pStyle w:val="ReferenceHead"/>
      </w:pPr>
      <w:r w:rsidRPr="00DB4C3C">
        <w:t>References</w:t>
      </w:r>
    </w:p>
    <w:sdt>
      <w:sdtPr>
        <w:rPr>
          <w:smallCaps/>
        </w:rPr>
        <w:id w:val="1007106251"/>
        <w:docPartObj>
          <w:docPartGallery w:val="Bibliographies"/>
          <w:docPartUnique/>
        </w:docPartObj>
      </w:sdtPr>
      <w:sdtEndPr>
        <w:rPr>
          <w:smallCaps w:val="0"/>
        </w:rPr>
      </w:sdtEndPr>
      <w:sdtContent>
        <w:sdt>
          <w:sdtPr>
            <w:id w:val="-573587230"/>
            <w:bibliography/>
          </w:sdtPr>
          <w:sdtEndPr/>
          <w:sdtContent>
            <w:p w:rsidR="003B336C" w:rsidRDefault="003B336C" w:rsidP="003B336C">
              <w:pPr>
                <w:rPr>
                  <w:noProof/>
                </w:rPr>
              </w:pPr>
              <w:r w:rsidRPr="00DB4C3C">
                <w:fldChar w:fldCharType="begin"/>
              </w:r>
              <w:r w:rsidRPr="00DB4C3C">
                <w:instrText xml:space="preserve"> BIBLIOGRAPHY </w:instrText>
              </w:r>
              <w:r w:rsidRPr="00DB4C3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721"/>
              </w:tblGrid>
              <w:tr w:rsidR="003B336C" w:rsidTr="00A70EC2">
                <w:trPr>
                  <w:tblCellSpacing w:w="15" w:type="dxa"/>
                </w:trPr>
                <w:tc>
                  <w:tcPr>
                    <w:tcW w:w="50" w:type="pct"/>
                    <w:hideMark/>
                  </w:tcPr>
                  <w:p w:rsidR="003B336C" w:rsidRDefault="003B336C" w:rsidP="00A70EC2">
                    <w:pPr>
                      <w:pStyle w:val="Bibliography"/>
                      <w:rPr>
                        <w:noProof/>
                        <w:sz w:val="24"/>
                        <w:szCs w:val="24"/>
                      </w:rPr>
                    </w:pPr>
                    <w:r>
                      <w:rPr>
                        <w:noProof/>
                      </w:rPr>
                      <w:t xml:space="preserve">[1] </w:t>
                    </w:r>
                  </w:p>
                </w:tc>
                <w:tc>
                  <w:tcPr>
                    <w:tcW w:w="0" w:type="auto"/>
                    <w:hideMark/>
                  </w:tcPr>
                  <w:p w:rsidR="003B336C" w:rsidRDefault="003B336C" w:rsidP="00A70EC2">
                    <w:pPr>
                      <w:pStyle w:val="Bibliography"/>
                      <w:rPr>
                        <w:noProof/>
                      </w:rPr>
                    </w:pPr>
                    <w:r>
                      <w:rPr>
                        <w:noProof/>
                      </w:rPr>
                      <w:t xml:space="preserve">M. M. Danziger, A. Bashan, Y. Berezin, L. M. Shekhtman and S. Havlin, "An Introduction to Interdependent Networks," </w:t>
                    </w:r>
                    <w:r>
                      <w:rPr>
                        <w:i/>
                        <w:iCs/>
                        <w:noProof/>
                      </w:rPr>
                      <w:t xml:space="preserve">Communications in Computer and Information Science, </w:t>
                    </w:r>
                    <w:r>
                      <w:rPr>
                        <w:noProof/>
                      </w:rPr>
                      <w:t xml:space="preserve">vol. 438, pp. 189-202, 2014. </w:t>
                    </w:r>
                  </w:p>
                </w:tc>
              </w:tr>
              <w:tr w:rsidR="003B336C" w:rsidTr="00A70EC2">
                <w:trPr>
                  <w:tblCellSpacing w:w="15" w:type="dxa"/>
                </w:trPr>
                <w:tc>
                  <w:tcPr>
                    <w:tcW w:w="50" w:type="pct"/>
                    <w:hideMark/>
                  </w:tcPr>
                  <w:p w:rsidR="003B336C" w:rsidRDefault="003B336C" w:rsidP="00A70EC2">
                    <w:pPr>
                      <w:pStyle w:val="Bibliography"/>
                      <w:rPr>
                        <w:noProof/>
                      </w:rPr>
                    </w:pPr>
                    <w:r>
                      <w:rPr>
                        <w:noProof/>
                      </w:rPr>
                      <w:t xml:space="preserve">[2] </w:t>
                    </w:r>
                  </w:p>
                </w:tc>
                <w:tc>
                  <w:tcPr>
                    <w:tcW w:w="0" w:type="auto"/>
                    <w:hideMark/>
                  </w:tcPr>
                  <w:p w:rsidR="003B336C" w:rsidRDefault="003B336C" w:rsidP="00A70EC2">
                    <w:pPr>
                      <w:pStyle w:val="Bibliography"/>
                      <w:rPr>
                        <w:noProof/>
                      </w:rPr>
                    </w:pPr>
                    <w:r>
                      <w:rPr>
                        <w:noProof/>
                      </w:rPr>
                      <w:t xml:space="preserve">G. Palla, A.-L. Barabasi and T. Vicsek, "Quantifying social group evolution," </w:t>
                    </w:r>
                    <w:r>
                      <w:rPr>
                        <w:i/>
                        <w:iCs/>
                        <w:noProof/>
                      </w:rPr>
                      <w:t xml:space="preserve">Nature, </w:t>
                    </w:r>
                    <w:r>
                      <w:rPr>
                        <w:noProof/>
                      </w:rPr>
                      <w:t xml:space="preserve">vol. 446, 2007. </w:t>
                    </w:r>
                  </w:p>
                </w:tc>
              </w:tr>
              <w:tr w:rsidR="003B336C" w:rsidTr="00A70EC2">
                <w:trPr>
                  <w:tblCellSpacing w:w="15" w:type="dxa"/>
                </w:trPr>
                <w:tc>
                  <w:tcPr>
                    <w:tcW w:w="50" w:type="pct"/>
                    <w:hideMark/>
                  </w:tcPr>
                  <w:p w:rsidR="003B336C" w:rsidRDefault="003B336C" w:rsidP="00A70EC2">
                    <w:pPr>
                      <w:pStyle w:val="Bibliography"/>
                      <w:rPr>
                        <w:noProof/>
                      </w:rPr>
                    </w:pPr>
                    <w:r>
                      <w:rPr>
                        <w:noProof/>
                      </w:rPr>
                      <w:t xml:space="preserve">[3] </w:t>
                    </w:r>
                  </w:p>
                </w:tc>
                <w:tc>
                  <w:tcPr>
                    <w:tcW w:w="0" w:type="auto"/>
                    <w:hideMark/>
                  </w:tcPr>
                  <w:p w:rsidR="003B336C" w:rsidRDefault="003B336C" w:rsidP="00A70EC2">
                    <w:pPr>
                      <w:pStyle w:val="Bibliography"/>
                      <w:rPr>
                        <w:noProof/>
                      </w:rPr>
                    </w:pPr>
                    <w:r>
                      <w:rPr>
                        <w:noProof/>
                      </w:rPr>
                      <w:t xml:space="preserve">M. E. J. Newman, "The structure of scientific collaboration networks," </w:t>
                    </w:r>
                    <w:r>
                      <w:rPr>
                        <w:i/>
                        <w:iCs/>
                        <w:noProof/>
                      </w:rPr>
                      <w:t xml:space="preserve">Proceedings of the National Academy of Sciences of the United States of America, </w:t>
                    </w:r>
                    <w:r>
                      <w:rPr>
                        <w:noProof/>
                      </w:rPr>
                      <w:t xml:space="preserve">vol. 98, no. 2, pp. 404-409, 16 January 2001. </w:t>
                    </w:r>
                  </w:p>
                </w:tc>
              </w:tr>
              <w:tr w:rsidR="003B336C" w:rsidTr="00A70EC2">
                <w:trPr>
                  <w:tblCellSpacing w:w="15" w:type="dxa"/>
                </w:trPr>
                <w:tc>
                  <w:tcPr>
                    <w:tcW w:w="50" w:type="pct"/>
                    <w:hideMark/>
                  </w:tcPr>
                  <w:p w:rsidR="003B336C" w:rsidRDefault="003B336C" w:rsidP="00A70EC2">
                    <w:pPr>
                      <w:pStyle w:val="Bibliography"/>
                      <w:rPr>
                        <w:noProof/>
                      </w:rPr>
                    </w:pPr>
                    <w:r>
                      <w:rPr>
                        <w:noProof/>
                      </w:rPr>
                      <w:t xml:space="preserve">[4] </w:t>
                    </w:r>
                  </w:p>
                </w:tc>
                <w:tc>
                  <w:tcPr>
                    <w:tcW w:w="0" w:type="auto"/>
                    <w:hideMark/>
                  </w:tcPr>
                  <w:p w:rsidR="003B336C" w:rsidRDefault="003B336C" w:rsidP="00A70EC2">
                    <w:pPr>
                      <w:pStyle w:val="Bibliography"/>
                      <w:rPr>
                        <w:noProof/>
                      </w:rPr>
                    </w:pPr>
                    <w:r>
                      <w:rPr>
                        <w:noProof/>
                      </w:rPr>
                      <w:t xml:space="preserve">A. Kadriu, "Discovering Value in Academic Social Networks: A Case Study in ResearchGate," in </w:t>
                    </w:r>
                    <w:r>
                      <w:rPr>
                        <w:i/>
                        <w:iCs/>
                        <w:noProof/>
                      </w:rPr>
                      <w:t>Information Technology Interfaces (ITI)</w:t>
                    </w:r>
                    <w:r>
                      <w:rPr>
                        <w:noProof/>
                      </w:rPr>
                      <w:t xml:space="preserve">, 2013. </w:t>
                    </w:r>
                  </w:p>
                </w:tc>
              </w:tr>
              <w:tr w:rsidR="003B336C" w:rsidTr="00A70EC2">
                <w:trPr>
                  <w:tblCellSpacing w:w="15" w:type="dxa"/>
                </w:trPr>
                <w:tc>
                  <w:tcPr>
                    <w:tcW w:w="50" w:type="pct"/>
                    <w:hideMark/>
                  </w:tcPr>
                  <w:p w:rsidR="003B336C" w:rsidRDefault="003B336C" w:rsidP="00A70EC2">
                    <w:pPr>
                      <w:pStyle w:val="Bibliography"/>
                      <w:rPr>
                        <w:noProof/>
                      </w:rPr>
                    </w:pPr>
                    <w:r>
                      <w:rPr>
                        <w:noProof/>
                      </w:rPr>
                      <w:t xml:space="preserve">[5] </w:t>
                    </w:r>
                  </w:p>
                </w:tc>
                <w:tc>
                  <w:tcPr>
                    <w:tcW w:w="0" w:type="auto"/>
                    <w:hideMark/>
                  </w:tcPr>
                  <w:p w:rsidR="003B336C" w:rsidRDefault="003B336C" w:rsidP="00A70EC2">
                    <w:pPr>
                      <w:pStyle w:val="Bibliography"/>
                      <w:rPr>
                        <w:noProof/>
                      </w:rPr>
                    </w:pPr>
                    <w:r>
                      <w:rPr>
                        <w:noProof/>
                      </w:rPr>
                      <w:t xml:space="preserve">L. A. Barabasi, H. Jeong, Z. Neda, E. Ravasz, A. Schubert and T. Vicsek, "Evolution of the social network of," </w:t>
                    </w:r>
                    <w:r>
                      <w:rPr>
                        <w:i/>
                        <w:iCs/>
                        <w:noProof/>
                      </w:rPr>
                      <w:t xml:space="preserve">Physica A: Statistical Mechanics and its Applications, </w:t>
                    </w:r>
                    <w:r>
                      <w:rPr>
                        <w:noProof/>
                      </w:rPr>
                      <w:t xml:space="preserve">vol. 311, pp. 590-614, 2002. </w:t>
                    </w:r>
                  </w:p>
                </w:tc>
              </w:tr>
              <w:tr w:rsidR="003B336C" w:rsidTr="00A70EC2">
                <w:trPr>
                  <w:tblCellSpacing w:w="15" w:type="dxa"/>
                </w:trPr>
                <w:tc>
                  <w:tcPr>
                    <w:tcW w:w="50" w:type="pct"/>
                    <w:hideMark/>
                  </w:tcPr>
                  <w:p w:rsidR="003B336C" w:rsidRDefault="003B336C" w:rsidP="00A70EC2">
                    <w:pPr>
                      <w:pStyle w:val="Bibliography"/>
                      <w:rPr>
                        <w:noProof/>
                      </w:rPr>
                    </w:pPr>
                    <w:r>
                      <w:rPr>
                        <w:noProof/>
                      </w:rPr>
                      <w:t xml:space="preserve">[6] </w:t>
                    </w:r>
                  </w:p>
                </w:tc>
                <w:tc>
                  <w:tcPr>
                    <w:tcW w:w="0" w:type="auto"/>
                    <w:hideMark/>
                  </w:tcPr>
                  <w:p w:rsidR="003B336C" w:rsidRDefault="003B336C" w:rsidP="00A70EC2">
                    <w:pPr>
                      <w:pStyle w:val="Bibliography"/>
                      <w:rPr>
                        <w:noProof/>
                      </w:rPr>
                    </w:pPr>
                    <w:r>
                      <w:rPr>
                        <w:noProof/>
                      </w:rPr>
                      <w:t>"IEEE Xplore," [Online]. Available: http://ieeexplore.ieee.org/Xplore/home.jsp.</w:t>
                    </w:r>
                  </w:p>
                </w:tc>
              </w:tr>
              <w:tr w:rsidR="003B336C" w:rsidTr="00A70EC2">
                <w:trPr>
                  <w:tblCellSpacing w:w="15" w:type="dxa"/>
                </w:trPr>
                <w:tc>
                  <w:tcPr>
                    <w:tcW w:w="50" w:type="pct"/>
                    <w:hideMark/>
                  </w:tcPr>
                  <w:p w:rsidR="003B336C" w:rsidRDefault="003B336C" w:rsidP="00A70EC2">
                    <w:pPr>
                      <w:pStyle w:val="Bibliography"/>
                      <w:rPr>
                        <w:noProof/>
                      </w:rPr>
                    </w:pPr>
                    <w:r>
                      <w:rPr>
                        <w:noProof/>
                      </w:rPr>
                      <w:t xml:space="preserve">[7] </w:t>
                    </w:r>
                  </w:p>
                </w:tc>
                <w:tc>
                  <w:tcPr>
                    <w:tcW w:w="0" w:type="auto"/>
                    <w:hideMark/>
                  </w:tcPr>
                  <w:p w:rsidR="003B336C" w:rsidRDefault="003B336C" w:rsidP="00A70EC2">
                    <w:pPr>
                      <w:pStyle w:val="Bibliography"/>
                      <w:rPr>
                        <w:noProof/>
                      </w:rPr>
                    </w:pPr>
                    <w:r>
                      <w:rPr>
                        <w:noProof/>
                      </w:rPr>
                      <w:t>"The Open Graph Viz Platform," [Online]. Available: http://gephi.github.io/ .</w:t>
                    </w:r>
                  </w:p>
                </w:tc>
              </w:tr>
              <w:tr w:rsidR="003B336C" w:rsidTr="00A70EC2">
                <w:trPr>
                  <w:tblCellSpacing w:w="15" w:type="dxa"/>
                </w:trPr>
                <w:tc>
                  <w:tcPr>
                    <w:tcW w:w="50" w:type="pct"/>
                    <w:hideMark/>
                  </w:tcPr>
                  <w:p w:rsidR="003B336C" w:rsidRDefault="003B336C" w:rsidP="00A70EC2">
                    <w:pPr>
                      <w:pStyle w:val="Bibliography"/>
                      <w:rPr>
                        <w:noProof/>
                      </w:rPr>
                    </w:pPr>
                    <w:r>
                      <w:rPr>
                        <w:noProof/>
                      </w:rPr>
                      <w:t xml:space="preserve">[8] </w:t>
                    </w:r>
                  </w:p>
                </w:tc>
                <w:tc>
                  <w:tcPr>
                    <w:tcW w:w="0" w:type="auto"/>
                    <w:hideMark/>
                  </w:tcPr>
                  <w:p w:rsidR="003B336C" w:rsidRDefault="003B336C" w:rsidP="00A70EC2">
                    <w:pPr>
                      <w:pStyle w:val="Bibliography"/>
                      <w:rPr>
                        <w:noProof/>
                      </w:rPr>
                    </w:pPr>
                    <w:r>
                      <w:rPr>
                        <w:noProof/>
                      </w:rPr>
                      <w:t xml:space="preserve">M. Jacomy, T. Venturini, S. Heymann and M. Bastian, "ForceAtlas2, a Continuous Graph Layout Algorithm for Handy Network Visualization Designed for the Gephi Software," </w:t>
                    </w:r>
                    <w:r>
                      <w:rPr>
                        <w:i/>
                        <w:iCs/>
                        <w:noProof/>
                      </w:rPr>
                      <w:t xml:space="preserve">PLOS One, </w:t>
                    </w:r>
                    <w:r>
                      <w:rPr>
                        <w:noProof/>
                      </w:rPr>
                      <w:t xml:space="preserve">10 June 2014. </w:t>
                    </w:r>
                  </w:p>
                </w:tc>
              </w:tr>
              <w:tr w:rsidR="003B336C" w:rsidTr="00A70EC2">
                <w:trPr>
                  <w:tblCellSpacing w:w="15" w:type="dxa"/>
                </w:trPr>
                <w:tc>
                  <w:tcPr>
                    <w:tcW w:w="50" w:type="pct"/>
                    <w:hideMark/>
                  </w:tcPr>
                  <w:p w:rsidR="003B336C" w:rsidRDefault="003B336C" w:rsidP="00A70EC2">
                    <w:pPr>
                      <w:pStyle w:val="Bibliography"/>
                      <w:rPr>
                        <w:noProof/>
                      </w:rPr>
                    </w:pPr>
                    <w:r>
                      <w:rPr>
                        <w:noProof/>
                      </w:rPr>
                      <w:t xml:space="preserve">[9] </w:t>
                    </w:r>
                  </w:p>
                </w:tc>
                <w:tc>
                  <w:tcPr>
                    <w:tcW w:w="0" w:type="auto"/>
                    <w:hideMark/>
                  </w:tcPr>
                  <w:p w:rsidR="003B336C" w:rsidRDefault="003B336C" w:rsidP="00A70EC2">
                    <w:pPr>
                      <w:pStyle w:val="Bibliography"/>
                      <w:rPr>
                        <w:noProof/>
                      </w:rPr>
                    </w:pPr>
                    <w:r>
                      <w:rPr>
                        <w:noProof/>
                      </w:rPr>
                      <w:t xml:space="preserve">Y. Hu, "Efficient, High-Quality Force-Directed Graph Drawing," </w:t>
                    </w:r>
                    <w:r>
                      <w:rPr>
                        <w:i/>
                        <w:iCs/>
                        <w:noProof/>
                      </w:rPr>
                      <w:t xml:space="preserve">The Mathematica Journal, </w:t>
                    </w:r>
                    <w:r>
                      <w:rPr>
                        <w:noProof/>
                      </w:rPr>
                      <w:t xml:space="preserve">vol. 10, no. 1, 2006. </w:t>
                    </w:r>
                  </w:p>
                </w:tc>
              </w:tr>
              <w:tr w:rsidR="003B336C" w:rsidTr="00A70EC2">
                <w:trPr>
                  <w:tblCellSpacing w:w="15" w:type="dxa"/>
                </w:trPr>
                <w:tc>
                  <w:tcPr>
                    <w:tcW w:w="50" w:type="pct"/>
                    <w:hideMark/>
                  </w:tcPr>
                  <w:p w:rsidR="003B336C" w:rsidRDefault="003B336C" w:rsidP="00A70EC2">
                    <w:pPr>
                      <w:pStyle w:val="Bibliography"/>
                      <w:rPr>
                        <w:noProof/>
                      </w:rPr>
                    </w:pPr>
                    <w:r>
                      <w:rPr>
                        <w:noProof/>
                      </w:rPr>
                      <w:t xml:space="preserve">[10] </w:t>
                    </w:r>
                  </w:p>
                </w:tc>
                <w:tc>
                  <w:tcPr>
                    <w:tcW w:w="0" w:type="auto"/>
                    <w:hideMark/>
                  </w:tcPr>
                  <w:p w:rsidR="003B336C" w:rsidRDefault="003B336C" w:rsidP="00A70EC2">
                    <w:pPr>
                      <w:pStyle w:val="Bibliography"/>
                      <w:rPr>
                        <w:noProof/>
                      </w:rPr>
                    </w:pPr>
                    <w:r>
                      <w:rPr>
                        <w:noProof/>
                      </w:rPr>
                      <w:t xml:space="preserve">S. Martin, W. M. Brown, R. Klavans and K. W. Boyack, "OpenOrd: an open-source toolbox for large graph layout," in </w:t>
                    </w:r>
                    <w:r>
                      <w:rPr>
                        <w:i/>
                        <w:iCs/>
                        <w:noProof/>
                      </w:rPr>
                      <w:t>SPIE</w:t>
                    </w:r>
                    <w:r>
                      <w:rPr>
                        <w:noProof/>
                      </w:rPr>
                      <w:t xml:space="preserve">, 2011. </w:t>
                    </w:r>
                  </w:p>
                </w:tc>
              </w:tr>
              <w:tr w:rsidR="003B336C" w:rsidTr="00A70EC2">
                <w:trPr>
                  <w:tblCellSpacing w:w="15" w:type="dxa"/>
                </w:trPr>
                <w:tc>
                  <w:tcPr>
                    <w:tcW w:w="50" w:type="pct"/>
                    <w:hideMark/>
                  </w:tcPr>
                  <w:p w:rsidR="003B336C" w:rsidRDefault="003B336C" w:rsidP="00A70EC2">
                    <w:pPr>
                      <w:pStyle w:val="Bibliography"/>
                      <w:rPr>
                        <w:noProof/>
                      </w:rPr>
                    </w:pPr>
                    <w:r>
                      <w:rPr>
                        <w:noProof/>
                      </w:rPr>
                      <w:t xml:space="preserve">[11] </w:t>
                    </w:r>
                  </w:p>
                </w:tc>
                <w:tc>
                  <w:tcPr>
                    <w:tcW w:w="0" w:type="auto"/>
                    <w:hideMark/>
                  </w:tcPr>
                  <w:p w:rsidR="003B336C" w:rsidRDefault="003B336C" w:rsidP="00A70EC2">
                    <w:pPr>
                      <w:pStyle w:val="Bibliography"/>
                      <w:rPr>
                        <w:noProof/>
                      </w:rPr>
                    </w:pPr>
                    <w:r>
                      <w:rPr>
                        <w:noProof/>
                      </w:rPr>
                      <w:t xml:space="preserve">T. M. J. Fruchterman and E. M. Reingold, "Graph Drawing by Force-directed Placement," </w:t>
                    </w:r>
                    <w:r>
                      <w:rPr>
                        <w:i/>
                        <w:iCs/>
                        <w:noProof/>
                      </w:rPr>
                      <w:t xml:space="preserve">Software - Practice and Experience, </w:t>
                    </w:r>
                    <w:r>
                      <w:rPr>
                        <w:noProof/>
                      </w:rPr>
                      <w:t xml:space="preserve">vol. 21, no. 11, pp. 1129-1164, November 1991. </w:t>
                    </w:r>
                  </w:p>
                </w:tc>
              </w:tr>
              <w:tr w:rsidR="003B336C" w:rsidTr="00A70EC2">
                <w:trPr>
                  <w:tblCellSpacing w:w="15" w:type="dxa"/>
                </w:trPr>
                <w:tc>
                  <w:tcPr>
                    <w:tcW w:w="50" w:type="pct"/>
                    <w:hideMark/>
                  </w:tcPr>
                  <w:p w:rsidR="003B336C" w:rsidRDefault="003B336C" w:rsidP="00A70EC2">
                    <w:pPr>
                      <w:pStyle w:val="Bibliography"/>
                      <w:rPr>
                        <w:noProof/>
                      </w:rPr>
                    </w:pPr>
                    <w:r>
                      <w:rPr>
                        <w:noProof/>
                      </w:rPr>
                      <w:lastRenderedPageBreak/>
                      <w:t xml:space="preserve">[12] </w:t>
                    </w:r>
                  </w:p>
                </w:tc>
                <w:tc>
                  <w:tcPr>
                    <w:tcW w:w="0" w:type="auto"/>
                    <w:hideMark/>
                  </w:tcPr>
                  <w:p w:rsidR="003B336C" w:rsidRDefault="003B336C" w:rsidP="00A70EC2">
                    <w:pPr>
                      <w:pStyle w:val="Bibliography"/>
                      <w:rPr>
                        <w:noProof/>
                      </w:rPr>
                    </w:pPr>
                    <w:r>
                      <w:rPr>
                        <w:noProof/>
                      </w:rPr>
                      <w:t>A. Barão, "The Gephi Network Splitter 3D Layout," 2014. [Online]. Available: http://www.relationalcapitalvalue.com/gephiplugins.html.</w:t>
                    </w:r>
                  </w:p>
                </w:tc>
              </w:tr>
            </w:tbl>
            <w:p w:rsidR="003B336C" w:rsidRDefault="003B336C" w:rsidP="003B336C">
              <w:pPr>
                <w:rPr>
                  <w:noProof/>
                </w:rPr>
              </w:pPr>
            </w:p>
            <w:p w:rsidR="003B336C" w:rsidRPr="00DB4C3C" w:rsidRDefault="003B336C" w:rsidP="003B336C">
              <w:r w:rsidRPr="00DB4C3C">
                <w:rPr>
                  <w:b/>
                  <w:bCs/>
                  <w:noProof/>
                </w:rPr>
                <w:fldChar w:fldCharType="end"/>
              </w:r>
            </w:p>
          </w:sdtContent>
        </w:sdt>
      </w:sdtContent>
    </w:sdt>
    <w:p w:rsidR="003B336C" w:rsidRDefault="003B336C" w:rsidP="003B336C">
      <w:pPr>
        <w:pStyle w:val="Text"/>
        <w:ind w:firstLine="0"/>
        <w:rPr>
          <w:rFonts w:eastAsiaTheme="minorEastAsia"/>
        </w:rPr>
      </w:pPr>
    </w:p>
    <w:p w:rsidR="003B336C" w:rsidRDefault="003B336C" w:rsidP="003B336C">
      <w:pPr>
        <w:pStyle w:val="Text"/>
        <w:ind w:firstLine="0"/>
        <w:rPr>
          <w:rFonts w:eastAsiaTheme="minorEastAsia"/>
        </w:rPr>
      </w:pPr>
    </w:p>
    <w:p w:rsidR="003B336C" w:rsidRPr="004B7E36" w:rsidRDefault="003B336C" w:rsidP="003B336C">
      <w:pPr>
        <w:pStyle w:val="Text"/>
        <w:ind w:firstLine="0"/>
      </w:pPr>
    </w:p>
    <w:p w:rsidR="0051068A" w:rsidRPr="004B7E36" w:rsidRDefault="0051068A" w:rsidP="0051068A">
      <w:pPr>
        <w:pStyle w:val="FigureCaption"/>
        <w:spacing w:before="120" w:line="360" w:lineRule="auto"/>
        <w:jc w:val="center"/>
        <w:rPr>
          <w:sz w:val="18"/>
          <w:szCs w:val="18"/>
        </w:rPr>
      </w:pPr>
    </w:p>
    <w:sectPr w:rsidR="0051068A" w:rsidRPr="004B7E36" w:rsidSect="003B336C">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287" w:rsidRDefault="00167287">
      <w:r>
        <w:separator/>
      </w:r>
    </w:p>
  </w:endnote>
  <w:endnote w:type="continuationSeparator" w:id="0">
    <w:p w:rsidR="00167287" w:rsidRDefault="00167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C41" w:rsidRDefault="00A32C41"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2C41" w:rsidRDefault="00A32C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C41" w:rsidRPr="00DE4BD3" w:rsidRDefault="00A32C41" w:rsidP="00DE4BD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287" w:rsidRDefault="00167287"/>
  </w:footnote>
  <w:footnote w:type="continuationSeparator" w:id="0">
    <w:p w:rsidR="00167287" w:rsidRDefault="00167287">
      <w:r>
        <w:continuationSeparator/>
      </w:r>
    </w:p>
  </w:footnote>
  <w:footnote w:id="1">
    <w:p w:rsidR="00A32C41" w:rsidRDefault="00A32C41" w:rsidP="004B7E36">
      <w:pPr>
        <w:pStyle w:val="FootnoteText"/>
        <w:ind w:firstLine="204"/>
      </w:pPr>
      <w:r>
        <w:t xml:space="preserve">Ritwik Dutta is with Archbishop Mitty High School, San Jose, CA 95129 USA (e-mail: ritzymail@gmail.com). </w:t>
      </w:r>
    </w:p>
    <w:p w:rsidR="00050578" w:rsidRDefault="00050578" w:rsidP="004B7E36">
      <w:pPr>
        <w:pStyle w:val="FootnoteText"/>
        <w:ind w:firstLine="204"/>
      </w:pPr>
      <w:r>
        <w:t xml:space="preserve">Irina Cazan is with the Electrical &amp; Computer Engineering Department, Carnegie Mellon University, </w:t>
      </w:r>
      <w:r w:rsidRPr="003B336C">
        <w:t>Pittsburgh, PA 15213</w:t>
      </w:r>
      <w:r w:rsidR="004D697F">
        <w:t xml:space="preserve"> USA (e-mail: </w:t>
      </w:r>
      <w:r w:rsidR="004D697F" w:rsidRPr="004D697F">
        <w:t>icazan@andrew.cmu.edu</w:t>
      </w:r>
      <w:r>
        <w:t>)</w:t>
      </w:r>
      <w:r w:rsidR="004D697F">
        <w:t>.</w:t>
      </w:r>
    </w:p>
    <w:p w:rsidR="00A32C41" w:rsidRDefault="003B336C" w:rsidP="004B7E36">
      <w:pPr>
        <w:pStyle w:val="FootnoteText"/>
        <w:ind w:firstLine="204"/>
      </w:pPr>
      <w:r>
        <w:t>Radu Marculescu</w:t>
      </w:r>
      <w:r w:rsidR="00A32C41">
        <w:t xml:space="preserve"> is with the Electrical &amp; Computer Engineering Department, </w:t>
      </w:r>
      <w:r>
        <w:t>Carnegie Mellon University</w:t>
      </w:r>
      <w:r w:rsidR="00A32C41">
        <w:t xml:space="preserve">, </w:t>
      </w:r>
      <w:r w:rsidRPr="003B336C">
        <w:t>Pittsburgh, PA 15213</w:t>
      </w:r>
      <w:r w:rsidR="00A32C41">
        <w:t xml:space="preserve"> USA (e-mail: </w:t>
      </w:r>
      <w:r>
        <w:t>radum@cmu</w:t>
      </w:r>
      <w:r w:rsidR="00A32C41">
        <w:t>.edu).</w:t>
      </w:r>
    </w:p>
  </w:footnote>
  <w:footnote w:id="2">
    <w:p w:rsidR="003B336C" w:rsidRDefault="003B336C" w:rsidP="003B336C">
      <w:pPr>
        <w:pStyle w:val="FootnoteText"/>
      </w:pPr>
      <w:r>
        <w:rPr>
          <w:rStyle w:val="FootnoteReference"/>
        </w:rPr>
        <w:footnoteRef/>
      </w:r>
      <w:r>
        <w:t xml:space="preserve"> NOCS: </w:t>
      </w:r>
      <w:r w:rsidRPr="00D86C77">
        <w:t>International Symposium on Networks-on-Chip</w:t>
      </w:r>
    </w:p>
  </w:footnote>
  <w:footnote w:id="3">
    <w:p w:rsidR="003B336C" w:rsidRDefault="003B336C" w:rsidP="003B336C">
      <w:pPr>
        <w:pStyle w:val="FootnoteText"/>
      </w:pPr>
      <w:r>
        <w:rPr>
          <w:rStyle w:val="FootnoteReference"/>
        </w:rPr>
        <w:footnoteRef/>
      </w:r>
      <w:r>
        <w:t xml:space="preserve"> ICCAD: </w:t>
      </w:r>
      <w:r w:rsidRPr="00D86C77">
        <w:t>International Conference On Computer Aided Design</w:t>
      </w:r>
    </w:p>
  </w:footnote>
  <w:footnote w:id="4">
    <w:p w:rsidR="003B336C" w:rsidRDefault="003B336C" w:rsidP="003B336C">
      <w:pPr>
        <w:pStyle w:val="FootnoteText"/>
      </w:pPr>
      <w:r>
        <w:rPr>
          <w:rStyle w:val="FootnoteReference"/>
        </w:rPr>
        <w:footnoteRef/>
      </w:r>
      <w:r>
        <w:t xml:space="preserve"> </w:t>
      </w:r>
      <w:r w:rsidRPr="004201FC">
        <w:t xml:space="preserve">A TPC-author is a TPC member </w:t>
      </w:r>
      <w:r>
        <w:t xml:space="preserve">who also </w:t>
      </w:r>
      <w:r w:rsidRPr="004201FC">
        <w:t>author</w:t>
      </w:r>
      <w:r>
        <w:t>ed a conference paper</w:t>
      </w:r>
      <w:r w:rsidRPr="004201FC">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C41" w:rsidRDefault="00A32C41">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3443F8E"/>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1401684"/>
    <w:multiLevelType w:val="hybridMultilevel"/>
    <w:tmpl w:val="3308416E"/>
    <w:lvl w:ilvl="0" w:tplc="718C7890">
      <w:start w:val="1"/>
      <w:numFmt w:val="bullet"/>
      <w:lvlText w:val=""/>
      <w:lvlJc w:val="left"/>
      <w:pPr>
        <w:ind w:left="564" w:hanging="360"/>
      </w:pPr>
      <w:rPr>
        <w:rFonts w:ascii="Symbol" w:hAnsi="Symbol" w:hint="default"/>
        <w:color w:val="auto"/>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2" w15:restartNumberingAfterBreak="0">
    <w:nsid w:val="016123D8"/>
    <w:multiLevelType w:val="hybridMultilevel"/>
    <w:tmpl w:val="782A58CA"/>
    <w:lvl w:ilvl="0" w:tplc="8F38EDF0">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 w15:restartNumberingAfterBreak="0">
    <w:nsid w:val="048524F8"/>
    <w:multiLevelType w:val="hybridMultilevel"/>
    <w:tmpl w:val="E46E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77A35"/>
    <w:multiLevelType w:val="hybridMultilevel"/>
    <w:tmpl w:val="23AA9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D26EBF"/>
    <w:multiLevelType w:val="hybridMultilevel"/>
    <w:tmpl w:val="D18C9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068D1"/>
    <w:multiLevelType w:val="hybridMultilevel"/>
    <w:tmpl w:val="BE484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8" w15:restartNumberingAfterBreak="0">
    <w:nsid w:val="1E1F491B"/>
    <w:multiLevelType w:val="hybridMultilevel"/>
    <w:tmpl w:val="BA4EC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A7059"/>
    <w:multiLevelType w:val="hybridMultilevel"/>
    <w:tmpl w:val="F0688AAE"/>
    <w:lvl w:ilvl="0" w:tplc="CA3E2E3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434052"/>
    <w:multiLevelType w:val="hybridMultilevel"/>
    <w:tmpl w:val="D0AA801E"/>
    <w:lvl w:ilvl="0" w:tplc="7FEE32CC">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81B9B"/>
    <w:multiLevelType w:val="hybridMultilevel"/>
    <w:tmpl w:val="9314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5" w15:restartNumberingAfterBreak="0">
    <w:nsid w:val="2FCE28E1"/>
    <w:multiLevelType w:val="hybridMultilevel"/>
    <w:tmpl w:val="D05A91AA"/>
    <w:lvl w:ilvl="0" w:tplc="D342077C">
      <w:start w:val="1"/>
      <w:numFmt w:val="decimal"/>
      <w:lvlText w:val="[%1]"/>
      <w:lvlJc w:val="left"/>
      <w:pPr>
        <w:ind w:left="720" w:hanging="360"/>
      </w:pPr>
      <w:rPr>
        <w:rFonts w:ascii="Times New Roman" w:hAnsi="Times New Roman" w:hint="default"/>
        <w:b w:val="0"/>
        <w:i w:val="0"/>
        <w:caps w:val="0"/>
        <w:strike w:val="0"/>
        <w:dstrike w:val="0"/>
        <w:outline w:val="0"/>
        <w:shadow w:val="0"/>
        <w:emboss w:val="0"/>
        <w:imprint w:val="0"/>
        <w:vanish w:val="0"/>
        <w:color w:val="auto"/>
        <w:sz w:val="16"/>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465D1779"/>
    <w:multiLevelType w:val="hybridMultilevel"/>
    <w:tmpl w:val="806E7AC2"/>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1" w15:restartNumberingAfterBreak="0">
    <w:nsid w:val="4F5D5812"/>
    <w:multiLevelType w:val="hybridMultilevel"/>
    <w:tmpl w:val="FAFAE3A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2" w15:restartNumberingAfterBreak="0">
    <w:nsid w:val="53D67BC4"/>
    <w:multiLevelType w:val="hybridMultilevel"/>
    <w:tmpl w:val="2F2CFB02"/>
    <w:lvl w:ilvl="0" w:tplc="87CE7768">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4" w15:restartNumberingAfterBreak="0">
    <w:nsid w:val="5BCB5231"/>
    <w:multiLevelType w:val="hybridMultilevel"/>
    <w:tmpl w:val="B9EAD69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5" w15:restartNumberingAfterBreak="0">
    <w:nsid w:val="5EFD6BD7"/>
    <w:multiLevelType w:val="hybridMultilevel"/>
    <w:tmpl w:val="FAF65694"/>
    <w:lvl w:ilvl="0" w:tplc="CC1A7F24">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6" w15:restartNumberingAfterBreak="0">
    <w:nsid w:val="605451FF"/>
    <w:multiLevelType w:val="hybridMultilevel"/>
    <w:tmpl w:val="D1566712"/>
    <w:lvl w:ilvl="0" w:tplc="7168FC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C65D6B"/>
    <w:multiLevelType w:val="hybridMultilevel"/>
    <w:tmpl w:val="3DF0AF5E"/>
    <w:lvl w:ilvl="0" w:tplc="CC1A7F24">
      <w:numFmt w:val="bullet"/>
      <w:lvlText w:val="•"/>
      <w:lvlJc w:val="left"/>
      <w:pPr>
        <w:ind w:left="764"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8" w15:restartNumberingAfterBreak="0">
    <w:nsid w:val="6CF5414C"/>
    <w:multiLevelType w:val="hybridMultilevel"/>
    <w:tmpl w:val="8DC2BFE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79574B70"/>
    <w:multiLevelType w:val="hybridMultilevel"/>
    <w:tmpl w:val="829E59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455203"/>
    <w:multiLevelType w:val="hybridMultilevel"/>
    <w:tmpl w:val="0EB0E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4"/>
    <w:lvlOverride w:ilvl="0">
      <w:lvl w:ilvl="0">
        <w:start w:val="1"/>
        <w:numFmt w:val="decimal"/>
        <w:lvlText w:val="%1."/>
        <w:legacy w:legacy="1" w:legacySpace="0" w:legacyIndent="360"/>
        <w:lvlJc w:val="left"/>
        <w:pPr>
          <w:ind w:left="360" w:hanging="360"/>
        </w:pPr>
      </w:lvl>
    </w:lvlOverride>
  </w:num>
  <w:num w:numId="4">
    <w:abstractNumId w:val="14"/>
    <w:lvlOverride w:ilvl="0">
      <w:lvl w:ilvl="0">
        <w:start w:val="1"/>
        <w:numFmt w:val="decimal"/>
        <w:lvlText w:val="%1."/>
        <w:legacy w:legacy="1" w:legacySpace="0" w:legacyIndent="360"/>
        <w:lvlJc w:val="left"/>
        <w:pPr>
          <w:ind w:left="360" w:hanging="360"/>
        </w:pPr>
      </w:lvl>
    </w:lvlOverride>
  </w:num>
  <w:num w:numId="5">
    <w:abstractNumId w:val="14"/>
    <w:lvlOverride w:ilvl="0">
      <w:lvl w:ilvl="0">
        <w:start w:val="1"/>
        <w:numFmt w:val="decimal"/>
        <w:lvlText w:val="%1."/>
        <w:legacy w:legacy="1" w:legacySpace="0" w:legacyIndent="360"/>
        <w:lvlJc w:val="left"/>
        <w:pPr>
          <w:ind w:left="360" w:hanging="360"/>
        </w:pPr>
      </w:lvl>
    </w:lvlOverride>
  </w:num>
  <w:num w:numId="6">
    <w:abstractNumId w:val="19"/>
  </w:num>
  <w:num w:numId="7">
    <w:abstractNumId w:val="19"/>
    <w:lvlOverride w:ilvl="0">
      <w:lvl w:ilvl="0">
        <w:start w:val="1"/>
        <w:numFmt w:val="decimal"/>
        <w:lvlText w:val="%1."/>
        <w:legacy w:legacy="1" w:legacySpace="0" w:legacyIndent="360"/>
        <w:lvlJc w:val="left"/>
        <w:pPr>
          <w:ind w:left="360" w:hanging="360"/>
        </w:pPr>
      </w:lvl>
    </w:lvlOverride>
  </w:num>
  <w:num w:numId="8">
    <w:abstractNumId w:val="19"/>
    <w:lvlOverride w:ilvl="0">
      <w:lvl w:ilvl="0">
        <w:start w:val="1"/>
        <w:numFmt w:val="decimal"/>
        <w:lvlText w:val="%1."/>
        <w:legacy w:legacy="1" w:legacySpace="0" w:legacyIndent="360"/>
        <w:lvlJc w:val="left"/>
        <w:pPr>
          <w:ind w:left="360" w:hanging="360"/>
        </w:pPr>
      </w:lvl>
    </w:lvlOverride>
  </w:num>
  <w:num w:numId="9">
    <w:abstractNumId w:val="19"/>
    <w:lvlOverride w:ilvl="0">
      <w:lvl w:ilvl="0">
        <w:start w:val="1"/>
        <w:numFmt w:val="decimal"/>
        <w:lvlText w:val="%1."/>
        <w:legacy w:legacy="1" w:legacySpace="0" w:legacyIndent="360"/>
        <w:lvlJc w:val="left"/>
        <w:pPr>
          <w:ind w:left="360" w:hanging="360"/>
        </w:pPr>
      </w:lvl>
    </w:lvlOverride>
  </w:num>
  <w:num w:numId="10">
    <w:abstractNumId w:val="19"/>
    <w:lvlOverride w:ilvl="0">
      <w:lvl w:ilvl="0">
        <w:start w:val="1"/>
        <w:numFmt w:val="decimal"/>
        <w:lvlText w:val="%1."/>
        <w:legacy w:legacy="1" w:legacySpace="0" w:legacyIndent="360"/>
        <w:lvlJc w:val="left"/>
        <w:pPr>
          <w:ind w:left="360" w:hanging="360"/>
        </w:pPr>
      </w:lvl>
    </w:lvlOverride>
  </w:num>
  <w:num w:numId="11">
    <w:abstractNumId w:val="19"/>
    <w:lvlOverride w:ilvl="0">
      <w:lvl w:ilvl="0">
        <w:start w:val="1"/>
        <w:numFmt w:val="decimal"/>
        <w:lvlText w:val="%1."/>
        <w:legacy w:legacy="1" w:legacySpace="0" w:legacyIndent="360"/>
        <w:lvlJc w:val="left"/>
        <w:pPr>
          <w:ind w:left="360" w:hanging="360"/>
        </w:pPr>
      </w:lvl>
    </w:lvlOverride>
  </w:num>
  <w:num w:numId="12">
    <w:abstractNumId w:val="16"/>
  </w:num>
  <w:num w:numId="13">
    <w:abstractNumId w:val="7"/>
  </w:num>
  <w:num w:numId="14">
    <w:abstractNumId w:val="23"/>
  </w:num>
  <w:num w:numId="15">
    <w:abstractNumId w:val="20"/>
  </w:num>
  <w:num w:numId="16">
    <w:abstractNumId w:val="30"/>
  </w:num>
  <w:num w:numId="17">
    <w:abstractNumId w:val="13"/>
  </w:num>
  <w:num w:numId="18">
    <w:abstractNumId w:val="10"/>
  </w:num>
  <w:num w:numId="19">
    <w:abstractNumId w:val="29"/>
  </w:num>
  <w:num w:numId="20">
    <w:abstractNumId w:val="17"/>
  </w:num>
  <w:num w:numId="21">
    <w:abstractNumId w:val="22"/>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1"/>
  </w:num>
  <w:num w:numId="26">
    <w:abstractNumId w:val="31"/>
  </w:num>
  <w:num w:numId="27">
    <w:abstractNumId w:val="32"/>
  </w:num>
  <w:num w:numId="28">
    <w:abstractNumId w:val="6"/>
  </w:num>
  <w:num w:numId="29">
    <w:abstractNumId w:val="8"/>
  </w:num>
  <w:num w:numId="30">
    <w:abstractNumId w:val="5"/>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5"/>
  </w:num>
  <w:num w:numId="35">
    <w:abstractNumId w:val="27"/>
  </w:num>
  <w:num w:numId="36">
    <w:abstractNumId w:val="9"/>
  </w:num>
  <w:num w:numId="37">
    <w:abstractNumId w:val="26"/>
  </w:num>
  <w:num w:numId="38">
    <w:abstractNumId w:val="15"/>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28"/>
  </w:num>
  <w:num w:numId="42">
    <w:abstractNumId w:val="21"/>
  </w:num>
  <w:num w:numId="43">
    <w:abstractNumId w:val="1"/>
  </w:num>
  <w:num w:numId="44">
    <w:abstractNumId w:val="1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61__i" w:val="H4sIAAAAAAAEAOy9B2AcSZYlJi9tynt/SvVK1+B0oQiAYBMk2JBAEOzBiM3mkuwdaUcjKasqgcplVmVdZhZAzO2dvPfee++999577733ujudTif33/8/XGZkAWz2zkrayZ4hgKrIHz9+fB8/In7xR0+zNnuZ1e1JtV62Hz3a/SX/TwAAAP//ASGhMhMAAAA="/>
    <w:docVar w:name="__grammarly61_1" w:val="H4sIAAAAAAAEAOy9B2AcSZYlJi9tynt/SvVK1+B0oQiAYBMk2JBAEOzBiM3mkuwdaUcjKasqgcplVmVdZhZAzO2dvPfee++999577733ujudTif33/8/XGZkAWz2zkrayZ4hgKrIHz9+fB8/In7xR0+r6XqRL9uz2UePPtp9+On+zsN759v7DzL659NPs+2Dg4c72w8ne7sH9+4/fLi3e++j0Uev86YpqiVe2fsl/08AAAD//+ro0IhDAAAA"/>
  </w:docVars>
  <w:rsids>
    <w:rsidRoot w:val="00E265FB"/>
    <w:rsid w:val="00000B22"/>
    <w:rsid w:val="00003227"/>
    <w:rsid w:val="00014997"/>
    <w:rsid w:val="00024638"/>
    <w:rsid w:val="0003467A"/>
    <w:rsid w:val="000352E1"/>
    <w:rsid w:val="00041882"/>
    <w:rsid w:val="00042830"/>
    <w:rsid w:val="000500A3"/>
    <w:rsid w:val="00050578"/>
    <w:rsid w:val="00071363"/>
    <w:rsid w:val="0007458C"/>
    <w:rsid w:val="00076273"/>
    <w:rsid w:val="0008541A"/>
    <w:rsid w:val="00086256"/>
    <w:rsid w:val="000918AC"/>
    <w:rsid w:val="000A26A6"/>
    <w:rsid w:val="000C1B1A"/>
    <w:rsid w:val="000D4CD1"/>
    <w:rsid w:val="000E020D"/>
    <w:rsid w:val="000E1787"/>
    <w:rsid w:val="000F14F1"/>
    <w:rsid w:val="000F218A"/>
    <w:rsid w:val="0011454B"/>
    <w:rsid w:val="00115B62"/>
    <w:rsid w:val="00116E02"/>
    <w:rsid w:val="001170E3"/>
    <w:rsid w:val="00120FD5"/>
    <w:rsid w:val="001250D5"/>
    <w:rsid w:val="00125459"/>
    <w:rsid w:val="00140EB4"/>
    <w:rsid w:val="00140F19"/>
    <w:rsid w:val="00145B38"/>
    <w:rsid w:val="00146CF9"/>
    <w:rsid w:val="001503BC"/>
    <w:rsid w:val="00163037"/>
    <w:rsid w:val="0016433A"/>
    <w:rsid w:val="00167287"/>
    <w:rsid w:val="001674B2"/>
    <w:rsid w:val="001727A4"/>
    <w:rsid w:val="00174E63"/>
    <w:rsid w:val="001835FD"/>
    <w:rsid w:val="001B1427"/>
    <w:rsid w:val="001B5068"/>
    <w:rsid w:val="001B5289"/>
    <w:rsid w:val="001D4B78"/>
    <w:rsid w:val="001D6CEB"/>
    <w:rsid w:val="001E692C"/>
    <w:rsid w:val="001F300F"/>
    <w:rsid w:val="001F4E42"/>
    <w:rsid w:val="001F70FE"/>
    <w:rsid w:val="00207107"/>
    <w:rsid w:val="00221C1F"/>
    <w:rsid w:val="002338AF"/>
    <w:rsid w:val="002455A4"/>
    <w:rsid w:val="00246D10"/>
    <w:rsid w:val="00281ABE"/>
    <w:rsid w:val="00281F81"/>
    <w:rsid w:val="002A4BB1"/>
    <w:rsid w:val="002A63BB"/>
    <w:rsid w:val="002C02EE"/>
    <w:rsid w:val="002C3545"/>
    <w:rsid w:val="002C38C2"/>
    <w:rsid w:val="002D7082"/>
    <w:rsid w:val="002E0641"/>
    <w:rsid w:val="002E115C"/>
    <w:rsid w:val="002E4F2A"/>
    <w:rsid w:val="002E5141"/>
    <w:rsid w:val="002E76B1"/>
    <w:rsid w:val="003017A2"/>
    <w:rsid w:val="00302B24"/>
    <w:rsid w:val="00322601"/>
    <w:rsid w:val="003275D5"/>
    <w:rsid w:val="00341F92"/>
    <w:rsid w:val="0036004E"/>
    <w:rsid w:val="0036179C"/>
    <w:rsid w:val="00370B0E"/>
    <w:rsid w:val="00380991"/>
    <w:rsid w:val="003A3203"/>
    <w:rsid w:val="003B336C"/>
    <w:rsid w:val="003C0085"/>
    <w:rsid w:val="003D5056"/>
    <w:rsid w:val="003D690B"/>
    <w:rsid w:val="003D6F73"/>
    <w:rsid w:val="003F1230"/>
    <w:rsid w:val="00400AB5"/>
    <w:rsid w:val="00406666"/>
    <w:rsid w:val="004068AC"/>
    <w:rsid w:val="00406B97"/>
    <w:rsid w:val="0042090E"/>
    <w:rsid w:val="004247CB"/>
    <w:rsid w:val="00425DE2"/>
    <w:rsid w:val="00430465"/>
    <w:rsid w:val="00431101"/>
    <w:rsid w:val="004347F1"/>
    <w:rsid w:val="004378E1"/>
    <w:rsid w:val="00450129"/>
    <w:rsid w:val="004517A6"/>
    <w:rsid w:val="0045317A"/>
    <w:rsid w:val="00456A1D"/>
    <w:rsid w:val="004663D9"/>
    <w:rsid w:val="00473BAE"/>
    <w:rsid w:val="00476B39"/>
    <w:rsid w:val="00484497"/>
    <w:rsid w:val="0048484B"/>
    <w:rsid w:val="004951C0"/>
    <w:rsid w:val="004A15AA"/>
    <w:rsid w:val="004A6756"/>
    <w:rsid w:val="004B539E"/>
    <w:rsid w:val="004B7E36"/>
    <w:rsid w:val="004C08C5"/>
    <w:rsid w:val="004C22DE"/>
    <w:rsid w:val="004C4905"/>
    <w:rsid w:val="004C79A8"/>
    <w:rsid w:val="004D137B"/>
    <w:rsid w:val="004D484E"/>
    <w:rsid w:val="004D697F"/>
    <w:rsid w:val="004E39D8"/>
    <w:rsid w:val="004E6DC8"/>
    <w:rsid w:val="004F2F0E"/>
    <w:rsid w:val="0050522E"/>
    <w:rsid w:val="00506FF7"/>
    <w:rsid w:val="0051068A"/>
    <w:rsid w:val="005157D4"/>
    <w:rsid w:val="0052062F"/>
    <w:rsid w:val="00526DAF"/>
    <w:rsid w:val="00527ECB"/>
    <w:rsid w:val="00531B38"/>
    <w:rsid w:val="005470AD"/>
    <w:rsid w:val="00555ABC"/>
    <w:rsid w:val="00564B43"/>
    <w:rsid w:val="005714D7"/>
    <w:rsid w:val="00572763"/>
    <w:rsid w:val="00573A2F"/>
    <w:rsid w:val="00581932"/>
    <w:rsid w:val="00583854"/>
    <w:rsid w:val="0059024C"/>
    <w:rsid w:val="0059347E"/>
    <w:rsid w:val="0059347F"/>
    <w:rsid w:val="00594EB3"/>
    <w:rsid w:val="005D0545"/>
    <w:rsid w:val="005E14F7"/>
    <w:rsid w:val="005E206E"/>
    <w:rsid w:val="006054D0"/>
    <w:rsid w:val="00607503"/>
    <w:rsid w:val="00616908"/>
    <w:rsid w:val="00632897"/>
    <w:rsid w:val="00632D8B"/>
    <w:rsid w:val="00642F89"/>
    <w:rsid w:val="006443B8"/>
    <w:rsid w:val="00656AAC"/>
    <w:rsid w:val="0066051E"/>
    <w:rsid w:val="00675F40"/>
    <w:rsid w:val="00691C35"/>
    <w:rsid w:val="006A076D"/>
    <w:rsid w:val="006C0025"/>
    <w:rsid w:val="006D212D"/>
    <w:rsid w:val="006D2234"/>
    <w:rsid w:val="006D5AFD"/>
    <w:rsid w:val="006F38F9"/>
    <w:rsid w:val="006F7386"/>
    <w:rsid w:val="00714FD2"/>
    <w:rsid w:val="00725705"/>
    <w:rsid w:val="00731752"/>
    <w:rsid w:val="00734C34"/>
    <w:rsid w:val="00740638"/>
    <w:rsid w:val="0074705B"/>
    <w:rsid w:val="00753D47"/>
    <w:rsid w:val="00754D2E"/>
    <w:rsid w:val="00756D78"/>
    <w:rsid w:val="00762761"/>
    <w:rsid w:val="007648C5"/>
    <w:rsid w:val="007766EB"/>
    <w:rsid w:val="00781E05"/>
    <w:rsid w:val="00786F05"/>
    <w:rsid w:val="00790ACA"/>
    <w:rsid w:val="007A3E9D"/>
    <w:rsid w:val="007B20FA"/>
    <w:rsid w:val="007C2963"/>
    <w:rsid w:val="007D7D0E"/>
    <w:rsid w:val="007E1558"/>
    <w:rsid w:val="007E2779"/>
    <w:rsid w:val="007E4F49"/>
    <w:rsid w:val="00827192"/>
    <w:rsid w:val="008332FA"/>
    <w:rsid w:val="00842315"/>
    <w:rsid w:val="0084455B"/>
    <w:rsid w:val="008464EE"/>
    <w:rsid w:val="0086039C"/>
    <w:rsid w:val="00865C0E"/>
    <w:rsid w:val="00866B04"/>
    <w:rsid w:val="00880C88"/>
    <w:rsid w:val="008820DB"/>
    <w:rsid w:val="008953EF"/>
    <w:rsid w:val="008B13F9"/>
    <w:rsid w:val="008B7CA4"/>
    <w:rsid w:val="008C0CBE"/>
    <w:rsid w:val="008C39E2"/>
    <w:rsid w:val="008C6559"/>
    <w:rsid w:val="008D35E2"/>
    <w:rsid w:val="00902BE2"/>
    <w:rsid w:val="00903455"/>
    <w:rsid w:val="00907910"/>
    <w:rsid w:val="00915CF6"/>
    <w:rsid w:val="009223A3"/>
    <w:rsid w:val="0092609C"/>
    <w:rsid w:val="009272FC"/>
    <w:rsid w:val="00934299"/>
    <w:rsid w:val="00940EA5"/>
    <w:rsid w:val="0095601F"/>
    <w:rsid w:val="00961A94"/>
    <w:rsid w:val="00966B27"/>
    <w:rsid w:val="0098009F"/>
    <w:rsid w:val="009805F2"/>
    <w:rsid w:val="00980877"/>
    <w:rsid w:val="009948F9"/>
    <w:rsid w:val="009A0A74"/>
    <w:rsid w:val="009B4504"/>
    <w:rsid w:val="009C45E2"/>
    <w:rsid w:val="009C6379"/>
    <w:rsid w:val="009D66D9"/>
    <w:rsid w:val="009D6E7B"/>
    <w:rsid w:val="009E38CA"/>
    <w:rsid w:val="009E4DFC"/>
    <w:rsid w:val="009F385D"/>
    <w:rsid w:val="00A04547"/>
    <w:rsid w:val="00A05478"/>
    <w:rsid w:val="00A07EAA"/>
    <w:rsid w:val="00A32C41"/>
    <w:rsid w:val="00A34CFC"/>
    <w:rsid w:val="00A42498"/>
    <w:rsid w:val="00A4642B"/>
    <w:rsid w:val="00A5208F"/>
    <w:rsid w:val="00A54A40"/>
    <w:rsid w:val="00A55DD3"/>
    <w:rsid w:val="00A714C0"/>
    <w:rsid w:val="00A73C16"/>
    <w:rsid w:val="00A745F6"/>
    <w:rsid w:val="00A8620E"/>
    <w:rsid w:val="00A87AD8"/>
    <w:rsid w:val="00AA0EEB"/>
    <w:rsid w:val="00AA7790"/>
    <w:rsid w:val="00AB1D07"/>
    <w:rsid w:val="00AB499C"/>
    <w:rsid w:val="00AC48F2"/>
    <w:rsid w:val="00AC7F4D"/>
    <w:rsid w:val="00AD395D"/>
    <w:rsid w:val="00AE69A7"/>
    <w:rsid w:val="00AF0944"/>
    <w:rsid w:val="00B00A84"/>
    <w:rsid w:val="00B0566A"/>
    <w:rsid w:val="00B1398C"/>
    <w:rsid w:val="00B217B7"/>
    <w:rsid w:val="00B427DA"/>
    <w:rsid w:val="00B547BA"/>
    <w:rsid w:val="00B6011E"/>
    <w:rsid w:val="00B640F9"/>
    <w:rsid w:val="00B77371"/>
    <w:rsid w:val="00B813AF"/>
    <w:rsid w:val="00BB25D0"/>
    <w:rsid w:val="00BC3020"/>
    <w:rsid w:val="00BE1DF8"/>
    <w:rsid w:val="00BF5253"/>
    <w:rsid w:val="00BF7988"/>
    <w:rsid w:val="00C01A8E"/>
    <w:rsid w:val="00C05793"/>
    <w:rsid w:val="00C077E1"/>
    <w:rsid w:val="00C10F36"/>
    <w:rsid w:val="00C208F3"/>
    <w:rsid w:val="00C411EC"/>
    <w:rsid w:val="00C44044"/>
    <w:rsid w:val="00C575F8"/>
    <w:rsid w:val="00C639FB"/>
    <w:rsid w:val="00C6796F"/>
    <w:rsid w:val="00C67CF1"/>
    <w:rsid w:val="00C72067"/>
    <w:rsid w:val="00C744DB"/>
    <w:rsid w:val="00C86AE0"/>
    <w:rsid w:val="00C86E40"/>
    <w:rsid w:val="00C91FAF"/>
    <w:rsid w:val="00CA65EC"/>
    <w:rsid w:val="00CA6F6C"/>
    <w:rsid w:val="00CA743D"/>
    <w:rsid w:val="00CB2AE8"/>
    <w:rsid w:val="00CD6578"/>
    <w:rsid w:val="00CD7881"/>
    <w:rsid w:val="00CE122A"/>
    <w:rsid w:val="00CE1CDC"/>
    <w:rsid w:val="00CF59A8"/>
    <w:rsid w:val="00CF6EE1"/>
    <w:rsid w:val="00CF6F98"/>
    <w:rsid w:val="00D03BC5"/>
    <w:rsid w:val="00D07578"/>
    <w:rsid w:val="00D112D7"/>
    <w:rsid w:val="00D169BB"/>
    <w:rsid w:val="00D2773B"/>
    <w:rsid w:val="00D36322"/>
    <w:rsid w:val="00D37FB1"/>
    <w:rsid w:val="00D50E0A"/>
    <w:rsid w:val="00D6106E"/>
    <w:rsid w:val="00D732A7"/>
    <w:rsid w:val="00D8386B"/>
    <w:rsid w:val="00DA1FB8"/>
    <w:rsid w:val="00DB001F"/>
    <w:rsid w:val="00DB79B9"/>
    <w:rsid w:val="00DD5BBF"/>
    <w:rsid w:val="00DE3B4F"/>
    <w:rsid w:val="00DE4BD3"/>
    <w:rsid w:val="00DF7A51"/>
    <w:rsid w:val="00E160D0"/>
    <w:rsid w:val="00E16B10"/>
    <w:rsid w:val="00E229E6"/>
    <w:rsid w:val="00E24C32"/>
    <w:rsid w:val="00E265FB"/>
    <w:rsid w:val="00E43DDC"/>
    <w:rsid w:val="00E44822"/>
    <w:rsid w:val="00E5471C"/>
    <w:rsid w:val="00E7149E"/>
    <w:rsid w:val="00E7402A"/>
    <w:rsid w:val="00E765F2"/>
    <w:rsid w:val="00E85874"/>
    <w:rsid w:val="00EA69DA"/>
    <w:rsid w:val="00EB3492"/>
    <w:rsid w:val="00EC0760"/>
    <w:rsid w:val="00EC3087"/>
    <w:rsid w:val="00EC6896"/>
    <w:rsid w:val="00EC6936"/>
    <w:rsid w:val="00ED2A13"/>
    <w:rsid w:val="00ED34B4"/>
    <w:rsid w:val="00ED63A9"/>
    <w:rsid w:val="00EE130C"/>
    <w:rsid w:val="00EF0F4F"/>
    <w:rsid w:val="00F006CB"/>
    <w:rsid w:val="00F12958"/>
    <w:rsid w:val="00F220AA"/>
    <w:rsid w:val="00F25C4A"/>
    <w:rsid w:val="00F35EAF"/>
    <w:rsid w:val="00F37C02"/>
    <w:rsid w:val="00F43CBE"/>
    <w:rsid w:val="00F54DA3"/>
    <w:rsid w:val="00F64A45"/>
    <w:rsid w:val="00F73383"/>
    <w:rsid w:val="00FA0AEB"/>
    <w:rsid w:val="00FA323E"/>
    <w:rsid w:val="00FA48DA"/>
    <w:rsid w:val="00FA6770"/>
    <w:rsid w:val="00FA7BBF"/>
    <w:rsid w:val="00FB6FDF"/>
    <w:rsid w:val="00FD1C33"/>
    <w:rsid w:val="00FF55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012C95-AF17-43AA-80D9-D698953D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uiPriority w:val="9"/>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5470AD"/>
    <w:pPr>
      <w:keepNext/>
      <w:numPr>
        <w:ilvl w:val="1"/>
        <w:numId w:val="1"/>
      </w:numPr>
      <w:spacing w:before="120" w:after="60"/>
      <w:ind w:left="0" w:firstLine="204"/>
      <w:outlineLvl w:val="1"/>
    </w:pPr>
    <w:rPr>
      <w:i/>
      <w:iCs/>
    </w:rPr>
  </w:style>
  <w:style w:type="paragraph" w:styleId="Heading3">
    <w:name w:val="heading 3"/>
    <w:basedOn w:val="Normal"/>
    <w:next w:val="Normal"/>
    <w:link w:val="Heading3Char"/>
    <w:uiPriority w:val="99"/>
    <w:qFormat/>
    <w:rsid w:val="000A26A6"/>
    <w:pPr>
      <w:keepNext/>
      <w:outlineLvl w:val="2"/>
    </w:pPr>
    <w:rPr>
      <w:i/>
      <w:iCs/>
    </w:rPr>
  </w:style>
  <w:style w:type="paragraph" w:styleId="Heading4">
    <w:name w:val="heading 4"/>
    <w:basedOn w:val="Normal"/>
    <w:next w:val="Normal"/>
    <w:uiPriority w:val="99"/>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uiPriority w:val="99"/>
    <w:qFormat/>
    <w:rsid w:val="000A26A6"/>
    <w:pPr>
      <w:numPr>
        <w:ilvl w:val="4"/>
        <w:numId w:val="1"/>
      </w:numPr>
      <w:spacing w:before="240" w:after="60"/>
      <w:outlineLvl w:val="4"/>
    </w:pPr>
    <w:rPr>
      <w:sz w:val="18"/>
      <w:szCs w:val="18"/>
    </w:rPr>
  </w:style>
  <w:style w:type="paragraph" w:styleId="Heading6">
    <w:name w:val="heading 6"/>
    <w:basedOn w:val="Normal"/>
    <w:next w:val="Normal"/>
    <w:uiPriority w:val="99"/>
    <w:qFormat/>
    <w:rsid w:val="000A26A6"/>
    <w:pPr>
      <w:numPr>
        <w:ilvl w:val="5"/>
        <w:numId w:val="1"/>
      </w:numPr>
      <w:spacing w:before="240" w:after="60"/>
      <w:outlineLvl w:val="5"/>
    </w:pPr>
    <w:rPr>
      <w:i/>
      <w:iCs/>
      <w:sz w:val="16"/>
      <w:szCs w:val="16"/>
    </w:rPr>
  </w:style>
  <w:style w:type="paragraph" w:styleId="Heading7">
    <w:name w:val="heading 7"/>
    <w:basedOn w:val="Normal"/>
    <w:next w:val="Normal"/>
    <w:uiPriority w:val="99"/>
    <w:qFormat/>
    <w:rsid w:val="000A26A6"/>
    <w:pPr>
      <w:numPr>
        <w:ilvl w:val="6"/>
        <w:numId w:val="1"/>
      </w:numPr>
      <w:spacing w:before="240" w:after="60"/>
      <w:outlineLvl w:val="6"/>
    </w:pPr>
    <w:rPr>
      <w:sz w:val="16"/>
      <w:szCs w:val="16"/>
    </w:rPr>
  </w:style>
  <w:style w:type="paragraph" w:styleId="Heading8">
    <w:name w:val="heading 8"/>
    <w:basedOn w:val="Normal"/>
    <w:next w:val="Normal"/>
    <w:uiPriority w:val="99"/>
    <w:qFormat/>
    <w:rsid w:val="000A26A6"/>
    <w:pPr>
      <w:numPr>
        <w:ilvl w:val="7"/>
        <w:numId w:val="1"/>
      </w:numPr>
      <w:spacing w:before="240" w:after="60"/>
      <w:outlineLvl w:val="7"/>
    </w:pPr>
    <w:rPr>
      <w:i/>
      <w:iCs/>
      <w:sz w:val="16"/>
      <w:szCs w:val="16"/>
    </w:rPr>
  </w:style>
  <w:style w:type="paragraph" w:styleId="Heading9">
    <w:name w:val="heading 9"/>
    <w:basedOn w:val="Normal"/>
    <w:next w:val="Normal"/>
    <w:uiPriority w:val="99"/>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uiPriority w:val="99"/>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rsid w:val="000A26A6"/>
    <w:pPr>
      <w:ind w:firstLine="202"/>
      <w:jc w:val="both"/>
    </w:pPr>
    <w:rPr>
      <w:sz w:val="16"/>
      <w:szCs w:val="16"/>
    </w:rPr>
  </w:style>
  <w:style w:type="paragraph" w:customStyle="1" w:styleId="References">
    <w:name w:val="References"/>
    <w:basedOn w:val="Normal"/>
    <w:rsid w:val="000A26A6"/>
    <w:pPr>
      <w:numPr>
        <w:numId w:val="1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uiPriority w:val="99"/>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link w:val="TextChar"/>
    <w:uiPriority w:val="99"/>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link w:val="HeaderChar"/>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uiPriority w:val="9"/>
    <w:rsid w:val="00EC6936"/>
    <w:rPr>
      <w:smallCaps/>
      <w:kern w:val="28"/>
    </w:rPr>
  </w:style>
  <w:style w:type="character" w:customStyle="1" w:styleId="Heading2Char">
    <w:name w:val="Heading 2 Char"/>
    <w:basedOn w:val="DefaultParagraphFont"/>
    <w:link w:val="Heading2"/>
    <w:uiPriority w:val="99"/>
    <w:rsid w:val="005470AD"/>
    <w:rPr>
      <w:i/>
      <w:iCs/>
    </w:rPr>
  </w:style>
  <w:style w:type="character" w:customStyle="1" w:styleId="FootnoteTextChar">
    <w:name w:val="Footnote Text Char"/>
    <w:basedOn w:val="DefaultParagraphFont"/>
    <w:link w:val="FootnoteText"/>
    <w:uiPriority w:val="99"/>
    <w:rsid w:val="00756D78"/>
    <w:rPr>
      <w:sz w:val="16"/>
      <w:szCs w:val="16"/>
    </w:rPr>
  </w:style>
  <w:style w:type="paragraph" w:customStyle="1" w:styleId="Style1">
    <w:name w:val="Style1"/>
    <w:basedOn w:val="Normal"/>
    <w:link w:val="Style1Char"/>
    <w:qFormat/>
    <w:rsid w:val="00AC48F2"/>
    <w:pPr>
      <w:spacing w:line="252" w:lineRule="auto"/>
      <w:ind w:firstLine="204"/>
    </w:pPr>
  </w:style>
  <w:style w:type="paragraph" w:customStyle="1" w:styleId="Style2">
    <w:name w:val="Style2"/>
    <w:basedOn w:val="Text"/>
    <w:link w:val="Style2Char"/>
    <w:qFormat/>
    <w:rsid w:val="00AC48F2"/>
    <w:pPr>
      <w:ind w:firstLine="204"/>
    </w:pPr>
  </w:style>
  <w:style w:type="character" w:customStyle="1" w:styleId="Style1Char">
    <w:name w:val="Style1 Char"/>
    <w:basedOn w:val="DefaultParagraphFont"/>
    <w:link w:val="Style1"/>
    <w:rsid w:val="00AC48F2"/>
  </w:style>
  <w:style w:type="character" w:styleId="Strong">
    <w:name w:val="Strong"/>
    <w:basedOn w:val="DefaultParagraphFont"/>
    <w:qFormat/>
    <w:rsid w:val="00AC48F2"/>
    <w:rPr>
      <w:b/>
      <w:bCs/>
    </w:rPr>
  </w:style>
  <w:style w:type="character" w:customStyle="1" w:styleId="TextChar">
    <w:name w:val="Text Char"/>
    <w:basedOn w:val="DefaultParagraphFont"/>
    <w:link w:val="Text"/>
    <w:uiPriority w:val="99"/>
    <w:rsid w:val="00AC48F2"/>
  </w:style>
  <w:style w:type="character" w:customStyle="1" w:styleId="Style2Char">
    <w:name w:val="Style2 Char"/>
    <w:basedOn w:val="TextChar"/>
    <w:link w:val="Style2"/>
    <w:rsid w:val="00AC48F2"/>
  </w:style>
  <w:style w:type="paragraph" w:customStyle="1" w:styleId="Style3">
    <w:name w:val="Style3"/>
    <w:basedOn w:val="Heading3"/>
    <w:link w:val="Style3Char"/>
    <w:qFormat/>
    <w:rsid w:val="00AC48F2"/>
    <w:pPr>
      <w:autoSpaceDE/>
      <w:autoSpaceDN/>
      <w:spacing w:before="120" w:after="60"/>
      <w:ind w:firstLine="204"/>
    </w:pPr>
  </w:style>
  <w:style w:type="character" w:customStyle="1" w:styleId="Heading3Char">
    <w:name w:val="Heading 3 Char"/>
    <w:basedOn w:val="DefaultParagraphFont"/>
    <w:link w:val="Heading3"/>
    <w:uiPriority w:val="99"/>
    <w:rsid w:val="00AC48F2"/>
    <w:rPr>
      <w:i/>
      <w:iCs/>
    </w:rPr>
  </w:style>
  <w:style w:type="character" w:customStyle="1" w:styleId="Style3Char">
    <w:name w:val="Style3 Char"/>
    <w:basedOn w:val="Heading3Char"/>
    <w:link w:val="Style3"/>
    <w:rsid w:val="00AC48F2"/>
    <w:rPr>
      <w:i/>
      <w:iCs/>
    </w:rPr>
  </w:style>
  <w:style w:type="character" w:customStyle="1" w:styleId="HeaderChar">
    <w:name w:val="Header Char"/>
    <w:basedOn w:val="DefaultParagraphFont"/>
    <w:link w:val="Header"/>
    <w:uiPriority w:val="99"/>
    <w:rsid w:val="00632897"/>
  </w:style>
  <w:style w:type="paragraph" w:styleId="Caption">
    <w:name w:val="caption"/>
    <w:basedOn w:val="Normal"/>
    <w:next w:val="Normal"/>
    <w:unhideWhenUsed/>
    <w:qFormat/>
    <w:rsid w:val="003B336C"/>
    <w:pPr>
      <w:spacing w:after="200"/>
    </w:pPr>
    <w:rPr>
      <w:i/>
      <w:iCs/>
      <w:color w:val="1F497D" w:themeColor="text2"/>
      <w:sz w:val="18"/>
      <w:szCs w:val="18"/>
    </w:rPr>
  </w:style>
  <w:style w:type="table" w:styleId="TableGrid">
    <w:name w:val="Table Grid"/>
    <w:basedOn w:val="TableNormal"/>
    <w:uiPriority w:val="39"/>
    <w:rsid w:val="003B336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3B336C"/>
  </w:style>
  <w:style w:type="character" w:customStyle="1" w:styleId="EndnoteTextChar">
    <w:name w:val="Endnote Text Char"/>
    <w:basedOn w:val="DefaultParagraphFont"/>
    <w:link w:val="EndnoteText"/>
    <w:semiHidden/>
    <w:rsid w:val="003B336C"/>
  </w:style>
  <w:style w:type="character" w:styleId="EndnoteReference">
    <w:name w:val="endnote reference"/>
    <w:basedOn w:val="DefaultParagraphFont"/>
    <w:semiHidden/>
    <w:unhideWhenUsed/>
    <w:rsid w:val="003B336C"/>
    <w:rPr>
      <w:vertAlign w:val="superscript"/>
    </w:rPr>
  </w:style>
  <w:style w:type="paragraph" w:styleId="Bibliography">
    <w:name w:val="Bibliography"/>
    <w:basedOn w:val="Normal"/>
    <w:next w:val="Normal"/>
    <w:uiPriority w:val="37"/>
    <w:unhideWhenUsed/>
    <w:rsid w:val="003B336C"/>
  </w:style>
  <w:style w:type="character" w:styleId="PlaceholderText">
    <w:name w:val="Placeholder Text"/>
    <w:basedOn w:val="DefaultParagraphFont"/>
    <w:uiPriority w:val="99"/>
    <w:semiHidden/>
    <w:rsid w:val="003B33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Dan14</b:Tag>
    <b:SourceType>JournalArticle</b:SourceType>
    <b:Guid>{5032334A-8D88-4F8E-9A94-1EA0F33855FE}</b:Guid>
    <b:Title>An Introduction to Interdependent Networks</b:Title>
    <b:JournalName>Communications in Computer and Information Science</b:JournalName>
    <b:Year>2014</b:Year>
    <b:Pages>189-202</b:Pages>
    <b:Volume>438</b:Volume>
    <b:Author>
      <b:Author>
        <b:NameList>
          <b:Person>
            <b:Last>Danziger</b:Last>
            <b:Middle>M.</b:Middle>
            <b:First>Michael</b:First>
          </b:Person>
          <b:Person>
            <b:Last>Bashan</b:Last>
            <b:First>Amir</b:First>
          </b:Person>
          <b:Person>
            <b:Last>Berezin</b:Last>
            <b:First>Yehiel</b:First>
          </b:Person>
          <b:Person>
            <b:Last>Shekhtman</b:Last>
            <b:Middle>M.</b:Middle>
            <b:First>Louis</b:First>
          </b:Person>
          <b:Person>
            <b:Last>Havlin</b:Last>
            <b:First>Shlomo</b:First>
          </b:Person>
        </b:NameList>
      </b:Author>
    </b:Author>
    <b:RefOrder>1</b:RefOrder>
  </b:Source>
  <b:Source>
    <b:Tag>Pal07</b:Tag>
    <b:SourceType>JournalArticle</b:SourceType>
    <b:Guid>{71A846FB-4DB6-419F-8DD9-E542706B8C18}</b:Guid>
    <b:Title>Quantifying social group evolution</b:Title>
    <b:JournalName>Nature</b:JournalName>
    <b:Year>2007</b:Year>
    <b:Volume>446</b:Volume>
    <b:Author>
      <b:Author>
        <b:NameList>
          <b:Person>
            <b:Last>Palla</b:Last>
            <b:First>Gergely</b:First>
          </b:Person>
          <b:Person>
            <b:Last>Barabasi</b:Last>
            <b:First>Albert-Laszlo</b:First>
          </b:Person>
          <b:Person>
            <b:Last>Vicsek</b:Last>
            <b:First>Tamas</b:First>
          </b:Person>
        </b:NameList>
      </b:Author>
    </b:Author>
    <b:RefOrder>2</b:RefOrder>
  </b:Source>
  <b:Source>
    <b:Tag>New01</b:Tag>
    <b:SourceType>JournalArticle</b:SourceType>
    <b:Guid>{CA72B628-1A01-46B3-A22D-49BA477BD777}</b:Guid>
    <b:Title>The structure of scientific collaboration networks</b:Title>
    <b:Year>2001</b:Year>
    <b:Month>January</b:Month>
    <b:Day>16</b:Day>
    <b:Author>
      <b:Author>
        <b:NameList>
          <b:Person>
            <b:Last>Newman</b:Last>
            <b:Middle>E. J.</b:Middle>
            <b:First>M.</b:First>
          </b:Person>
        </b:NameList>
      </b:Author>
    </b:Author>
    <b:Pages>404-409</b:Pages>
    <b:Publisher>Proceedings of the National Academy of Sciences</b:Publisher>
    <b:Volume>98</b:Volume>
    <b:JournalName>Proceedings of the National Academy of Sciences of the United States of America</b:JournalName>
    <b:Issue>2</b:Issue>
    <b:RefOrder>3</b:RefOrder>
  </b:Source>
  <b:Source>
    <b:Tag>Kad13</b:Tag>
    <b:SourceType>ConferenceProceedings</b:SourceType>
    <b:Guid>{2F6B09E7-D0D9-488C-B10C-D332573718FF}</b:Guid>
    <b:Title>Discovering Value in Academic Social Networks: A Case Study in ResearchGate</b:Title>
    <b:Year>2013</b:Year>
    <b:Author>
      <b:Author>
        <b:NameList>
          <b:Person>
            <b:Last>Kadriu</b:Last>
            <b:First>Arbana</b:First>
          </b:Person>
        </b:NameList>
      </b:Author>
    </b:Author>
    <b:ConferenceName>Information Technology Interfaces (ITI)</b:ConferenceName>
    <b:RefOrder>4</b:RefOrder>
  </b:Source>
  <b:Source>
    <b:Tag>Bar02</b:Tag>
    <b:SourceType>JournalArticle</b:SourceType>
    <b:Guid>{9AC34982-9EDA-421B-BFBC-A3253638DAB7}</b:Guid>
    <b:Title>Evolution of the social network of</b:Title>
    <b:JournalName>Physica A: Statistical Mechanics and its Applications</b:JournalName>
    <b:Year>2002</b:Year>
    <b:Pages>590-614</b:Pages>
    <b:Volume>311</b:Volume>
    <b:Author>
      <b:Author>
        <b:NameList>
          <b:Person>
            <b:Last>Barabasi</b:Last>
            <b:Middle>A.</b:Middle>
            <b:First>L.</b:First>
          </b:Person>
          <b:Person>
            <b:Last>Jeong</b:Last>
            <b:First>H.</b:First>
          </b:Person>
          <b:Person>
            <b:Last>Neda</b:Last>
            <b:First>Z.</b:First>
          </b:Person>
          <b:Person>
            <b:Last>Ravasz</b:Last>
            <b:First>E.</b:First>
          </b:Person>
          <b:Person>
            <b:Last>Schubert</b:Last>
            <b:First>A.</b:First>
          </b:Person>
          <b:Person>
            <b:Last>Vicsek</b:Last>
            <b:First>T.</b:First>
          </b:Person>
        </b:NameList>
      </b:Author>
    </b:Author>
    <b:RefOrder>5</b:RefOrder>
  </b:Source>
  <b:Source>
    <b:Tag>IEE</b:Tag>
    <b:SourceType>InternetSite</b:SourceType>
    <b:Guid>{3BEF46B2-2DD4-4892-88CA-6D6B01DC9248}</b:Guid>
    <b:Title>IEEE Xplore</b:Title>
    <b:URL>http://ieeexplore.ieee.org/Xplore/home.jsp</b:URL>
    <b:RefOrder>6</b:RefOrder>
  </b:Source>
  <b:Source>
    <b:Tag>The</b:Tag>
    <b:SourceType>InternetSite</b:SourceType>
    <b:Guid>{F348DB6E-FD46-40C1-B089-9B4E74622AA8}</b:Guid>
    <b:Title>The Open Graph Viz Platform</b:Title>
    <b:InternetSiteTitle>Gephi</b:InternetSiteTitle>
    <b:URL>http://gephi.github.io/ </b:URL>
    <b:RefOrder>7</b:RefOrder>
  </b:Source>
  <b:Source>
    <b:Tag>Jac14</b:Tag>
    <b:SourceType>JournalArticle</b:SourceType>
    <b:Guid>{4B687B7C-1FB0-4CAB-B1CA-221AC4DE86EC}</b:Guid>
    <b:Title>ForceAtlas2, a Continuous Graph Layout Algorithm for Handy Network Visualization Designed for the Gephi Software</b:Title>
    <b:Year>2014</b:Year>
    <b:Month>June</b:Month>
    <b:Day>10</b:Day>
    <b:JournalName>PLOS One</b:JournalName>
    <b:Author>
      <b:Author>
        <b:NameList>
          <b:Person>
            <b:Last>Jacomy</b:Last>
            <b:First>Mathieu</b:First>
          </b:Person>
          <b:Person>
            <b:Last>Venturini</b:Last>
            <b:First>Tommaso</b:First>
          </b:Person>
          <b:Person>
            <b:Last>Heymann</b:Last>
            <b:First>Sebastian</b:First>
          </b:Person>
          <b:Person>
            <b:Last>Bastian</b:Last>
            <b:First>Mathieu</b:First>
          </b:Person>
        </b:NameList>
      </b:Author>
    </b:Author>
    <b:URL>http://journals.plos.org/plosone/article?id=10.1371/journal.pone.0098679</b:URL>
    <b:RefOrder>8</b:RefOrder>
  </b:Source>
  <b:Source>
    <b:Tag>HuY06</b:Tag>
    <b:SourceType>JournalArticle</b:SourceType>
    <b:Guid>{68DE435E-C21E-4C0C-97CD-4FF219B27B7B}</b:Guid>
    <b:Title>Efficient, High-Quality Force-Directed Graph Drawing</b:Title>
    <b:JournalName>The Mathematica Journal</b:JournalName>
    <b:Year>2006</b:Year>
    <b:Volume>10</b:Volume>
    <b:Issue>1</b:Issue>
    <b:Author>
      <b:Author>
        <b:NameList>
          <b:Person>
            <b:Last>Hu</b:Last>
            <b:First>Yifan</b:First>
          </b:Person>
        </b:NameList>
      </b:Author>
    </b:Author>
    <b:URL>http://www.mathematica-journal.com/issue/v10i1/graph_draw.html</b:URL>
    <b:RefOrder>9</b:RefOrder>
  </b:Source>
  <b:Source>
    <b:Tag>Sha11</b:Tag>
    <b:SourceType>ConferenceProceedings</b:SourceType>
    <b:Guid>{23E0833B-8961-4CDD-A284-3ABB5CF3CC3E}</b:Guid>
    <b:Title>OpenOrd: an open-source toolbox for large graph layout</b:Title>
    <b:Year>2011</b:Year>
    <b:URL>http://proceedings.spiedigitallibrary.org/proceeding.aspx?articleid=731088</b:URL>
    <b:Author>
      <b:Author>
        <b:NameList>
          <b:Person>
            <b:Last>Martin</b:Last>
            <b:First>Shawn</b:First>
          </b:Person>
          <b:Person>
            <b:Last>Brown</b:Last>
            <b:First>W.</b:First>
            <b:Middle>Michael</b:Middle>
          </b:Person>
          <b:Person>
            <b:Last>Klavans</b:Last>
            <b:First>Richard</b:First>
          </b:Person>
          <b:Person>
            <b:Last>Boyack</b:Last>
            <b:First>Kevin</b:First>
            <b:Middle>W.</b:Middle>
          </b:Person>
        </b:NameList>
      </b:Author>
    </b:Author>
    <b:ConferenceName>SPIE</b:ConferenceName>
    <b:RefOrder>10</b:RefOrder>
  </b:Source>
  <b:Source>
    <b:Tag>Fru91</b:Tag>
    <b:SourceType>JournalArticle</b:SourceType>
    <b:Guid>{8AA7EE91-4050-49BE-A078-D0D6CDD267FD}</b:Guid>
    <b:Title>Graph Drawing by Force-directed Placement</b:Title>
    <b:Year>1991</b:Year>
    <b:ConferenceName>SOFTWARE-PRACITCE AND EXPERIENCE</b:ConferenceName>
    <b:Author>
      <b:Author>
        <b:NameList>
          <b:Person>
            <b:Last>Fruchterman</b:Last>
            <b:Middle>M. J.</b:Middle>
            <b:First>Thomas</b:First>
          </b:Person>
          <b:Person>
            <b:Last>Reingold</b:Last>
            <b:Middle>M.</b:Middle>
            <b:First>Edward</b:First>
          </b:Person>
        </b:NameList>
      </b:Author>
    </b:Author>
    <b:JournalName>Software - Practice and Experience</b:JournalName>
    <b:Pages>1129-1164</b:Pages>
    <b:Volume>21</b:Volume>
    <b:Issue>11</b:Issue>
    <b:Month>November</b:Month>
    <b:RefOrder>11</b:RefOrder>
  </b:Source>
  <b:Source>
    <b:Tag>Bar14</b:Tag>
    <b:SourceType>InternetSite</b:SourceType>
    <b:Guid>{9B05DE70-48E6-4364-BD4F-E13352F6D499}</b:Guid>
    <b:Title>The Gephi Network Splitter 3D Layout</b:Title>
    <b:Year>2014</b:Year>
    <b:URL>http://www.relationalcapitalvalue.com/gephiplugins.html</b:URL>
    <b:InternetSiteTitle>Relational Capital Value</b:InternetSiteTitle>
    <b:Author>
      <b:Author>
        <b:NameList>
          <b:Person>
            <b:Last>Barão</b:Last>
            <b:First>Alexandre</b:First>
          </b:Person>
        </b:NameList>
      </b:Author>
    </b:Author>
    <b:RefOrder>12</b:RefOrder>
  </b:Source>
</b:Sources>
</file>

<file path=customXml/itemProps1.xml><?xml version="1.0" encoding="utf-8"?>
<ds:datastoreItem xmlns:ds="http://schemas.openxmlformats.org/officeDocument/2006/customXml" ds:itemID="{C3445EBD-BCFC-41E5-8167-CF36F6D99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8</Pages>
  <Words>5185</Words>
  <Characters>29556</Characters>
  <Application>Microsoft Office Word</Application>
  <DocSecurity>0</DocSecurity>
  <Lines>246</Lines>
  <Paragraphs>69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NVIDIA</Company>
  <LinksUpToDate>false</LinksUpToDate>
  <CharactersWithSpaces>34672</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Ritwik Dutta</cp:lastModifiedBy>
  <cp:revision>35</cp:revision>
  <cp:lastPrinted>2015-08-24T04:52:00Z</cp:lastPrinted>
  <dcterms:created xsi:type="dcterms:W3CDTF">2015-02-18T12:01:00Z</dcterms:created>
  <dcterms:modified xsi:type="dcterms:W3CDTF">2015-08-24T04:53:00Z</dcterms:modified>
</cp:coreProperties>
</file>