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EC6A37"/>
          <w:sz w:val="20"/>
          <w:szCs w:val="20"/>
        </w:rPr>
        <w:t xml:space="preserve">RAIS</w:t>
      </w:r>
    </w:p>
    <w:p>
      <w:pPr>
        <w:spacing w:after="400"/>
        <w:jc w:val="center"/>
      </w:pPr>
      <w:r>
        <w:rPr>
          <w:b/>
          <w:bCs/>
          <w:color w:val="7B746B"/>
          <w:sz w:val="16"/>
          <w:szCs w:val="16"/>
        </w:rPr>
        <w:t xml:space="preserve">RITZ AI SOLUTIONS</w:t>
      </w:r>
    </w:p>
    <w:p>
      <w:pPr>
        <w:spacing w:after="100"/>
        <w:jc w:val="center"/>
      </w:pPr>
      <w:r>
        <w:rPr>
          <w:b/>
          <w:bCs/>
          <w:sz w:val="40"/>
          <w:szCs w:val="40"/>
        </w:rPr>
        <w:t xml:space="preserve">Auftragsverarbeitungsvertrag (AVV)</w:t>
      </w:r>
    </w:p>
    <w:p>
      <w:pPr>
        <w:spacing w:after="100"/>
        <w:jc w:val="center"/>
      </w:pPr>
      <w:r>
        <w:rPr>
          <w:color w:val="7B746B"/>
          <w:sz w:val="22"/>
          <w:szCs w:val="22"/>
        </w:rPr>
        <w:t xml:space="preserve">gemäß Art. 28 DSGVO</w:t>
      </w:r>
    </w:p>
    <w:p>
      <w:pPr>
        <w:spacing w:after="40"/>
        <w:jc w:val="center"/>
      </w:pPr>
      <w:r>
        <w:rPr>
          <w:sz w:val="20"/>
        </w:rPr>
        <w:t xml:space="preserve">Datum: </w:t>
      </w:r>
      <w:r>
        <w:rPr>
          <w:b/>
          <w:color w:val="C81E1E"/>
          <w:sz w:val="20"/>
        </w:rPr>
        <w:t>{{VERTRAGSDATUM}}</w:t>
      </w:r>
    </w:p>
    <w:p>
      <w:pPr>
        <w:spacing w:after="400"/>
        <w:jc w:val="center"/>
      </w:pPr>
      <w:r>
        <w:rPr>
          <w:color w:val="7B746B"/>
          <w:sz w:val="20"/>
        </w:rPr>
        <w:t xml:space="preserve">Vertragsnummer: </w:t>
      </w:r>
      <w:r>
        <w:rPr>
          <w:b/>
          <w:color w:val="C81E1E"/>
          <w:sz w:val="20"/>
        </w:rPr>
        <w:t>{{AVV_NUMMER}}</w:t>
      </w:r>
      <w:r>
        <w:rPr>
          <w:color w:val="7B746B"/>
          <w:sz w:val="20"/>
        </w:rPr>
        <w:t xml:space="preserve"> · Anlage zum Service Agreement </w:t>
      </w:r>
      <w:r>
        <w:rPr>
          <w:b/>
          <w:color w:val="C81E1E"/>
          <w:sz w:val="20"/>
        </w:rPr>
        <w:t>{{SA_NUMMER}}</w:t>
      </w:r>
    </w:p>
    <w:p>
      <w:pPr>
        <w:pStyle w:val="Heading2"/>
        <w:spacing w:after="100" w:before="240"/>
      </w:pPr>
      <w:r>
        <w:t xml:space="preserve">Verantwortlicher ("Auftraggeber")</w:t>
      </w:r>
    </w:p>
    <w:p>
      <w:pPr>
        <w:spacing w:after="120"/>
      </w:pPr>
      <w:r>
        <w:rPr>
          <w:b/>
          <w:color w:val="C81E1E"/>
        </w:rPr>
        <w:t>{{KUNDE_FIRMA}}</w:t>
      </w:r>
      <w:r>
        <w:rPr/>
        <w:t xml:space="preserve">, </w:t>
      </w:r>
      <w:r>
        <w:rPr>
          <w:b/>
          <w:color w:val="C81E1E"/>
        </w:rPr>
        <w:t>{{KUNDE_ANSCHRIFT}}</w:t>
      </w:r>
      <w:r>
        <w:rPr/>
        <w:t xml:space="preserve">, vertreten durch </w:t>
      </w:r>
      <w:r>
        <w:rPr>
          <w:b/>
          <w:color w:val="C81E1E"/>
        </w:rPr>
        <w:t>{{KUNDE_GESCHAEFTSFUEHRER}}</w:t>
      </w:r>
      <w:r>
        <w:rPr/>
        <w:t xml:space="preserve"> (Geschäftsführer).</w:t>
      </w:r>
    </w:p>
    <w:p>
      <w:pPr>
        <w:pStyle w:val="Heading2"/>
        <w:spacing w:after="100" w:before="240"/>
      </w:pPr>
      <w:r>
        <w:t xml:space="preserve">Auftragsverarbeiter ("Auftragnehmer")</w:t>
      </w:r>
    </w:p>
    <w:p>
      <w:pPr>
        <w:spacing w:after="120"/>
      </w:pPr>
      <w:r>
        <w:t xml:space="preserve">Ritz AI Solutions, Kevin Ritz, Von-Cohausenstraße 9, 56076 Koblenz, kevin@ritz-ai.solutions, +49 151 2975 5134.</w:t>
      </w:r>
    </w:p>
    <w:p>
      <w:pPr>
        <w:pStyle w:val="Heading1"/>
        <w:spacing w:after="150" w:before="300"/>
      </w:pPr>
      <w:r>
        <w:t xml:space="preserve">§1 Gegenstand und Dauer</w:t>
      </w:r>
    </w:p>
    <w:p>
      <w:pPr>
        <w:spacing w:after="120"/>
      </w:pPr>
      <w:r>
        <w:rPr/>
        <w:t xml:space="preserve">Gegenstand dieses Vertrags ist die Durchführung von Verarbeitungen personenbezogener Daten durch den Auftragnehmer im Auftrag des Auftraggebers im Rahmen des Service Agreement </w:t>
      </w:r>
      <w:r>
        <w:rPr>
          <w:b/>
          <w:color w:val="C81E1E"/>
        </w:rPr>
        <w:t>{{SA_NUMMER}}</w:t>
      </w:r>
      <w:r>
        <w:rPr/>
        <w:t xml:space="preserve"> ("</w:t>
      </w:r>
      <w:r>
        <w:rPr>
          <w:b/>
          <w:color w:val="C81E1E"/>
        </w:rPr>
        <w:t>{{PAKET_NAME}}</w:t>
      </w:r>
      <w:r>
        <w:rPr/>
        <w:t xml:space="preserve">", Angebot </w:t>
      </w:r>
      <w:r>
        <w:rPr>
          <w:b/>
          <w:color w:val="C81E1E"/>
        </w:rPr>
        <w:t>{{ANGEBOT_NUMMER}}</w:t>
      </w:r>
      <w:r>
        <w:rPr/>
        <w:t>). Dieser AVV ergänzt das Service Agreement und gilt für dessen gesamte Laufzeit einschließlich etwaiger Verlängerungen. Er endet automatisch mit Beendigung des Service Agreement.</w:t>
      </w:r>
    </w:p>
    <w:p>
      <w:pPr>
        <w:pStyle w:val="Heading1"/>
        <w:spacing w:after="150" w:before="300"/>
      </w:pPr>
      <w:r>
        <w:t xml:space="preserve">§2 Art und Zweck der Verarbeitung</w:t>
      </w:r>
    </w:p>
    <w:p>
      <w:pPr>
        <w:spacing w:after="120"/>
      </w:pPr>
      <w:r>
        <w:t xml:space="preserve">Der Auftragnehmer verarbeitet personenbezogene Daten von Immobilieninteressenten, die über ImmobilienScout24 (IS24) Anfragen zu Objekten des Auftraggebers stellen. Zweck der Verarbeitung ist die automatische Qualifizierung dieser Anfragen (Kauf/Miete-Erkennung), die Bereitstellung eines personalisierten Terminbuchungslinks, die Eintragung gebuchter Termine in den Outlook-Kalender des Auftraggebers sowie die Darstellung der Anfragen in einem Übersichts-Dashboard.</w:t>
      </w:r>
    </w:p>
    <w:p>
      <w:pPr>
        <w:pStyle w:val="Heading1"/>
        <w:spacing w:after="150" w:before="300"/>
      </w:pPr>
      <w:r>
        <w:t xml:space="preserve">§3 Kategorien betroffener Personen</w:t>
      </w:r>
    </w:p>
    <w:p>
      <w:pPr>
        <w:pStyle w:val="ListParagraph"/>
        <w:numPr>
          <w:ilvl w:val="0"/>
          <w:numId w:val="1"/>
        </w:numPr>
        <w:spacing w:after="60"/>
      </w:pPr>
      <w:r>
        <w:t xml:space="preserve">Immobilieninteressenten (IS24-Anfragensteller)</w:t>
      </w:r>
    </w:p>
    <w:p>
      <w:pPr>
        <w:pStyle w:val="ListParagraph"/>
        <w:numPr>
          <w:ilvl w:val="0"/>
          <w:numId w:val="1"/>
        </w:numPr>
        <w:spacing w:after="60"/>
      </w:pPr>
      <w:r>
        <w:t xml:space="preserve">Mitarbeiter des Auftraggebers mit Dashboard-Zugang</w:t>
      </w:r>
    </w:p>
    <w:p>
      <w:pPr>
        <w:pStyle w:val="Heading1"/>
        <w:spacing w:after="150" w:before="300"/>
      </w:pPr>
      <w:r>
        <w:t xml:space="preserve">§4 Kategorien personenbezogener Daten</w:t>
      </w:r>
    </w:p>
    <w:p>
      <w:pPr>
        <w:pStyle w:val="ListParagraph"/>
        <w:numPr>
          <w:ilvl w:val="0"/>
          <w:numId w:val="1"/>
        </w:numPr>
        <w:spacing w:after="60"/>
      </w:pPr>
      <w:r>
        <w:t xml:space="preserve">Name, E-Mail-Adresse, Telefonnummer der Interessenten</w:t>
      </w:r>
    </w:p>
    <w:p>
      <w:pPr>
        <w:pStyle w:val="ListParagraph"/>
        <w:numPr>
          <w:ilvl w:val="0"/>
          <w:numId w:val="1"/>
        </w:numPr>
        <w:spacing w:after="60"/>
      </w:pPr>
      <w:r>
        <w:t xml:space="preserve">Anfrageinhalt (Objektbezug, Nachricht, Kauf-/Mietwunsch)</w:t>
      </w:r>
    </w:p>
    <w:p>
      <w:pPr>
        <w:pStyle w:val="ListParagraph"/>
        <w:numPr>
          <w:ilvl w:val="0"/>
          <w:numId w:val="1"/>
        </w:numPr>
        <w:spacing w:after="60"/>
      </w:pPr>
      <w:r>
        <w:t xml:space="preserve">Terminbuchungsdaten (gewählter Slot, Bestätigungsstatus)</w:t>
      </w:r>
    </w:p>
    <w:p>
      <w:pPr>
        <w:pStyle w:val="ListParagraph"/>
        <w:numPr>
          <w:ilvl w:val="0"/>
          <w:numId w:val="1"/>
        </w:numPr>
        <w:spacing w:after="60"/>
      </w:pPr>
      <w:r>
        <w:t xml:space="preserve">Zugangsdaten der Dashboard-Nutzer (Name, E-Mail)</w:t>
      </w:r>
    </w:p>
    <w:p>
      <w:pPr>
        <w:spacing w:after="120"/>
      </w:pPr>
      <w:r>
        <w:t xml:space="preserve">Besondere Kategorien personenbezogener Daten (Art. 9 DSGVO) werden nicht verarbeitet.</w:t>
      </w:r>
    </w:p>
    <w:p>
      <w:pPr>
        <w:pStyle w:val="Heading1"/>
        <w:spacing w:after="150" w:before="300"/>
      </w:pPr>
      <w:r>
        <w:t xml:space="preserve">§5 Weisungsgebundenheit</w:t>
      </w:r>
    </w:p>
    <w:p>
      <w:pPr>
        <w:spacing w:after="120"/>
      </w:pPr>
      <w:r>
        <w:rPr/>
        <w:t xml:space="preserve">Der Auftragnehmer verarbeitet personenbezogene Daten ausschließlich auf dokumentierte Weisung des Auftraggebers, einschließlich in Bezug auf die Übermittlung personenbezogener Daten an ein Drittland, sofern er nicht durch das Recht der EU oder der Mitgliedstaaten hierzu verpflichtet ist. Das Service Agreement </w:t>
      </w:r>
      <w:r>
        <w:rPr>
          <w:b/>
          <w:color w:val="C81E1E"/>
        </w:rPr>
        <w:t>{{SA_NUMMER}}</w:t>
      </w:r>
      <w:r>
        <w:rPr/>
        <w:t xml:space="preserve"> sowie das zugrundeliegende Angebot </w:t>
      </w:r>
      <w:r>
        <w:rPr>
          <w:b/>
          <w:color w:val="C81E1E"/>
        </w:rPr>
        <w:t>{{ANGEBOT_NUMMER}}</w:t>
      </w:r>
      <w:r>
        <w:rPr/>
        <w:t xml:space="preserve"> gelten als dokumentierte Erstweisung. Weitere Weisungen erfolgen in Textform (E-Mail genügt).</w:t>
      </w:r>
    </w:p>
    <w:p>
      <w:pPr>
        <w:pStyle w:val="Heading1"/>
        <w:spacing w:after="150" w:before="300"/>
      </w:pPr>
      <w:r>
        <w:t xml:space="preserve">§6 Pflichten des Auftragnehmers</w:t>
      </w:r>
    </w:p>
    <w:p>
      <w:pPr>
        <w:pStyle w:val="ListParagraph"/>
        <w:numPr>
          <w:ilvl w:val="0"/>
          <w:numId w:val="1"/>
        </w:numPr>
        <w:spacing w:after="60"/>
      </w:pPr>
      <w:r>
        <w:t xml:space="preserve">Gewährleistung der Vertraulichkeit: Personen, die Zugang zu den Daten haben, werden zur Vertraulichkeit verpflichtet.</w:t>
      </w:r>
    </w:p>
    <w:p>
      <w:pPr>
        <w:pStyle w:val="ListParagraph"/>
        <w:numPr>
          <w:ilvl w:val="0"/>
          <w:numId w:val="1"/>
        </w:numPr>
        <w:spacing w:after="60"/>
      </w:pPr>
      <w:r>
        <w:t xml:space="preserve">Umsetzung angemessener technischer und organisatorischer Maßnahmen gemäß Art. 32 DSGVO (siehe §9).</w:t>
      </w:r>
    </w:p>
    <w:p>
      <w:pPr>
        <w:pStyle w:val="ListParagraph"/>
        <w:numPr>
          <w:ilvl w:val="0"/>
          <w:numId w:val="1"/>
        </w:numPr>
        <w:spacing w:after="60"/>
      </w:pPr>
      <w:r>
        <w:t xml:space="preserve">Unterstützung des Auftraggebers bei der Erfüllung von Betroffenenrechten (Auskunft, Löschung, Berichtigung, Datenübertragbarkeit).</w:t>
      </w:r>
    </w:p>
    <w:p>
      <w:pPr>
        <w:pStyle w:val="ListParagraph"/>
        <w:numPr>
          <w:ilvl w:val="0"/>
          <w:numId w:val="1"/>
        </w:numPr>
        <w:spacing w:after="60"/>
      </w:pPr>
      <w:r>
        <w:t xml:space="preserve">Unterstützung bei der Einhaltung der Pflichten nach Art. 32–36 DSGVO (Sicherheit, Meldung von Datenschutzverletzungen, Datenschutz-Folgenabschätzung).</w:t>
      </w:r>
    </w:p>
    <w:p>
      <w:pPr>
        <w:pStyle w:val="ListParagraph"/>
        <w:numPr>
          <w:ilvl w:val="0"/>
          <w:numId w:val="1"/>
        </w:numPr>
        <w:spacing w:after="60"/>
      </w:pPr>
      <w:r>
        <w:t xml:space="preserve">Unverzügliche Meldung von Datenschutzverletzungen an den Auftraggeber, spätestens binnen 24 Stunden nach Kenntniserlangung.</w:t>
      </w:r>
    </w:p>
    <w:p>
      <w:pPr>
        <w:pStyle w:val="ListParagraph"/>
        <w:numPr>
          <w:ilvl w:val="0"/>
          <w:numId w:val="1"/>
        </w:numPr>
        <w:spacing w:after="60"/>
      </w:pPr>
      <w:r>
        <w:t xml:space="preserve">Löschung oder Rückgabe aller personenbezogenen Daten nach Beendigung der Vertragsleistung, sofern keine gesetzliche Aufbewahrungspflicht entgegensteht (siehe §10).</w:t>
      </w:r>
    </w:p>
    <w:p>
      <w:pPr>
        <w:pStyle w:val="Heading1"/>
        <w:spacing w:after="150" w:before="300"/>
      </w:pPr>
      <w:r>
        <w:t xml:space="preserve">§7 Pflichten des Auftraggebers</w:t>
      </w:r>
    </w:p>
    <w:p>
      <w:pPr>
        <w:pStyle w:val="ListParagraph"/>
        <w:numPr>
          <w:ilvl w:val="0"/>
          <w:numId w:val="1"/>
        </w:numPr>
        <w:spacing w:after="60"/>
      </w:pPr>
      <w:r>
        <w:t xml:space="preserve">Der Auftraggeber bleibt Verantwortlicher im Sinne der DSGVO und trägt die Verantwortung für die Rechtmäßigkeit der Datenerhebung und -übermittlung an den Auftragnehmer.</w:t>
      </w:r>
    </w:p>
    <w:p>
      <w:pPr>
        <w:pStyle w:val="ListParagraph"/>
        <w:numPr>
          <w:ilvl w:val="0"/>
          <w:numId w:val="1"/>
        </w:numPr>
        <w:spacing w:after="60"/>
      </w:pPr>
      <w:r>
        <w:t xml:space="preserve">Der Auftraggeber erteilt Weisungen vollständig, klar und in Textform.</w:t>
      </w:r>
    </w:p>
    <w:p>
      <w:pPr>
        <w:pStyle w:val="ListParagraph"/>
        <w:numPr>
          <w:ilvl w:val="0"/>
          <w:numId w:val="1"/>
        </w:numPr>
        <w:spacing w:after="60"/>
      </w:pPr>
      <w:r>
        <w:t xml:space="preserve">Der Auftraggeber informiert den Auftragnehmer unverzüglich, wenn er Fehler oder Unregelmäßigkeiten bei der Prüfung der Auftragsergebnisse feststellt.</w:t>
      </w:r>
    </w:p>
    <w:p>
      <w:pPr>
        <w:pStyle w:val="Heading1"/>
        <w:spacing w:after="150" w:before="300"/>
      </w:pPr>
      <w:r>
        <w:t xml:space="preserve">§8 Unterauftragsverhältnisse (Subunternehmer)</w:t>
      </w:r>
    </w:p>
    <w:p>
      <w:pPr>
        <w:spacing w:after="120"/>
      </w:pPr>
      <w:r>
        <w:t xml:space="preserve">Der Auftraggeber erteilt hiermit die allgemeine Genehmigung zur Beauftragung folgender Subunternehmer. Der Auftragnehmer informiert den Auftraggeber über beabsichtigte Änderungen (Hinzufügung/Ersetzung) mit angemessener Vorlaufzeit; der Auftraggeber kann der Änderung aus wichtigem Grund widersprechen.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400"/>
        <w:gridCol w:w="1200"/>
      </w:tblGrid>
      <w:tr>
        <w:tc>
          <w:tcPr>
            <w:tcW w:type="dxa" w:w="2800"/>
            <w:shd w:fill="2F2A24" w:color="auto" w:val="clear"/>
            <w:tcMar>
              <w:top w:type="dxa" w:w="80"/>
              <w:left w:type="dxa" w:w="100"/>
              <w:bottom w:type="dxa" w:w="80"/>
              <w:right w:type="dxa" w:w="100"/>
            </w:tcMar>
          </w:tcPr>
          <w:p>
            <w:r>
              <w:rPr>
                <w:b/>
                <w:bCs/>
                <w:color w:val="FFFFFF"/>
                <w:sz w:val="18"/>
                <w:szCs w:val="18"/>
              </w:rPr>
              <w:t xml:space="preserve">Dienst</w:t>
            </w:r>
          </w:p>
        </w:tc>
        <w:tc>
          <w:tcPr>
            <w:tcW w:type="dxa" w:w="2600"/>
            <w:shd w:fill="2F2A24" w:color="auto" w:val="clear"/>
            <w:tcMar>
              <w:top w:type="dxa" w:w="80"/>
              <w:left w:type="dxa" w:w="100"/>
              <w:bottom w:type="dxa" w:w="80"/>
              <w:right w:type="dxa" w:w="100"/>
            </w:tcMar>
          </w:tcPr>
          <w:p>
            <w:r>
              <w:rPr>
                <w:b/>
                <w:bCs/>
                <w:color w:val="FFFFFF"/>
                <w:sz w:val="18"/>
                <w:szCs w:val="18"/>
              </w:rPr>
              <w:t xml:space="preserve">Anbieter</w:t>
            </w:r>
          </w:p>
        </w:tc>
        <w:tc>
          <w:tcPr>
            <w:tcW w:type="dxa" w:w="2400"/>
            <w:shd w:fill="2F2A24" w:color="auto" w:val="clear"/>
            <w:tcMar>
              <w:top w:type="dxa" w:w="80"/>
              <w:left w:type="dxa" w:w="100"/>
              <w:bottom w:type="dxa" w:w="80"/>
              <w:right w:type="dxa" w:w="100"/>
            </w:tcMar>
          </w:tcPr>
          <w:p>
            <w:r>
              <w:rPr>
                <w:b/>
                <w:bCs/>
                <w:color w:val="FFFFFF"/>
                <w:sz w:val="18"/>
                <w:szCs w:val="18"/>
              </w:rPr>
              <w:t xml:space="preserve">Funktion</w:t>
            </w:r>
          </w:p>
        </w:tc>
        <w:tc>
          <w:tcPr>
            <w:tcW w:type="dxa" w:w="1200"/>
            <w:shd w:fill="2F2A24" w:color="auto" w:val="clear"/>
            <w:tcMar>
              <w:top w:type="dxa" w:w="80"/>
              <w:left w:type="dxa" w:w="100"/>
              <w:bottom w:type="dxa" w:w="80"/>
              <w:right w:type="dxa" w:w="100"/>
            </w:tcMar>
          </w:tcPr>
          <w:p>
            <w:r>
              <w:rPr>
                <w:b/>
                <w:bCs/>
                <w:color w:val="FFFFFF"/>
                <w:sz w:val="18"/>
                <w:szCs w:val="18"/>
              </w:rPr>
              <w:t xml:space="preserve">Standort</w:t>
            </w:r>
          </w:p>
        </w:tc>
      </w:tr>
      <w:tr>
        <w:tc>
          <w:tcPr>
            <w:tcW w:type="dxa" w:w="2800"/>
            <w:tcMar>
              <w:top w:type="dxa" w:w="80"/>
              <w:left w:type="dxa" w:w="100"/>
              <w:bottom w:type="dxa" w:w="80"/>
              <w:right w:type="dxa" w:w="100"/>
            </w:tcMar>
          </w:tcPr>
          <w:p>
            <w:r>
              <w:rPr>
                <w:b w:val="false"/>
                <w:bCs w:val="false"/>
                <w:sz w:val="18"/>
                <w:szCs w:val="18"/>
              </w:rPr>
              <w:t xml:space="preserve">Automatisierung (n8n)</w:t>
            </w:r>
          </w:p>
        </w:tc>
        <w:tc>
          <w:tcPr>
            <w:tcW w:type="dxa" w:w="2600"/>
            <w:tcMar>
              <w:top w:type="dxa" w:w="80"/>
              <w:left w:type="dxa" w:w="100"/>
              <w:bottom w:type="dxa" w:w="80"/>
              <w:right w:type="dxa" w:w="100"/>
            </w:tcMar>
          </w:tcPr>
          <w:p>
            <w:r>
              <w:rPr>
                <w:b w:val="false"/>
                <w:bCs w:val="false"/>
                <w:sz w:val="18"/>
                <w:szCs w:val="18"/>
              </w:rPr>
              <w:t xml:space="preserve">Hostinger (selbst-gehostet)</w:t>
            </w:r>
          </w:p>
        </w:tc>
        <w:tc>
          <w:tcPr>
            <w:tcW w:type="dxa" w:w="2400"/>
            <w:tcMar>
              <w:top w:type="dxa" w:w="80"/>
              <w:left w:type="dxa" w:w="100"/>
              <w:bottom w:type="dxa" w:w="80"/>
              <w:right w:type="dxa" w:w="100"/>
            </w:tcMar>
          </w:tcPr>
          <w:p>
            <w:r>
              <w:rPr>
                <w:b w:val="false"/>
                <w:bCs w:val="false"/>
                <w:sz w:val="18"/>
                <w:szCs w:val="18"/>
              </w:rPr>
              <w:t xml:space="preserve">Workflow-Engine, Verarbeitung</w:t>
            </w:r>
          </w:p>
        </w:tc>
        <w:tc>
          <w:tcPr>
            <w:tcW w:type="dxa" w:w="1200"/>
            <w:tcMar>
              <w:top w:type="dxa" w:w="80"/>
              <w:left w:type="dxa" w:w="100"/>
              <w:bottom w:type="dxa" w:w="80"/>
              <w:right w:type="dxa" w:w="100"/>
            </w:tcMar>
          </w:tcPr>
          <w:p>
            <w:r>
              <w:rPr>
                <w:b w:val="false"/>
                <w:bCs w:val="false"/>
                <w:sz w:val="18"/>
                <w:szCs w:val="18"/>
              </w:rPr>
              <w:t xml:space="preserve">Vilnius, Litauen (EU)</w:t>
            </w:r>
          </w:p>
        </w:tc>
      </w:tr>
      <w:tr>
        <w:tc>
          <w:tcPr>
            <w:tcW w:type="dxa" w:w="2800"/>
            <w:tcMar>
              <w:top w:type="dxa" w:w="80"/>
              <w:left w:type="dxa" w:w="100"/>
              <w:bottom w:type="dxa" w:w="80"/>
              <w:right w:type="dxa" w:w="100"/>
            </w:tcMar>
          </w:tcPr>
          <w:p>
            <w:r>
              <w:rPr>
                <w:b w:val="false"/>
                <w:bCs w:val="false"/>
                <w:sz w:val="18"/>
                <w:szCs w:val="18"/>
              </w:rPr>
              <w:t xml:space="preserve">Datenbank</w:t>
            </w:r>
          </w:p>
        </w:tc>
        <w:tc>
          <w:tcPr>
            <w:tcW w:type="dxa" w:w="2600"/>
            <w:tcMar>
              <w:top w:type="dxa" w:w="80"/>
              <w:left w:type="dxa" w:w="100"/>
              <w:bottom w:type="dxa" w:w="80"/>
              <w:right w:type="dxa" w:w="100"/>
            </w:tcMar>
          </w:tcPr>
          <w:p>
            <w:r>
              <w:rPr>
                <w:b w:val="false"/>
                <w:bCs w:val="false"/>
                <w:sz w:val="18"/>
                <w:szCs w:val="18"/>
              </w:rPr>
              <w:t xml:space="preserve">Supabase</w:t>
            </w:r>
          </w:p>
        </w:tc>
        <w:tc>
          <w:tcPr>
            <w:tcW w:type="dxa" w:w="2400"/>
            <w:tcMar>
              <w:top w:type="dxa" w:w="80"/>
              <w:left w:type="dxa" w:w="100"/>
              <w:bottom w:type="dxa" w:w="80"/>
              <w:right w:type="dxa" w:w="100"/>
            </w:tcMar>
          </w:tcPr>
          <w:p>
            <w:r>
              <w:rPr>
                <w:b w:val="false"/>
                <w:bCs w:val="false"/>
                <w:sz w:val="18"/>
                <w:szCs w:val="18"/>
              </w:rPr>
              <w:t xml:space="preserve">Speicherung Lead- und Termindaten</w:t>
            </w:r>
          </w:p>
        </w:tc>
        <w:tc>
          <w:tcPr>
            <w:tcW w:type="dxa" w:w="1200"/>
            <w:tcMar>
              <w:top w:type="dxa" w:w="80"/>
              <w:left w:type="dxa" w:w="100"/>
              <w:bottom w:type="dxa" w:w="80"/>
              <w:right w:type="dxa" w:w="100"/>
            </w:tcMar>
          </w:tcPr>
          <w:p>
            <w:r>
              <w:rPr>
                <w:b w:val="false"/>
                <w:bCs w:val="false"/>
                <w:sz w:val="18"/>
                <w:szCs w:val="18"/>
              </w:rPr>
              <w:t xml:space="preserve">Frankfurt, Deutschland (EU)</w:t>
            </w:r>
          </w:p>
        </w:tc>
      </w:tr>
      <w:tr>
        <w:tc>
          <w:tcPr>
            <w:tcW w:type="dxa" w:w="2800"/>
            <w:tcMar>
              <w:top w:type="dxa" w:w="80"/>
              <w:left w:type="dxa" w:w="100"/>
              <w:bottom w:type="dxa" w:w="80"/>
              <w:right w:type="dxa" w:w="100"/>
            </w:tcMar>
          </w:tcPr>
          <w:p>
            <w:r>
              <w:rPr>
                <w:b w:val="false"/>
                <w:bCs w:val="false"/>
                <w:sz w:val="18"/>
                <w:szCs w:val="18"/>
              </w:rPr>
              <w:t xml:space="preserve">Landing Page + Dashboard</w:t>
            </w:r>
          </w:p>
        </w:tc>
        <w:tc>
          <w:tcPr>
            <w:tcW w:type="dxa" w:w="2600"/>
            <w:tcMar>
              <w:top w:type="dxa" w:w="80"/>
              <w:left w:type="dxa" w:w="100"/>
              <w:bottom w:type="dxa" w:w="80"/>
              <w:right w:type="dxa" w:w="100"/>
            </w:tcMar>
          </w:tcPr>
          <w:p>
            <w:r>
              <w:rPr>
                <w:b w:val="false"/>
                <w:bCs w:val="false"/>
                <w:sz w:val="18"/>
                <w:szCs w:val="18"/>
              </w:rPr>
              <w:t xml:space="preserve">Vercel</w:t>
            </w:r>
          </w:p>
        </w:tc>
        <w:tc>
          <w:tcPr>
            <w:tcW w:type="dxa" w:w="2400"/>
            <w:tcMar>
              <w:top w:type="dxa" w:w="80"/>
              <w:left w:type="dxa" w:w="100"/>
              <w:bottom w:type="dxa" w:w="80"/>
              <w:right w:type="dxa" w:w="100"/>
            </w:tcMar>
          </w:tcPr>
          <w:p>
            <w:r>
              <w:rPr>
                <w:b w:val="false"/>
                <w:bCs w:val="false"/>
                <w:sz w:val="18"/>
                <w:szCs w:val="18"/>
              </w:rPr>
              <w:t xml:space="preserve">Hosting Frontend</w:t>
            </w:r>
          </w:p>
        </w:tc>
        <w:tc>
          <w:tcPr>
            <w:tcW w:type="dxa" w:w="1200"/>
            <w:tcMar>
              <w:top w:type="dxa" w:w="80"/>
              <w:left w:type="dxa" w:w="100"/>
              <w:bottom w:type="dxa" w:w="80"/>
              <w:right w:type="dxa" w:w="100"/>
            </w:tcMar>
          </w:tcPr>
          <w:p>
            <w:r>
              <w:rPr>
                <w:b w:val="false"/>
                <w:bCs w:val="false"/>
                <w:sz w:val="18"/>
                <w:szCs w:val="18"/>
              </w:rPr>
              <w:t xml:space="preserve">EU Edge</w:t>
            </w:r>
          </w:p>
        </w:tc>
      </w:tr>
      <w:tr>
        <w:tc>
          <w:tcPr>
            <w:tcW w:type="dxa" w:w="2800"/>
            <w:tcMar>
              <w:top w:type="dxa" w:w="80"/>
              <w:left w:type="dxa" w:w="100"/>
              <w:bottom w:type="dxa" w:w="80"/>
              <w:right w:type="dxa" w:w="100"/>
            </w:tcMar>
          </w:tcPr>
          <w:p>
            <w:r>
              <w:rPr>
                <w:b w:val="false"/>
                <w:bCs w:val="false"/>
                <w:sz w:val="18"/>
                <w:szCs w:val="18"/>
              </w:rPr>
              <w:t xml:space="preserve">E-Mail-Versand</w:t>
            </w:r>
          </w:p>
        </w:tc>
        <w:tc>
          <w:tcPr>
            <w:tcW w:type="dxa" w:w="2600"/>
            <w:tcMar>
              <w:top w:type="dxa" w:w="80"/>
              <w:left w:type="dxa" w:w="100"/>
              <w:bottom w:type="dxa" w:w="80"/>
              <w:right w:type="dxa" w:w="100"/>
            </w:tcMar>
          </w:tcPr>
          <w:p>
            <w:r>
              <w:rPr>
                <w:b w:val="false"/>
                <w:bCs w:val="false"/>
                <w:sz w:val="18"/>
                <w:szCs w:val="18"/>
              </w:rPr>
              <w:t xml:space="preserve">Resend</w:t>
            </w:r>
          </w:p>
        </w:tc>
        <w:tc>
          <w:tcPr>
            <w:tcW w:type="dxa" w:w="2400"/>
            <w:tcMar>
              <w:top w:type="dxa" w:w="80"/>
              <w:left w:type="dxa" w:w="100"/>
              <w:bottom w:type="dxa" w:w="80"/>
              <w:right w:type="dxa" w:w="100"/>
            </w:tcMar>
          </w:tcPr>
          <w:p>
            <w:r>
              <w:rPr>
                <w:b w:val="false"/>
                <w:bCs w:val="false"/>
                <w:sz w:val="18"/>
                <w:szCs w:val="18"/>
              </w:rPr>
              <w:t xml:space="preserve">Transaktionale E-Mails (Bestätigungen)</w:t>
            </w:r>
          </w:p>
        </w:tc>
        <w:tc>
          <w:tcPr>
            <w:tcW w:type="dxa" w:w="1200"/>
            <w:tcMar>
              <w:top w:type="dxa" w:w="80"/>
              <w:left w:type="dxa" w:w="100"/>
              <w:bottom w:type="dxa" w:w="80"/>
              <w:right w:type="dxa" w:w="100"/>
            </w:tcMar>
          </w:tcPr>
          <w:p>
            <w:r>
              <w:rPr>
                <w:b w:val="false"/>
                <w:bCs w:val="false"/>
                <w:sz w:val="18"/>
                <w:szCs w:val="18"/>
              </w:rPr>
              <w:t xml:space="preserve">EU</w:t>
            </w:r>
          </w:p>
        </w:tc>
      </w:tr>
      <w:tr>
        <w:tc>
          <w:tcPr>
            <w:tcW w:type="dxa" w:w="2800"/>
            <w:tcMar>
              <w:top w:type="dxa" w:w="80"/>
              <w:left w:type="dxa" w:w="100"/>
              <w:bottom w:type="dxa" w:w="80"/>
              <w:right w:type="dxa" w:w="100"/>
            </w:tcMar>
          </w:tcPr>
          <w:p>
            <w:r>
              <w:rPr>
                <w:b w:val="false"/>
                <w:bCs w:val="false"/>
                <w:sz w:val="18"/>
                <w:szCs w:val="18"/>
              </w:rPr>
              <w:t xml:space="preserve">Kalender-Integration</w:t>
            </w:r>
          </w:p>
        </w:tc>
        <w:tc>
          <w:tcPr>
            <w:tcW w:type="dxa" w:w="2600"/>
            <w:tcMar>
              <w:top w:type="dxa" w:w="80"/>
              <w:left w:type="dxa" w:w="100"/>
              <w:bottom w:type="dxa" w:w="80"/>
              <w:right w:type="dxa" w:w="100"/>
            </w:tcMar>
          </w:tcPr>
          <w:p>
            <w:r>
              <w:rPr>
                <w:b w:val="false"/>
                <w:bCs w:val="false"/>
                <w:sz w:val="18"/>
                <w:szCs w:val="18"/>
              </w:rPr>
              <w:t xml:space="preserve">Microsoft Graph API</w:t>
            </w:r>
          </w:p>
        </w:tc>
        <w:tc>
          <w:tcPr>
            <w:tcW w:type="dxa" w:w="2400"/>
            <w:tcMar>
              <w:top w:type="dxa" w:w="80"/>
              <w:left w:type="dxa" w:w="100"/>
              <w:bottom w:type="dxa" w:w="80"/>
              <w:right w:type="dxa" w:w="100"/>
            </w:tcMar>
          </w:tcPr>
          <w:p>
            <w:r>
              <w:rPr>
                <w:b w:val="false"/>
                <w:bCs w:val="false"/>
                <w:sz w:val="18"/>
                <w:szCs w:val="18"/>
              </w:rPr>
              <w:t xml:space="preserve">Outlook-Terminsynchronisation</w:t>
            </w:r>
          </w:p>
        </w:tc>
        <w:tc>
          <w:tcPr>
            <w:tcW w:type="dxa" w:w="1200"/>
            <w:tcMar>
              <w:top w:type="dxa" w:w="80"/>
              <w:left w:type="dxa" w:w="100"/>
              <w:bottom w:type="dxa" w:w="80"/>
              <w:right w:type="dxa" w:w="100"/>
            </w:tcMar>
          </w:tcPr>
          <w:p>
            <w:r>
              <w:rPr>
                <w:b w:val="false"/>
                <w:bCs w:val="false"/>
                <w:sz w:val="18"/>
                <w:szCs w:val="18"/>
              </w:rPr>
              <w:t xml:space="preserve">EU</w:t>
            </w:r>
          </w:p>
        </w:tc>
      </w:tr>
    </w:tbl>
    <w:p>
      <w:pPr>
        <w:spacing w:after="200"/>
      </w:pPr>
    </w:p>
    <w:p>
      <w:pPr>
        <w:spacing w:after="120"/>
      </w:pPr>
      <w:r>
        <w:t xml:space="preserve">Alle eingesetzten Subunternehmer verarbeiten Daten ausschließlich innerhalb der EU. Eine Übermittlung in Drittländer außerhalb der EU/des EWR findet nicht statt. Mit jedem Subunternehmer besteht ein Vertrag, der ein Datenschutzniveau entsprechend diesem AVV sicherstellt.</w:t>
      </w:r>
    </w:p>
    <w:p>
      <w:pPr>
        <w:pStyle w:val="Heading1"/>
        <w:spacing w:after="150" w:before="300"/>
      </w:pPr>
      <w:r>
        <w:t xml:space="preserve">§9 Technische und organisatorische Maßnahmen (TOM)</w:t>
      </w:r>
    </w:p>
    <w:p>
      <w:pPr>
        <w:pStyle w:val="ListParagraph"/>
        <w:numPr>
          <w:ilvl w:val="0"/>
          <w:numId w:val="1"/>
        </w:numPr>
        <w:spacing w:after="60"/>
      </w:pPr>
      <w:r>
        <w:t xml:space="preserve">Verschlüsselte Datenübertragung (TLS) zwischen allen Systemkomponenten.</w:t>
      </w:r>
    </w:p>
    <w:p>
      <w:pPr>
        <w:pStyle w:val="ListParagraph"/>
        <w:numPr>
          <w:ilvl w:val="0"/>
          <w:numId w:val="1"/>
        </w:numPr>
        <w:spacing w:after="60"/>
      </w:pPr>
      <w:r>
        <w:t xml:space="preserve">Zugriffsbeschränkung auf Dashboard und Datenbank durch individuelle, rollenbasierte Zugänge (Row Level Security).</w:t>
      </w:r>
    </w:p>
    <w:p>
      <w:pPr>
        <w:pStyle w:val="ListParagraph"/>
        <w:numPr>
          <w:ilvl w:val="0"/>
          <w:numId w:val="1"/>
        </w:numPr>
        <w:spacing w:after="60"/>
      </w:pPr>
      <w:r>
        <w:t xml:space="preserve">Speicherung ausschließlich auf Servern innerhalb der EU.</w:t>
      </w:r>
    </w:p>
    <w:p>
      <w:pPr>
        <w:pStyle w:val="ListParagraph"/>
        <w:numPr>
          <w:ilvl w:val="0"/>
          <w:numId w:val="1"/>
        </w:numPr>
        <w:spacing w:after="60"/>
      </w:pPr>
      <w:r>
        <w:t xml:space="preserve">Regelmäßige Sicherheitsupdates der eingesetzten Software und Infrastruktur.</w:t>
      </w:r>
    </w:p>
    <w:p>
      <w:pPr>
        <w:pStyle w:val="ListParagraph"/>
        <w:numPr>
          <w:ilvl w:val="0"/>
          <w:numId w:val="1"/>
        </w:numPr>
        <w:spacing w:after="60"/>
      </w:pPr>
      <w:r>
        <w:t xml:space="preserve">Protokollierung sicherheitsrelevanter Ereignisse (Zugriffe, Änderungen) im Rahmen des technisch Möglichen.</w:t>
      </w:r>
    </w:p>
    <w:p>
      <w:pPr>
        <w:pStyle w:val="ListParagraph"/>
        <w:numPr>
          <w:ilvl w:val="0"/>
          <w:numId w:val="1"/>
        </w:numPr>
        <w:spacing w:after="60"/>
      </w:pPr>
      <w:r>
        <w:t xml:space="preserve">Trennung der Daten des Auftraggebers von Daten anderer Kunden des Auftragnehmers (logische Mandantentrennung).</w:t>
      </w:r>
    </w:p>
    <w:p>
      <w:pPr>
        <w:pStyle w:val="ListParagraph"/>
        <w:numPr>
          <w:ilvl w:val="0"/>
          <w:numId w:val="1"/>
        </w:numPr>
        <w:spacing w:after="60"/>
      </w:pPr>
      <w:r>
        <w:t xml:space="preserve">Vor Go-Live: Code-Review und Sicherheitsprüfung der Anwendung (u.a. Zugriffspfade, Authentifizierung, Datenzugriff).</w:t>
      </w:r>
    </w:p>
    <w:p>
      <w:pPr>
        <w:pStyle w:val="Heading1"/>
        <w:spacing w:after="150" w:before="300"/>
      </w:pPr>
      <w:r>
        <w:t xml:space="preserve">§10 Löschung und Rückgabe von Daten</w:t>
      </w:r>
    </w:p>
    <w:p>
      <w:pPr>
        <w:spacing w:after="120"/>
      </w:pPr>
      <w:r>
        <w:t xml:space="preserve">Nach Beendigung des Service Agreement löscht der Auftragnehmer alle im Auftrag verarbeiteten personenbezogenen Daten spätestens 30 Tage nach Vertragsende, sofern der Auftraggeber nicht vorher eine Rückgabe in strukturiertem, gängigem Format verlangt. Gesetzliche Aufbewahrungspflichten (insb. handels- und steuerrechtliche Fristen für Rechnungsdaten) bleiben unberührt.</w:t>
      </w:r>
    </w:p>
    <w:p>
      <w:pPr>
        <w:pStyle w:val="Heading1"/>
        <w:spacing w:after="150" w:before="300"/>
      </w:pPr>
      <w:r>
        <w:t xml:space="preserve">§11 Kontrollrechte des Auftraggebers</w:t>
      </w:r>
    </w:p>
    <w:p>
      <w:pPr>
        <w:spacing w:after="120"/>
      </w:pPr>
      <w:r>
        <w:t xml:space="preserve">Der Auftraggeber ist berechtigt, sich von der Einhaltung der in diesem Vertrag festgelegten Pflichten des Auftragnehmers zu überzeugen, insbesondere durch Einholung von Auskünften und Vorlage aussagekräftiger Nachweise. Der Auftragnehmer verpflichtet sich, dem Auftraggeber auf Anfrage die notwendigen Informationen zur Verfügung zu stellen und die Durchführung von Kontrollen — auch durch beauftragte Dritte — mit angemessener Vorlaufzeit (mind. 10 Werktage) zu ermöglichen.</w:t>
      </w:r>
    </w:p>
    <w:p>
      <w:pPr>
        <w:pStyle w:val="Heading1"/>
        <w:spacing w:after="150" w:before="300"/>
      </w:pPr>
      <w:r>
        <w:rPr/>
        <w:t xml:space="preserve">Für die Haftung gelten die Regelungen des Service Agreement </w:t>
      </w:r>
      <w:r>
        <w:rPr>
          <w:b/>
          <w:color w:val="C81E1E"/>
        </w:rPr>
        <w:t>{{SA_NUMMER}}</w:t>
      </w:r>
      <w:r>
        <w:rPr/>
        <w:t xml:space="preserve"> (§10) entsprechend. Im Innenverhältnis haftet jede Partei für von ihr verursachte Datenschutzverstöße im Rahmen der gesetzlichen Bestimmungen.</w:t>
      </w:r>
    </w:p>
    <w:p>
      <w:pPr>
        <w:spacing w:after="120"/>
      </w:pPr>
      <w:r>
        <w:rPr/>
        <w:t xml:space="preserve">Für die Haftung gelten die Regelungen des Service Agreement </w:t>
      </w:r>
      <w:r>
        <w:rPr>
          <w:b/>
          <w:color w:val="C81E1E"/>
        </w:rPr>
        <w:t>{{SA_NUMMER}}</w:t>
      </w:r>
      <w:r>
        <w:rPr/>
        <w:t xml:space="preserve"> (§10) entsprechend. Im Innenverhältnis haftet jede Partei für von ihr verursachte Datenschutzverstöße im Rahmen der gesetzlichen Bestimmungen.</w:t>
      </w:r>
    </w:p>
    <w:p>
      <w:pPr>
        <w:pStyle w:val="Heading1"/>
        <w:spacing w:after="150" w:before="300"/>
      </w:pPr>
      <w:r>
        <w:t xml:space="preserve">§13 Schlussbestimmungen</w:t>
      </w:r>
    </w:p>
    <w:p>
      <w:pPr>
        <w:pStyle w:val="ListParagraph"/>
        <w:numPr>
          <w:ilvl w:val="0"/>
          <w:numId w:val="1"/>
        </w:numPr>
        <w:spacing w:after="60"/>
      </w:pPr>
      <w:r>
        <w:t xml:space="preserve">Es gilt deutsches Recht. Gerichtsstand ist Koblenz.</w:t>
      </w:r>
    </w:p>
    <w:p>
      <w:pPr>
        <w:pStyle w:val="ListParagraph"/>
        <w:numPr>
          <w:ilvl w:val="0"/>
          <w:numId w:val="1"/>
        </w:numPr>
        <w:spacing w:after="60"/>
      </w:pPr>
      <w:r>
        <w:t xml:space="preserve">Änderungen und Ergänzungen dieses Vertrags bedürfen der Textform.</w:t>
      </w:r>
    </w:p>
    <w:p>
      <w:pPr>
        <w:pStyle w:val="ListParagraph"/>
        <w:numPr>
          <w:ilvl w:val="0"/>
          <w:numId w:val="1"/>
        </w:numPr>
        <w:spacing w:after="60"/>
      </w:pPr>
      <w:r>
        <w:t xml:space="preserve">Sollten einzelne Bestimmungen unwirksam sein, bleibt der Vertrag im Übrigen wirksam.</w:t>
      </w:r>
    </w:p>
    <w:p>
      <w:pPr>
        <w:pStyle w:val="ListParagraph"/>
        <w:numPr>
          <w:ilvl w:val="0"/>
          <w:numId w:val="1"/>
        </w:numPr>
        <w:spacing w:after="60"/>
      </w:pPr>
      <w:r>
        <w:rPr/>
        <w:t xml:space="preserve">Bei Widersprüchen zwischen diesem AVV und dem Service Agreement </w:t>
      </w:r>
      <w:r>
        <w:rPr>
          <w:b/>
          <w:color w:val="C81E1E"/>
        </w:rPr>
        <w:t>{{SA_NUMMER}}</w:t>
      </w:r>
      <w:r>
        <w:rPr/>
        <w:t xml:space="preserve"> hat dieser AVV in datenschutzrechtlichen Fragen Vorrang.</w:t>
      </w:r>
    </w:p>
    <w:p>
      <w:pPr>
        <w:spacing w:after="600"/>
      </w:pPr>
    </w:p>
    <w:tbl>
      <w:tblPr>
        <w:tblW w:type="dxa" w:w="9000"/>
        <w:tblBorders>
          <w:top w:val="none"/>
          <w:left w:val="none"/>
          <w:bottom w:val="none"/>
          <w:right w:val="none"/>
          <w:insideH w:val="none"/>
          <w:insideV w:val="none"/>
        </w:tblBorders>
      </w:tblPr>
      <w:tblGrid>
        <w:gridCol w:w="100"/>
        <w:gridCol w:w="100"/>
      </w:tblGrid>
      <w:tr>
        <w:tc>
          <w:tcPr>
            <w:tcW w:type="dxa" w:w="4500"/>
          </w:tcPr>
          <w:p>
            <w:pPr>
              <w:spacing w:after="200"/>
            </w:pPr>
            <w:r>
              <w:t xml:space="preserve">AUFTRAGNEHMER</w:t>
            </w:r>
          </w:p>
          <w:p>
            <w:r>
              <w:t xml:space="preserve">Kevin Ritz · Ritz AI Solutions</w:t>
            </w:r>
          </w:p>
          <w:p>
            <w:r>
              <w:rPr/>
            </w:r>
          </w:p>
          <w:p>
            <w:pPr>
              <w:spacing w:before="400"/>
            </w:pPr>
            <w:r>
              <w:rPr/>
              <w:t xml:space="preserve">Koblenz, den ______________ </w:t>
            </w:r>
            <w:r>
              <w:rPr>
                <w:b/>
                <w:color w:val="C81E1E"/>
              </w:rPr>
              <w:t>{{JAHR}}</w:t>
            </w:r>
            <w:r>
              <w:rPr/>
              <w:t xml:space="preserve"> · Unterschrift</w:t>
            </w:r>
          </w:p>
        </w:tc>
        <w:tc>
          <w:tcPr>
            <w:tcW w:type="dxa" w:w="4500"/>
          </w:tcPr>
          <w:p>
            <w:pPr>
              <w:spacing w:after="200"/>
            </w:pPr>
            <w:r>
              <w:t xml:space="preserve">VERANTWORTLICHER</w:t>
            </w:r>
          </w:p>
          <w:p>
            <w:r>
              <w:rPr>
                <w:b/>
                <w:color w:val="C81E1E"/>
              </w:rPr>
              <w:t>{{KUNDE_GESCHAEFTSFUEHRER}}</w:t>
            </w:r>
            <w:r>
              <w:rPr/>
              <w:t xml:space="preserve"> · </w:t>
            </w:r>
            <w:r>
              <w:rPr>
                <w:b/>
                <w:color w:val="C81E1E"/>
              </w:rPr>
              <w:t>{{KUNDE_FIRMA}}</w:t>
            </w:r>
          </w:p>
          <w:p>
            <w:r>
              <w:rPr/>
            </w:r>
          </w:p>
          <w:p>
            <w:pPr>
              <w:spacing w:before="400"/>
            </w:pPr>
            <w:r>
              <w:rPr>
                <w:b/>
                <w:color w:val="C81E1E"/>
              </w:rPr>
              <w:t>{{KUNDE_ORT}}</w:t>
            </w:r>
            <w:r>
              <w:rPr>
                <w:b/>
                <w:color w:val="C81E1E"/>
              </w:rPr>
              <w:t xml:space="preserve">, den ______________ </w:t>
            </w:r>
            <w:r>
              <w:rPr>
                <w:b/>
                <w:color w:val="C81E1E"/>
              </w:rPr>
              <w:t>{{JAHR}}</w:t>
            </w:r>
            <w:r>
              <w:rPr>
                <w:b/>
                <w:color w:val="C81E1E"/>
              </w:rPr>
              <w:t xml:space="preserve"> · Unterschrift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B746B"/>
        <w:sz w:val="14"/>
        <w:szCs w:val="14"/>
      </w:rPr>
      <w:t xml:space="preserve">Ritz AI Solutions · Von-Cohausenstraße 9 · 56076 Koblenz · kevin@ritz-ai.solutions · +49 151 2975 5134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7B746B"/>
        <w:sz w:val="16"/>
        <w:szCs w:val="16"/>
      </w:rPr>
      <w:t xml:space="preserve">RAIS · Ritz AI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2026-07-07T12:05:25.240Z</dcterms:created>
  <dcterms:modified xsi:type="dcterms:W3CDTF">2026-07-07T12:05:25.260Z</dcterms:modified>
</cp:coreProperties>
</file>

<file path=docProps/custom.xml><?xml version="1.0" encoding="utf-8"?>
<Properties xmlns="http://schemas.openxmlformats.org/officeDocument/2006/custom-properties" xmlns:vt="http://schemas.openxmlformats.org/officeDocument/2006/docPropsVTypes"/>
</file>