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EC6A37"/>
          <w:sz w:val="20"/>
          <w:szCs w:val="20"/>
        </w:rPr>
        <w:t xml:space="preserve">RAIS</w:t>
      </w:r>
    </w:p>
    <w:p>
      <w:pPr>
        <w:spacing w:after="400"/>
        <w:jc w:val="center"/>
      </w:pPr>
      <w:r>
        <w:rPr>
          <w:b/>
          <w:bCs/>
          <w:color w:val="7B746B"/>
          <w:sz w:val="16"/>
          <w:szCs w:val="16"/>
        </w:rPr>
        <w:t xml:space="preserve">RITZ AI SOLUTIONS</w:t>
      </w:r>
    </w:p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Service Agreement</w:t>
      </w:r>
    </w:p>
    <w:p>
      <w:pPr>
        <w:spacing w:after="40"/>
        <w:jc w:val="center"/>
      </w:pPr>
      <w:r>
        <w:rPr>
          <w:sz w:val="20"/>
        </w:rPr>
        <w:t xml:space="preserve">Datum: </w:t>
      </w:r>
      <w:r>
        <w:rPr>
          <w:b/>
          <w:color w:val="C81E1E"/>
          <w:sz w:val="20"/>
        </w:rPr>
        <w:t>{{VERTRAGSDATUM}}</w:t>
      </w:r>
    </w:p>
    <w:p>
      <w:pPr>
        <w:spacing w:after="40"/>
        <w:jc w:val="center"/>
      </w:pPr>
      <w:r>
        <w:rPr>
          <w:sz w:val="20"/>
        </w:rPr>
        <w:t xml:space="preserve">Vertragsnummer: </w:t>
      </w:r>
      <w:r>
        <w:rPr>
          <w:b/>
          <w:color w:val="C81E1E"/>
          <w:sz w:val="20"/>
        </w:rPr>
        <w:t>{{SA_NUMMER}}</w:t>
      </w:r>
    </w:p>
    <w:p>
      <w:pPr>
        <w:spacing w:after="400"/>
        <w:jc w:val="center"/>
      </w:pPr>
      <w:r>
        <w:rPr>
          <w:color w:val="7B746B"/>
          <w:sz w:val="20"/>
          <w:szCs w:val="20"/>
        </w:rPr>
        <w:t xml:space="preserve">Gültig ab Unterzeichnung</w:t>
      </w:r>
    </w:p>
    <w:p>
      <w:pPr>
        <w:spacing w:after="60"/>
        <w:jc w:val="center"/>
      </w:pPr>
      <w:r>
        <w:rPr>
          <w:b/>
          <w:sz w:val="24"/>
        </w:rPr>
        <w:t xml:space="preserve">Service Agreement — </w:t>
      </w:r>
      <w:r>
        <w:rPr>
          <w:b/>
          <w:color w:val="C81E1E"/>
          <w:sz w:val="24"/>
        </w:rPr>
        <w:t>{{PAKET_NAME}}</w:t>
      </w:r>
    </w:p>
    <w:p>
      <w:pPr>
        <w:spacing w:after="400"/>
        <w:jc w:val="center"/>
      </w:pPr>
      <w:r>
        <w:rPr>
          <w:color w:val="7B746B"/>
          <w:sz w:val="20"/>
        </w:rPr>
        <w:t xml:space="preserve">KI-gestützte IS24-Anfragenqualifizierung, Terminbuchung &amp; Übersichts-Dashboard · </w:t>
      </w:r>
      <w:r>
        <w:rPr>
          <w:b/>
          <w:color w:val="C81E1E"/>
          <w:sz w:val="20"/>
        </w:rPr>
        <w:t>{{KUNDE_FIRMA}}</w:t>
      </w:r>
    </w:p>
    <w:p>
      <w:pPr>
        <w:pStyle w:val="Heading2"/>
        <w:spacing w:after="100" w:before="240"/>
      </w:pPr>
      <w:r>
        <w:t xml:space="preserve">Auftragnehmer</w:t>
      </w:r>
    </w:p>
    <w:p>
      <w:pPr>
        <w:spacing w:after="120"/>
      </w:pPr>
      <w:r>
        <w:t xml:space="preserve">Ritz AI Solutions</w:t>
      </w:r>
    </w:p>
    <w:p>
      <w:pPr>
        <w:spacing w:after="120"/>
      </w:pPr>
      <w:r>
        <w:t xml:space="preserve">Inhaber: Kevin Ritz</w:t>
      </w:r>
    </w:p>
    <w:p>
      <w:pPr>
        <w:spacing w:after="120"/>
      </w:pPr>
      <w:r>
        <w:t xml:space="preserve">Von-Cohausenstraße 9, 56076 Koblenz</w:t>
      </w:r>
    </w:p>
    <w:p>
      <w:pPr>
        <w:spacing w:after="120"/>
      </w:pPr>
      <w:r>
        <w:t xml:space="preserve">kevin@ritz-ai.solutions · +49 151 2975 5134</w:t>
      </w:r>
    </w:p>
    <w:p>
      <w:pPr>
        <w:spacing w:after="120"/>
      </w:pPr>
      <w:r>
        <w:t xml:space="preserve">St.-Nr.: 22/139/34062</w:t>
      </w:r>
    </w:p>
    <w:p>
      <w:pPr>
        <w:pStyle w:val="Heading2"/>
        <w:spacing w:after="100" w:before="240"/>
      </w:pPr>
      <w:r>
        <w:t xml:space="preserve">Auftraggeber</w:t>
      </w:r>
    </w:p>
    <w:p>
      <w:pPr>
        <w:spacing w:after="120"/>
      </w:pPr>
      <w:r>
        <w:rPr>
          <w:b/>
          <w:color w:val="C81E1E"/>
        </w:rPr>
        <w:t>{{KUNDE_FIRMA}}</w:t>
      </w:r>
    </w:p>
    <w:p>
      <w:pPr>
        <w:spacing w:after="120"/>
      </w:pPr>
      <w:r>
        <w:rPr>
          <w:b/>
          <w:color w:val="C81E1E"/>
        </w:rPr>
        <w:t>{{KUNDE_ANSCHRIFT}}</w:t>
      </w:r>
    </w:p>
    <w:p>
      <w:pPr>
        <w:spacing w:after="120"/>
      </w:pPr>
      <w:r>
        <w:rPr/>
        <w:t xml:space="preserve">Geschäftsführer: </w:t>
      </w:r>
      <w:r>
        <w:rPr>
          <w:b/>
          <w:color w:val="C81E1E"/>
        </w:rPr>
        <w:t>{{KUNDE_GESCHAEFTSFUEHRER}}</w:t>
      </w:r>
    </w:p>
    <w:p>
      <w:pPr>
        <w:spacing w:after="120"/>
      </w:pPr>
      <w:r>
        <w:rPr/>
        <w:t xml:space="preserve">Ansprechpartner Tagesgeschäft: </w:t>
      </w:r>
      <w:r>
        <w:rPr>
          <w:b/>
          <w:color w:val="C81E1E"/>
        </w:rPr>
        <w:t>{{KUNDE_ANSPRECHPARTNER}}</w:t>
      </w:r>
    </w:p>
    <w:p>
      <w:pPr>
        <w:pStyle w:val="Heading1"/>
        <w:spacing w:after="150" w:before="300"/>
      </w:pPr>
      <w:r>
        <w:t xml:space="preserve">§1 Vertragsgegenstand</w:t>
      </w:r>
    </w:p>
    <w:p>
      <w:pPr>
        <w:spacing w:after="120"/>
      </w:pPr>
      <w:r>
        <w:rPr/>
        <w:t xml:space="preserve">Ritz AI Solutions (nachfolgend "Auftragnehmer") erbringt für die </w:t>
      </w:r>
      <w:r>
        <w:rPr>
          <w:b/>
          <w:color w:val="C81E1E"/>
        </w:rPr>
        <w:t>{{KUNDE_FIRMA}}</w:t>
      </w:r>
      <w:r>
        <w:rPr/>
        <w:t xml:space="preserve"> (nachfolgend "Auftraggeber") eine Implementierungs- und Betriebsleistung gemäß Angebot </w:t>
      </w:r>
      <w:r>
        <w:rPr>
          <w:b/>
          <w:color w:val="C81E1E"/>
        </w:rPr>
        <w:t>{{ANGEBOT_NUMMER}}</w:t>
      </w:r>
      <w:r>
        <w:rPr/>
        <w:t xml:space="preserve"> vom </w:t>
      </w:r>
      <w:r>
        <w:rPr>
          <w:b/>
          <w:color w:val="C81E1E"/>
        </w:rPr>
        <w:t>{{ANGEBOTSDATUM}}</w:t>
      </w:r>
      <w:r>
        <w:rPr/>
        <w:t xml:space="preserve"> ("</w:t>
      </w:r>
      <w:r>
        <w:rPr>
          <w:b/>
          <w:color w:val="C81E1E"/>
        </w:rPr>
        <w:t>{{PAKET_NAME}}</w:t>
      </w:r>
      <w:r>
        <w:rPr/>
        <w:t>"). Der Auftragnehmer richtet ein System zur automatischen Qualifizierung eingehender IS24-Anfragen, Terminbuchung und Kalenderintegration ein und betreibt dieses laufend auf eigener Infrastruktur (Infrastructure as a Service).</w:t>
      </w:r>
    </w:p>
    <w:p>
      <w:pPr>
        <w:spacing w:after="120"/>
      </w:pPr>
      <w:r>
        <w:t xml:space="preserve">Der Auftraggeber erhält Zugriff auf das Ergebnis der Verarbeitung; der Auftragnehmer betreibt und wartet die zugrundeliegende Automatisierung (n8n, Datenbank, Dashboard) selbst.</w:t>
      </w:r>
    </w:p>
    <w:p>
      <w:pPr>
        <w:pStyle w:val="Heading1"/>
        <w:spacing w:after="150" w:before="300"/>
      </w:pPr>
      <w:r>
        <w:t xml:space="preserve">§2 Leistungsumfang</w:t>
      </w:r>
    </w:p>
    <w:p>
      <w:pPr>
        <w:pStyle w:val="Heading2"/>
        <w:spacing w:after="100" w:before="240"/>
      </w:pPr>
      <w:r>
        <w:t xml:space="preserve">Enthalten in Paket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Automatische Verarbeitung aller IS24-Anfragen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Kauf-/Miete-Erkennung, automatische Rückfrage bei fehlenden Angaben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Personalisierter Terminbuchungslink (LP1)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Direkte Outlook-Kalenderintegration (Microsoft Graph 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Automatische Bestätigungs-E-Mail an Interessenten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Übersichts-Dashboard mit Inseraten und Anfragen pro Objekt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Manuelle Terminerfassung im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Intelligente Datenbanksuche über alle Leads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DSGVO-konforme Infrastruktur, ausschließlich EU-Server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Betrieb der gesamten Infrastruktur durch den Auftragnehmer</w:t>
      </w:r>
    </w:p>
    <w:p>
      <w:pPr>
        <w:pStyle w:val="Heading2"/>
        <w:spacing w:after="100" w:before="240"/>
      </w:pPr>
      <w:r>
        <w:t xml:space="preserve">Nicht enthalten (separat zu vereinbaren)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LP2 Besichtigungstermin-Buchung (Paket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LP3 Digitale Mieterselbstauskunft (Paket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MSA-Vergleichsansicht (Paket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weiterer Portale außer IS24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Datenmigration aus bestehenden Systemen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Schulungen über die Einweisung (60 Min.) hinaus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Rechtliche Prüfung von Verträgen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Mehr als 1 Revision pro Lieferabschnitt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Änderungen nach Go-Live außerhalb des Retainer-Umfangs (§3)</w:t>
      </w:r>
    </w:p>
    <w:p>
      <w:pPr>
        <w:spacing w:after="120"/>
      </w:pPr>
      <w:r>
        <w:t xml:space="preserve">Paket 2 (LP2, LP3, MSA-Vergleich, digitale Mieterselbstauskunft, DSGVO-Infrastruktur-Erweiterung) wird nach stabilem Go-Live von Paket 1 gesondert angeboten. Preis auf Anfrage nach Go-Live — kein Commitment im Rahmen dieses Vertrags.</w:t>
      </w:r>
    </w:p>
    <w:p>
      <w:pPr>
        <w:pStyle w:val="Heading1"/>
        <w:spacing w:after="150" w:before="300"/>
      </w:pPr>
      <w:r>
        <w:t xml:space="preserve">§3 Retainer-Leistungen (monatlich)</w:t>
      </w:r>
    </w:p>
    <w:p>
      <w:pPr>
        <w:spacing w:after="120"/>
      </w:pPr>
      <w:r>
        <w:t xml:space="preserve">Im monatlichen Retainer (§4) enthalten: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Hosting: Vercel + Hostinger VPS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API-Kosten im Standard-Volumen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und Fehlererkennung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Fehlerbehebung gemäß Service Level Agreement (unten)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Kleinanpassungen bis 1 Stunde/Monat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IS24 E-Mail-Sync (laufend)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Outlook-Kalender-Sync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werktags gemäß SLA</w:t>
      </w:r>
    </w:p>
    <w:p>
      <w:pPr>
        <w:pStyle w:val="Heading2"/>
        <w:spacing w:after="100" w:before="240"/>
      </w:pPr>
      <w:r>
        <w:t xml:space="preserve">Service Level Agreement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c>
          <w:tcPr>
            <w:tcW w:type="dxa" w:w="36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Vorfalltyp</w:t>
            </w:r>
          </w:p>
        </w:tc>
        <w:tc>
          <w:tcPr>
            <w:tcW w:type="dxa" w:w="27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Reaktion</w:t>
            </w:r>
          </w:p>
        </w:tc>
        <w:tc>
          <w:tcPr>
            <w:tcW w:type="dxa" w:w="27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Behebung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komplett ausgefallen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Stunden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Stunden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Einzelne Funktion fehlerhaft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Stunden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 Stunden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Kleinere Anzeigefehler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 Stunden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Werktage</w:t>
            </w:r>
          </w:p>
        </w:tc>
      </w:tr>
    </w:tbl>
    <w:p>
      <w:pPr>
        <w:pStyle w:val="Heading1"/>
        <w:spacing w:after="150" w:before="300"/>
      </w:pPr>
      <w:r>
        <w:t xml:space="preserve">§4 Preis und Zahlungsstruktur</w:t>
      </w:r>
    </w:p>
    <w:p>
      <w:pPr>
        <w:pStyle w:val="Heading2"/>
        <w:spacing w:after="100" w:before="240"/>
      </w:pPr>
      <w:r>
        <w:t xml:space="preserve">Setup (einmalig)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00"/>
        <w:gridCol w:w="1500"/>
      </w:tblGrid>
      <w:tr>
        <w:tc>
          <w:tcPr>
            <w:tcW w:type="dxa" w:w="42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Meilenstein</w:t>
            </w:r>
          </w:p>
        </w:tc>
        <w:tc>
          <w:tcPr>
            <w:tcW w:type="dxa" w:w="33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Zeitpunkt</w:t>
            </w:r>
          </w:p>
        </w:tc>
        <w:tc>
          <w:tcPr>
            <w:tcW w:type="dxa" w:w="15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Betrag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Zahlung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Bei Vertragsunterzeichnung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C81E1E"/>
                <w:sz w:val="18"/>
              </w:rPr>
              <w:t>{{ANZAHLUNG_BETRAG}}</w:t>
            </w:r>
            <w:r>
              <w:rPr>
                <w:b w:val="0"/>
                <w:sz w:val="18"/>
              </w:rPr>
              <w:t xml:space="preserve"> Euro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Zahlung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Bei Go-Live, binnen 48 Stunden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C81E1E"/>
                <w:sz w:val="18"/>
              </w:rPr>
              <w:t>{{SCHLUSSZAHLUNG_BETRAG}}</w:t>
            </w:r>
            <w:r>
              <w:rPr>
                <w:b w:val="0"/>
                <w:sz w:val="18"/>
              </w:rPr>
              <w:t xml:space="preserve"> Euro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Gesamt Setup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color w:val="C81E1E"/>
                <w:sz w:val="18"/>
              </w:rPr>
              <w:t>{{SETUP_GESAMT}}</w:t>
            </w:r>
            <w:r>
              <w:rPr>
                <w:b w:val="0"/>
                <w:sz w:val="18"/>
              </w:rPr>
              <w:t xml:space="preserve"> Euro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Monatlicher Retainer</w:t>
      </w:r>
    </w:p>
    <w:p>
      <w:pPr>
        <w:spacing w:after="60"/>
      </w:pPr>
      <w:r>
        <w:rPr>
          <w:b/>
        </w:rPr>
        <w:t xml:space="preserve">Betrag: </w:t>
      </w:r>
      <w:r>
        <w:rPr>
          <w:b/>
          <w:color w:val="C81E1E"/>
        </w:rPr>
        <w:t>{{RETAINER_BETRAG}}</w:t>
      </w:r>
      <w:r>
        <w:rPr>
          <w:b/>
        </w:rPr>
        <w:t xml:space="preserve"> Euro monatlich</w:t>
      </w:r>
    </w:p>
    <w:p>
      <w:pPr>
        <w:spacing w:after="60"/>
      </w:pPr>
      <w:r>
        <w:rPr>
          <w:b/>
        </w:rPr>
        <w:t xml:space="preserve">Mindestlaufzeit: </w:t>
      </w:r>
      <w:r>
        <w:rPr>
          <w:b/>
          <w:color w:val="C81E1E"/>
        </w:rPr>
        <w:t>{{MINDESTLAUFZEIT}}</w:t>
      </w:r>
      <w:r>
        <w:rPr>
          <w:b/>
        </w:rPr>
        <w:t xml:space="preserve"> ab Go-Live</w:t>
      </w:r>
    </w:p>
    <w:p>
      <w:pPr>
        <w:spacing w:after="120"/>
      </w:pPr>
      <w:r>
        <w:t xml:space="preserve">Der Retainer wird nicht als Gesamtbetrag der Mindestlaufzeit in Rechnung gestellt, sondern monatlich per SEPA-Lastschrift über den Zahlungsdienstleister Stripe eingezogen (Regelabbuchung). Der Auftraggeber erteilt hierzu ein SEPA-Lastschriftmandat. Die erste Abbuchung erfolgt mit Go-Live, danach monatlich im Voraus jeweils zu Beginn des Leistungsmonats. Jede Abbuchung wird im Rahmen der über Stripe versendeten Vorabinformation angekündigt.</w:t>
      </w:r>
    </w:p>
    <w:p>
      <w:pPr>
        <w:spacing w:after="120"/>
      </w:pPr>
      <w:r>
        <w:t xml:space="preserve">Nach Ablauf der Mindestlaufzeit verlängert sich der Retainer automatisch um jeweils 1 Monat, sofern nicht mit einer Frist von 30 Tagen zum Laufzeitende gekündigt wird.</w:t>
      </w:r>
    </w:p>
    <w:p>
      <w:pPr>
        <w:spacing w:after="120"/>
      </w:pPr>
      <w:r>
        <w:rPr/>
        <w:t xml:space="preserve">Die Reduktion des Standard-Retainers (500 Euro/Monat gemäß Preisliste) auf </w:t>
      </w:r>
      <w:r>
        <w:rPr>
          <w:b/>
          <w:color w:val="C81E1E"/>
        </w:rPr>
        <w:t>{{RETAINER_BETRAG}}</w:t>
      </w:r>
      <w:r>
        <w:rPr/>
        <w:t xml:space="preserve"> Euro/Monat wurde dem Auftraggeber auf dessen Wunsch im Austausch für die </w:t>
      </w:r>
      <w:r>
        <w:rPr>
          <w:b/>
          <w:color w:val="C81E1E"/>
        </w:rPr>
        <w:t>{{MINDESTLAUFZEIT}}</w:t>
      </w:r>
      <w:r>
        <w:rPr/>
        <w:t xml:space="preserve"> Mindestlaufzeit gewährt und gilt ausschließlich für die Laufzeit dieses Vertrags. [Absatz entfernen, falls Standardpreis ohne Rabatt vereinbart wird.]</w:t>
      </w:r>
    </w:p>
    <w:p>
      <w:pPr>
        <w:spacing w:after="120"/>
      </w:pPr>
      <w:r>
        <w:t xml:space="preserve">Der Auftragnehmer ist Kleinunternehmer im Sinne des §19 UStG; es wird keine Umsatzsteuer erhoben oder ausgewiesen. Alle in diesem Vertrag genannten Beträge sind Endbeträge, eine Umsatzsteuer wird nicht zusätzlich berechnet. Die Setup-Zahlungen erfolgen per SEPA-Überweisung oder über einen Stripe-Zahlungslink (SEPA-Lastschrift oder Karte), Fälligkeit 14 Tage nach Rechnungsstellung; der monatliche Retainer wird per SEPA-Lastschrift über Stripe eingezogen.</w:t>
      </w:r>
    </w:p>
    <w:p>
      <w:pPr>
        <w:spacing w:after="120"/>
      </w:pPr>
      <w:r>
        <w:rPr/>
        <w:t xml:space="preserve">Die 1. Zahlung (Anzahlung, </w:t>
      </w:r>
      <w:r>
        <w:rPr>
          <w:b/>
          <w:color w:val="C81E1E"/>
        </w:rPr>
        <w:t>{{ANZAHLUNG_BETRAG}}</w:t>
      </w:r>
      <w:r>
        <w:rPr/>
        <w:t xml:space="preserve"> Euro) ist eine Aufwandsentschädigung für Projektbindung und Projektstart. Bricht der Auftraggeber das Projekt nach Eingang der 1. Zahlung, jedoch vor Go-Live ab, ist die Anzahlung nicht erstattungsfähig; bis dahin erbrachte Leistungen verbleiben beim Auftragnehmer.</w:t>
      </w:r>
    </w:p>
    <w:p>
      <w:pPr>
        <w:spacing w:after="120"/>
      </w:pPr>
      <w:r>
        <w:t xml:space="preserve">Die Implementierungsarbeiten beginnen erst nach Eingang der 1. Zahlung. Kein Projektstart ohne erste Zahlung.</w:t>
      </w:r>
    </w:p>
    <w:p>
      <w:pPr>
        <w:pStyle w:val="Heading1"/>
        <w:spacing w:after="150" w:before="300"/>
      </w:pPr>
      <w:r>
        <w:t xml:space="preserve">§5 Mitwirkungspflichten des Auftraggebers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200"/>
      </w:tblGrid>
      <w:tr>
        <w:tc>
          <w:tcPr>
            <w:tcW w:type="dxa" w:w="42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26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Stichtag</w:t>
            </w:r>
          </w:p>
        </w:tc>
        <w:tc>
          <w:tcPr>
            <w:tcW w:type="dxa" w:w="2200"/>
            <w:shd w:fill="2F2A2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Konsequenz bei Verzug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Outlook OAuth-Zugang (Microsoft 365)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Werktag 3 nach Anzahlung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Go-Live verschiebt sich täglich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IS24 E-Mail-Weiterleitung + DNS/Postfach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Werktag 3 nach Anzahlung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nicht testbar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E-Mail-Adressen aller Dashboard-Nutzer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Werktag 3 nach Anzahlung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Zugänge nicht anlegbar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0"/>
                <w:sz w:val="18"/>
              </w:rPr>
              <w:t xml:space="preserve">Verfügbarkeit </w:t>
            </w:r>
            <w:r>
              <w:rPr>
                <w:b/>
                <w:color w:val="C81E1E"/>
                <w:sz w:val="18"/>
              </w:rPr>
              <w:t>{{KUNDE_ANSPRECHPARTNER}}</w:t>
            </w:r>
            <w:r>
              <w:rPr>
                <w:b w:val="0"/>
                <w:sz w:val="18"/>
              </w:rPr>
              <w:t xml:space="preserve"> (max. 48h Reaktion)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Laufend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Abnahmefristen verlängern sich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3–5 echte IS24-Testanfragen zur Kalibrierung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Ende Woche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Kalibrierung mit Beispieldaten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Verzögerungen, die durch fehlende Mitwirkungsleistungen des Auftraggebers entstehen, verschieben den Go-Live-Termin entsprechend und begründen keinen Anspruch des Auftraggebers gegen den Auftragnehmer.</w:t>
      </w:r>
    </w:p>
    <w:p>
      <w:pPr>
        <w:pStyle w:val="Heading1"/>
        <w:spacing w:after="150" w:before="300"/>
      </w:pPr>
      <w:r>
        <w:t xml:space="preserve">§6 Zeitplan</w:t>
      </w:r>
    </w:p>
    <w:p>
      <w:pPr>
        <w:spacing w:after="60"/>
      </w:pPr>
      <w:r>
        <w:rPr>
          <w:b/>
          <w:bCs/>
        </w:rPr>
        <w:t xml:space="preserve">Woche 1: </w:t>
      </w:r>
      <w:r>
        <w:t xml:space="preserve">Kickoff und Setup — Zugangsdaten, Outlook OAuth, DNS/Postfach-Konfiguration, Datenbankstruktur</w:t>
      </w:r>
    </w:p>
    <w:p>
      <w:pPr>
        <w:spacing w:after="60"/>
      </w:pPr>
      <w:r>
        <w:rPr>
          <w:b/>
          <w:bCs/>
        </w:rPr>
        <w:t xml:space="preserve">Woche 2: </w:t>
      </w:r>
      <w:r>
        <w:t xml:space="preserve">Entwicklung Kernfunktionen — Qualifizierungs-Pipeline, LP1, Dashboard, Testlauf mit echten Kundendaten</w:t>
      </w:r>
    </w:p>
    <w:p>
      <w:pPr>
        <w:spacing w:after="60"/>
      </w:pPr>
      <w:r>
        <w:rPr>
          <w:b/>
          <w:bCs/>
        </w:rPr>
        <w:t xml:space="preserve">Woche 3: </w:t>
      </w:r>
      <w:r>
        <w:t xml:space="preserve">Dashboard und Integration — Verbindung aller Komponenten, End-to-End-Tests</w:t>
      </w:r>
    </w:p>
    <w:p>
      <w:pPr>
        <w:spacing w:after="60"/>
      </w:pPr>
      <w:r>
        <w:rPr>
          <w:b/>
          <w:bCs/>
        </w:rPr>
        <w:t xml:space="preserve">Woche 4: </w:t>
      </w:r>
      <w:r>
        <w:t xml:space="preserve">Testing und Go-Live — Fehlerbehebung, Einweisung (60 Min.), Live-Schaltung</w:t>
      </w:r>
    </w:p>
    <w:p>
      <w:pPr>
        <w:pStyle w:val="Heading1"/>
        <w:spacing w:after="150" w:before="300"/>
      </w:pPr>
      <w:r>
        <w:t xml:space="preserve">§7 Referenz</w:t>
      </w:r>
    </w:p>
    <w:p>
      <w:pPr>
        <w:spacing w:after="120"/>
      </w:pPr>
      <w:r>
        <w:rPr/>
        <w:t xml:space="preserve">Die </w:t>
      </w:r>
      <w:r>
        <w:rPr>
          <w:b/>
          <w:color w:val="C81E1E"/>
        </w:rPr>
        <w:t>{{KUNDE_FIRMA}}</w:t>
      </w:r>
      <w:r>
        <w:rPr/>
        <w:t xml:space="preserve"> gestattet die öffentliche Referenzierung des Projekts (Website, LinkedIn, Kundenpräsentationen). Eine schriftliche Bewertung ist nicht verpflichtend.</w:t>
      </w:r>
    </w:p>
    <w:p>
      <w:pPr>
        <w:pStyle w:val="Heading1"/>
        <w:spacing w:after="150" w:before="300"/>
      </w:pPr>
      <w:r>
        <w:t xml:space="preserve">§8 Nutzungsrechte</w:t>
      </w:r>
    </w:p>
    <w:p>
      <w:pPr>
        <w:spacing w:after="120"/>
      </w:pPr>
      <w:r>
        <w:t xml:space="preserve">Mit vollständiger Zahlung erhält der Auftraggeber unbefristete, nicht-exklusive Nutzungsrechte an den für ihn erzeugten Ergebnissen des Systems (Dashboard-Daten, Auswertungen). Der Quellcode der n8n-Workflows und des Dashboards verbleibt im Eigentum des Auftragnehmers.</w:t>
      </w:r>
    </w:p>
    <w:p>
      <w:pPr>
        <w:pStyle w:val="Heading1"/>
        <w:spacing w:after="150" w:before="300"/>
      </w:pPr>
      <w:r>
        <w:t xml:space="preserve">§9 Datenschutz</w:t>
      </w:r>
    </w:p>
    <w:p>
      <w:pPr>
        <w:spacing w:after="120"/>
      </w:pPr>
      <w:r>
        <w:t xml:space="preserve">Ein Auftragsverarbeitungsvertrag (AVV) gemäß Art. 28 DSGVO wird vor Go-Live gesondert unterzeichnet. Alle Daten werden ausschließlich auf EU-Servern verarbeitet und gespeichert (Hostinger, Vilnius/Litauen; Supabase, Frankfurt; Vercel, EU Edge; Resend, EU; Microsoft Graph API, EU).</w:t>
      </w:r>
    </w:p>
    <w:p>
      <w:pPr>
        <w:pStyle w:val="Heading1"/>
        <w:spacing w:after="150" w:before="300"/>
      </w:pPr>
      <w:r>
        <w:t xml:space="preserve">§10 Haftungsbeschränkung</w:t>
      </w:r>
    </w:p>
    <w:p>
      <w:pPr>
        <w:spacing w:after="120"/>
      </w:pPr>
      <w:r>
        <w:t xml:space="preserve">Der Auftragnehmer haftet für Vorsatz und grobe Fahrlässigkeit. Für leichte Fahrlässigkeit haftet der Auftragnehmer nur bei Verletzung wesentlicher Vertragspflichten, begrenzt auf den Auftragswert des jeweils betroffenen Vertragsjahres.</w:t>
      </w:r>
    </w:p>
    <w:p>
      <w:pPr>
        <w:pStyle w:val="Heading1"/>
        <w:spacing w:after="150" w:before="300"/>
      </w:pPr>
      <w:r>
        <w:t xml:space="preserve">§11 Schlussbestimmungen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 gilt deutsches Recht. Gerichtsstand ist Koblenz.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Änderungen dieses Vertrags bedürfen der Schriftform.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Sollten einzelne Bestimmungen unwirksam sein, bleibt der Vertrag im Übrigen wirksam.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Dieser Vertrag ersetzt Angebot </w:t>
      </w:r>
      <w:r>
        <w:rPr>
          <w:b/>
          <w:color w:val="C81E1E"/>
        </w:rPr>
        <w:t>{{ANGEBOT_NUMMER}}</w:t>
      </w:r>
      <w:r>
        <w:rPr/>
        <w:t xml:space="preserve"> vom </w:t>
      </w:r>
      <w:r>
        <w:rPr>
          <w:b/>
          <w:color w:val="C81E1E"/>
        </w:rPr>
        <w:t>{{ANGEBOTSDATUM}}</w:t>
      </w:r>
      <w:r>
        <w:rPr/>
        <w:t xml:space="preserve"> sowie alle vorherigen mündlichen und schriftlichen Absprachen zum gleichen Gegenstand.</w:t>
      </w:r>
    </w:p>
    <w:p>
      <w:pPr>
        <w:spacing w:after="60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200"/>
            </w:pPr>
            <w:r>
              <w:t xml:space="preserve">AUFTRAGNEHMER</w:t>
            </w:r>
          </w:p>
          <w:p>
            <w:r>
              <w:t xml:space="preserve">Kevin Ritz · Ritz AI Solutions</w:t>
            </w:r>
          </w:p>
          <w:p>
            <w:pPr>
              <w:pBdr>
                <w:bottom w:val="single" w:sz="16" w:space="4" w:color="222222"/>
              </w:pBdr>
              <w:spacing w:before="1000"/>
            </w:pPr>
          </w:p>
          <w:p>
            <w:pPr>
              <w:spacing w:before="80"/>
            </w:pPr>
            <w:r>
              <w:rPr/>
              <w:t xml:space="preserve">Koblenz, den ______________ </w:t>
            </w:r>
            <w:r>
              <w:rPr>
                <w:b/>
                <w:color w:val="C81E1E"/>
              </w:rPr>
              <w:t>{{JAHR}}</w:t>
            </w:r>
            <w:r>
              <w:rPr/>
              <w:t xml:space="preserve"> · Unterschrift</w:t>
            </w:r>
          </w:p>
        </w:tc>
        <w:tc>
          <w:tcPr>
            <w:tcW w:type="dxa" w:w="4500"/>
          </w:tcPr>
          <w:p>
            <w:pPr>
              <w:spacing w:after="200"/>
            </w:pPr>
            <w:r>
              <w:t xml:space="preserve">AUFTRAGGEBER</w:t>
            </w:r>
          </w:p>
          <w:p>
            <w:r>
              <w:rPr>
                <w:b/>
                <w:color w:val="C81E1E"/>
              </w:rPr>
              <w:t>{{KUNDE_GESCHAEFTSFUEHRER}}</w:t>
            </w:r>
            <w:r>
              <w:rPr/>
              <w:t xml:space="preserve"> · </w:t>
            </w:r>
            <w:r>
              <w:rPr>
                <w:b/>
                <w:color w:val="C81E1E"/>
              </w:rPr>
              <w:t>{{KUNDE_FIRMA}}</w:t>
            </w:r>
          </w:p>
          <w:p>
            <w:pPr>
              <w:pBdr>
                <w:bottom w:val="single" w:sz="16" w:space="4" w:color="222222"/>
              </w:pBdr>
              <w:spacing w:before="1000"/>
            </w:pPr>
          </w:p>
          <w:p>
            <w:pPr>
              <w:spacing w:before="80"/>
            </w:pPr>
            <w:r>
              <w:rPr>
                <w:b/>
                <w:color w:val="C81E1E"/>
              </w:rPr>
              <w:t>{{KUNDE_ORT}}</w:t>
            </w:r>
            <w:r>
              <w:rPr/>
              <w:t xml:space="preserve">, den ______________ </w:t>
            </w:r>
            <w:r>
              <w:rPr>
                <w:b/>
                <w:color w:val="C81E1E"/>
              </w:rPr>
              <w:t>{{JAHR}}</w:t>
            </w:r>
            <w:r>
              <w:rPr/>
              <w:t xml:space="preserve"> · Unterschrift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746B"/>
        <w:sz w:val="14"/>
        <w:szCs w:val="14"/>
      </w:rPr>
      <w:t xml:space="preserve">Ritz AI Solutions · Von-Cohausenstraße 9 · 56076 Koblenz · kevin@ritz-ai.solutions · +49 151 2975 5134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B746B"/>
        <w:sz w:val="16"/>
        <w:szCs w:val="16"/>
      </w:rPr>
      <w:t xml:space="preserve">RAIS · Ritz AI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2026-07-07T11:55:53.487Z</dcterms:created>
  <dcterms:modified xsi:type="dcterms:W3CDTF">2026-07-07T11:55:53.487Z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