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Договор оказания образовательных услуг № ${t_user_id}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г. Шымкент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${t_date_create}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1"/>
          <w:szCs w:val="11"/>
        </w:rPr>
        <w:sectPr>
          <w:headerReference r:id="rId7" w:type="default"/>
          <w:footerReference r:id="rId8" w:type="default"/>
          <w:pgSz w:h="16838" w:w="11906"/>
          <w:pgMar w:bottom="284" w:top="284" w:left="567" w:right="567" w:header="340" w:footer="28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Учреждение Университет "Мирас", именуемый в дальнейшем </w:t>
      </w: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"Организация образования"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 (государственная лицензия серии АБ № 0137422, выданная Министерством образования и науки Республики Казахстан 03.02.2010 г.; Свидетельство о государственной регистрации  5329-1958 У-е от 28.05.1997г.), в лице президента Мырзалиева М.Б., действующего на основании Устава, с одной стороны и гражданин (-ка) ${t_fio}, именуемый (-ая) вдальнейшем </w:t>
      </w: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"Обучающийся"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 с другой стороны, и (или) ______________________ в лице _____________________, именуемый (-ая) в дальнейшем </w:t>
      </w: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"Заказчик",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 действующий на основании ____________ и в интересах гражданина(ки)_______________________, с другой стороны заключили настоящий Договор о нижеследующем: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1. Заказчик или Обучающийся поручает и оплачивает, а организация образования принимает на себя обязанность по организации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по направлению подготовки ${t_specialty}, соответствующей государственному общеобязательному стандарту образования Республики Казахстан с присвоением ему (ей) соответствующей квалификации и выдачей документа об образовании по прохождению итоговой аттестации и полной оплаты оказанных услуг.</w:t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2. ПРАВА И ОБЯЗАННОСТИ СТОРОН</w:t>
      </w:r>
    </w:p>
    <w:p w:rsidR="00000000" w:rsidDel="00000000" w:rsidP="00000000" w:rsidRDefault="00000000" w:rsidRPr="00000000" w14:paraId="0000000B">
      <w:pPr>
        <w:widowControl w:val="0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2. Организация образования обязуется: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принять обучающегося по итогам конкурса (или переводом из других организаций образования при условии погашения академической задолженности) в число обучающихся организации образования при условии внесения им или заказчиком (представителем) 100% предоплаты за образовательные услуги;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при заключении настоящего Договора ознакомить обучающегося с Уставом организации образования, лицензией на занятие образовательной деятельностью, правилами внутреннего распорядка и другими нормативно-правовыми актами, регламентирующими порядок приема в организации образования, а также основными документами по организации учебно-воспитательного процесса;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обеспечить обучение обучающегося в соответствии с требованиями Закона Республики Казахстан «Об образовании»;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определить объем учебной нагрузки и режим занятий обучающегося с перерывами в соответствии с существующими нормативами, создать здоровые, безопасные условия обучения обучающегося;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обеспечить свободный доступ и пользование информационными ресурсами библиотек организации образования, учебниками, учебно-методическими комплексами и учебно-методическими пособиями;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предоставить обучающемуся возможность пользования компьютерной техникой для выполнения заданий в рамках учебных программ, в порядке и на условиях, предусмотренных отдельными положениями, утвержденными руководителем организации образования;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организовать прохождение профессиональной практики обучающемуся в соответствии с учебным планом организации образования;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отчислять и восстанавливать обучающегося в число обучающихся по его заявлению в порядке, установленном нормативными правовыми актами Министерства образования и науки Республики Казахстан;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переводить обучающегося на основании заявления с одной специальности на другую или с одной формы обучения на другую, а также в другую организацию образования в порядке, установленном приказом Министерства образования и науки Республики Казахстан от от 20 января 2015 года № 19 «Об утверждении Правил перевода и восстановления обучающихся по типам организаций образования» (зарегистрированный в Реестре государственной регистрации нормативных правовых актов Республики Казахстан за № 10297) (далее – Правила перевода и восстановления);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при расторжении Договора вернуть обучающемуся остаток денежных средств после расчетов по всем ранее приобретенным дисциплинам по кредитной технологии и дополнительным  услугам;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не допускать привлечения обучающегося к выполнению общественных и иных поручений без его согласия и в ущерб учебного процесса;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предоставлять возможность обучающемуся на добровольной основе принимать участие в научных, культурных и спортивных мероприятиях организации образования, а также в международной  научной, культурной и спортивной жизни;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после успешного окончания полного курса обучения и по результатам прохождения итоговой аттестации присвоить обучающемуся квалификацию и выдать документ об образовании;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в случае ликвидации учебного заведения или прекращения образовательной деятельности принять меры по переводу обучающихся для продолжения обучения в другой организации образования.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3. Организация образования имеет право: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1) требовать от обучающегося добросовестного и надлежащего исполнения обязанностей в соответствии с настоящим Договором иПравилами внутреннего распорядка организации образования, а также соблюдения учебной дисциплины, корректного и уважительного отношения  к преподавателям, сотрудникам и обучающимся организации образования;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2) применять к обучающемуся меры воздействия за нарушение им учебной дисциплины, условий настоящего Договора, Правил внутреннего распорядка;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3) требовать от обучающегося бережного отношения к имуществу организации образования, соблюдения правил работы с компьютерной и другой техникой. В случае причинения материального ущерба действиями обучающегося требовать возмещения понесенных затрат на его восстановление в порядке, предусмотренном действующим законодательством Республики Казахстан;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4) осуществлять поощрение и вознаграждение обучающегося за успехи в учебной, научной и творческой деятельности;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5) предусмотреть в исключительных случаях индивидуальные льготы за обучение, связанные с порядком оплаты;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6) расторгнуть в одностороннем порядке Договор по следующим причинам: за нарушение учебной дисциплины, за нарушение Правил внутреннего распорядка и Устава организации образования, за невыполнение договорных обязательств, в связи с переводом в другую организацию образования, за финансовую задолженность, а также, в иных случаях, предусмотренных действующим законодательством Республики Казахстан.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  <w:rtl w:val="0"/>
        </w:rPr>
        <w:t xml:space="preserve">7) Не выдавать оригиналы документов об образовании обучающегося до полного погашения Обучающимся и/или Заказчиком задолженности по оплате за образовательные услуги, административные и иные взносы.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4. Обучающийся обязуется: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1) овладеть знаниями, умениями и практическими навыками в полном объеме государственных общеобязательных стандартов образования, посещать учебные и практические занятия. Нарушение данного пункта со стороны обучающегося не является основанием для освобождения его или заказчика от оплаты по Договору;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2) в случае пропуска занятий, проинформировать об этом организацию образования в письменной форме в течении недели со дня отсутствия в организации образования; сообщать в организацию</w:t>
        <w:br w:type="textWrapping"/>
        <w:t xml:space="preserve">образования при изменении семейного положения и контактной информации (места жительства, номера телефона, электронной почты и тому подобное);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3) при нахождении обучающегося на амбулаторном или стационарном лечении уведомить организацию образования с последующим предъявлением подтверждающих документов;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4) соблюдать и исполнять приказы и распоряжения руководителя организации образования, Устав организации образования, Правила внутреннего распорядка и условия настоящего Договора;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5) бережно относиться к имуществу организации образования и рационально использовать его, участвовать в создании нормальных условий для обучения и проживания в общежитии (при предоставлении);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6) соблюдать правила воинского учета;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7) уважительно и корректно относиться к преподавателям, сотрудникам и обучающимся организации образования;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8) отработать в государственных организациях образования, государственных медицинских организациях, в подразделениях государственных органов, осуществляющих деятельность в области</w:t>
        <w:br w:type="textWrapping"/>
        <w:t xml:space="preserve">ветеринарии, либо в государственных ветеринарных организациях, расположенных в сельской местности, не менее трех лет после окончания высшего учебного заведения.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Данное положение распространяется на граждан из числа сельской молодежи, поступивших в пределах квоты приема, на обучение по педагогическим, медицинским и ветеринарным специальностям;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9) отработать в государственных организациях образования и государственных организациях здравоохранения не менее трех лет после окончания высшего учебного заведения.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Данное положение распространяется на граждан, поступивших на обучение по педагогическим и медицинским специальностям на основе государственного образовательного заказа;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10) отработать в регионе по месту обучения не менее трех лет после окончания высшего учебного заведения.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Данное положение распространяется на граждан из числа сельской молодежи, поступивших в пределах квоты приема, на обучение по педагогическим, техническим и сельскохозяйственным специальностям.</w:t>
      </w:r>
    </w:p>
    <w:p w:rsidR="00000000" w:rsidDel="00000000" w:rsidP="00000000" w:rsidRDefault="00000000" w:rsidRPr="00000000" w14:paraId="00000030">
      <w:pPr>
        <w:ind w:firstLine="0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5. Обучающийся имеет право на: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1) перевод с одной формы обучения на другую, с одной организации образования в другую, с одной специальности на другую, а также перевода с платного на обучение по государственному образовательному заказу в порядке, установленном Правилами перевода и восстановления, на основании приказа руководителя организации образования;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2) предварительную оплату за весь период обучения;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3) поэтапную оплату за обучение, при этом размер оплаты может быть изменен, но не более одного раза в год по соглашению сторон в  случае увеличения расходов на оплату труда и индекса инфляции;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4) получение дополнительных образовательных услуг вне государственного стандарта за дополнительную оплату;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5) свободный доступ и пользование фондом учебной, учебно-методической литературы на базе библиотеки и читальных залов;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6) участие в органах студенческого  самоуправления;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7) обучение по индивидуальным учебным планам и ускоренным программам по решению организации образования, с закреплением вышеназванных возможностей дополнительным соглашением к настоящему Договору;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8) восстановление в организации образования в порядке, установленном Правилами перевода и восстановления.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6.  Заказчик обязуется (в случае заказа):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1) в установленные сроки и размере вносить плату за предоставляемые образовательные услуги;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7. Заказчик имеет право (в случае заказа):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1) требовать от обучающегося добросовестного и надлежащего исполнения обязанностей в соответствии с настоящим Договором.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3. РАЗМЕР И ПОРЯДОК ОПЛАТЫ ОБРАЗОВАТЕЛЬНЫХ УСЛУГ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F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8. Стоимость кредита, размер, сроки оплаты за обучение устанавливаются в тенге и ежегодно утверждаются руководителем организации образования.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9. Средняя стоимость обучения за учебный год (на момент заключения  договора) составляет: ${t_cost} тенге.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10. Стоимость обучения может быть изменена приказом руководителя организации образования в соответствии с Законом Республики Казахстан «Об образовании» и в случаях издания нормативных актов, существенно меняющих условия и расходы на образовательные услуги, увеличения расходов на оплату труда и индекса инфляции, но не более одного раза в год и с учетом подпункта 3) пункта 5 настоящего договора.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11. Оплата за обучение производится на условиях 100% предоплаты за выбранные дисциплины по кредитной технологии.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12. При расторжении Договора по инициативе любой из сторон, начисление к оплате за услуги прекращается со дня издания приказа об отчислении.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13. В случае выхода обучающегося из академического отпуска или восстановления оплата за обучение производится в порядке и размерах, действующих на момент вынесения приказа о выходе из академического отпуска или восстановлении.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14. При самовольном прекращении обучения, то есть, в случае одностороннего отказа от исполнения настоящего договора обучающимся, настоящий Договор считается расторгнутым со дня издания приказа об отчислении. До этого срока сохраняются договорные обязательства по оплате за обучение.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                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 4. ОТВЕТСТВЕННОСТЬ СТОРОН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48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15. В случае неоплаты за обучение, обучающийся не допускается к промежуточной аттестации и соответствующей сессии. 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16. За неисполнение, либо ненадлежащее исполнение своих обязанностей, предусмотренных настоящим Договором, стороны несут ответственность, установленную законами Республики Казахстан.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17. За неисполнение подпунктов 8), 9) и 10) пункта 4 настоящего Типового договора оказания образовательных услуг, обучающийся обязан возместить расходы республиканского бюджета, связанные с его обучением, за исключением случая смерти обучающегося, подтверждаемого свидетельством о смерти.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18. Ответственность заказчика и обучающегося по оплате задолженности за оказанные услуги, в случае прекращения Договора, является солидарной.</w:t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5. ПОРЯДОК РАЗРЕШЕНИЯ СПОРОВ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4E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19. Разногласия и споры, возникающие в процессе выполнения настоящего Договора, разрешаются непосредственно сторонами в целях выработки взаимоприемлемых решений.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20. Вопросы, не разрешенные сторонами путем переговоров, выработки взаимоприемлемых решений, разрешаются в соответствии с действующим законодательством Республики Казахстан.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6. ФОРС-МАЖОР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52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21. При форс-мажорных обстоятельствах, таких как наводнение, пожар, другие стихийные бедствия, война или военные действия, а также при любых других обстоятельствах, не зависящих в разумных пределах от контроля Сторон и возникших после заключения Договора, ответственность Сторон не наступает. Однако, данное правило действует лишь в том случае, если Сторона, подвергшаяся форс-мажорным обстоятельствам, представит доказательства и известит об этом другую Сторону не позднее трех суток с момента наступления форс-мажора.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22. Обстоятельствами, не зависящими от контроля Сторон, признается также издание органами власти и управления актов, делающих невозможным исполнение обязательств по настоящему договору хотя бы одной из Сторон.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23. Исполнение обязательств Сторонами соразмерно переносится на срок действия форс-мажорных обстоятельств и их последствий.</w:t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7. СРОК ДЕЙСТВИЯ, ПОРЯДОК ИЗМЕНЕНИЯ УСЛОВИЙ ДОГОВОРА И ЕГО РАСТОРЖЕНИЕ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24. Настоящий договор вступает в силу со дня его подписания сторонами и действует до полного его исполнения. При заключении нового договора, действуют условия, установленные на момент</w:t>
        <w:br w:type="textWrapping"/>
        <w:t xml:space="preserve">заключения нового договора.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25. Условия настоящего Договора могут быть изменены и дополнены по взаимному письменному соглашению сторон.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26. Моментом прекращения договорных отношений между сторонами является издание соответствующего приказа руководителем организации образования.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27. Настоящий Договор заключается в двух экземплярах, а при участии заказчика в трех экземплярах на государственном или русском языках, имеющих одинаковую юридическую силу и передается по одному экземпляру для каждой из сторон.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11"/>
          <w:szCs w:val="11"/>
        </w:rPr>
        <w:sectPr>
          <w:type w:val="continuous"/>
          <w:pgSz w:h="16838" w:w="11906"/>
          <w:pgMar w:bottom="454" w:top="454" w:left="454" w:right="454" w:header="709" w:footer="709"/>
          <w:cols w:equalWidth="0" w:num="3">
            <w:col w:space="113" w:w="3590.666666666666"/>
            <w:col w:space="113" w:w="3590.666666666666"/>
            <w:col w:space="0" w:w="3590.6666666666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jc w:val="center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sz w:val="11"/>
          <w:szCs w:val="11"/>
          <w:rtl w:val="0"/>
        </w:rPr>
        <w:t xml:space="preserve">28. Юридические адреса и банковские реквизиты Сторон:</w:t>
      </w:r>
    </w:p>
    <w:p w:rsidR="00000000" w:rsidDel="00000000" w:rsidP="00000000" w:rsidRDefault="00000000" w:rsidRPr="00000000" w14:paraId="0000005E">
      <w:pPr>
        <w:widowControl w:val="0"/>
        <w:tabs>
          <w:tab w:val="left" w:pos="426"/>
        </w:tabs>
        <w:rPr>
          <w:rFonts w:ascii="Arial" w:cs="Arial" w:eastAsia="Arial" w:hAnsi="Arial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pos="426"/>
        </w:tabs>
        <w:rPr>
          <w:rFonts w:ascii="Arial" w:cs="Arial" w:eastAsia="Arial" w:hAnsi="Arial"/>
          <w:b w:val="1"/>
          <w:color w:val="000000"/>
          <w:sz w:val="11"/>
          <w:szCs w:val="11"/>
        </w:rPr>
        <w:sectPr>
          <w:type w:val="continuous"/>
          <w:pgSz w:h="16838" w:w="11906"/>
          <w:pgMar w:bottom="454" w:top="454" w:left="454" w:right="454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pos="426"/>
        </w:tabs>
        <w:rPr>
          <w:rFonts w:ascii="Arial" w:cs="Arial" w:eastAsia="Arial" w:hAnsi="Arial"/>
          <w:b w:val="1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1"/>
          <w:szCs w:val="11"/>
          <w:rtl w:val="0"/>
        </w:rPr>
        <w:t xml:space="preserve">Университет "Мирас"</w:t>
      </w:r>
    </w:p>
    <w:p w:rsidR="00000000" w:rsidDel="00000000" w:rsidP="00000000" w:rsidRDefault="00000000" w:rsidRPr="00000000" w14:paraId="00000061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г. Шымкент ул. ГаниИляева, 3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БИН 970540003687       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АО «Народный Банк Казахстана»:                               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KZ616017291000000915                                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БИК HSBKKZKX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Президент________________________ Мырзалиев М.Б.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1"/>
          <w:szCs w:val="11"/>
          <w:rtl w:val="0"/>
        </w:rPr>
        <w:t xml:space="preserve">Обучающийся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Ф.И.О. 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${t_fio}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ИИН 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${t_iin}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Удостоверение личности №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 ${t_identification_id}</w:t>
      </w: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 от 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${t_date}</w:t>
      </w: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, выдано ${t_given}</w:t>
      </w:r>
    </w:p>
    <w:p w:rsidR="00000000" w:rsidDel="00000000" w:rsidP="00000000" w:rsidRDefault="00000000" w:rsidRPr="00000000" w14:paraId="00000075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Адрес: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 ${t_address}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Телефон: </w:t>
      </w: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${t_phone}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___________________________</w:t>
      </w:r>
    </w:p>
    <w:p w:rsidR="00000000" w:rsidDel="00000000" w:rsidP="00000000" w:rsidRDefault="00000000" w:rsidRPr="00000000" w14:paraId="00000079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000000"/>
          <w:sz w:val="11"/>
          <w:szCs w:val="11"/>
          <w:rtl w:val="0"/>
        </w:rPr>
        <w:t xml:space="preserve">(подпись Обучающегося)</w:t>
      </w:r>
    </w:p>
    <w:p w:rsidR="00000000" w:rsidDel="00000000" w:rsidP="00000000" w:rsidRDefault="00000000" w:rsidRPr="00000000" w14:paraId="0000007A">
      <w:pPr>
        <w:widowControl w:val="0"/>
        <w:tabs>
          <w:tab w:val="left" w:pos="426"/>
        </w:tabs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Наименование или ФИО заказчика (вслучае заказа)____________________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Местонахождение или адрес заказчика: ________________________________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БИН заказчика: ________________________________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Расчетный счет (при наличии) заказчика: ________________________________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Подпись заказчика: 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_____________________________________________ 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11"/>
          <w:szCs w:val="11"/>
          <w:rtl w:val="0"/>
        </w:rPr>
        <w:t xml:space="preserve">М.П. (для юридического лица)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11"/>
          <w:szCs w:val="11"/>
        </w:rPr>
        <w:sectPr>
          <w:type w:val="continuous"/>
          <w:pgSz w:h="16838" w:w="11906"/>
          <w:pgMar w:bottom="397" w:top="397" w:left="454" w:right="454" w:header="709" w:footer="709"/>
          <w:cols w:equalWidth="0" w:num="2">
            <w:col w:space="708" w:w="5144.999999999999"/>
            <w:col w:space="0" w:w="5144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Приложение №1 к Договору ________________________</w:t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1.0" w:type="dxa"/>
        <w:jc w:val="left"/>
        <w:tblInd w:w="94.0" w:type="dxa"/>
        <w:tblLayout w:type="fixed"/>
        <w:tblLook w:val="0400"/>
      </w:tblPr>
      <w:tblGrid>
        <w:gridCol w:w="4384"/>
        <w:gridCol w:w="1470"/>
        <w:gridCol w:w="1258"/>
        <w:gridCol w:w="1460"/>
        <w:gridCol w:w="1429"/>
        <w:tblGridChange w:id="0">
          <w:tblGrid>
            <w:gridCol w:w="4384"/>
            <w:gridCol w:w="1470"/>
            <w:gridCol w:w="1258"/>
            <w:gridCol w:w="1460"/>
            <w:gridCol w:w="1429"/>
          </w:tblGrid>
        </w:tblGridChange>
      </w:tblGrid>
      <w:tr>
        <w:trPr>
          <w:trHeight w:val="22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Прейскурант оплаты за обучение (для граждан Республики Казахстан и лиц, имеющих вид на жительство)</w:t>
            </w:r>
          </w:p>
        </w:tc>
      </w:tr>
      <w:tr>
        <w:trPr>
          <w:trHeight w:val="2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БАКАЛАВРИАТ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Направление подготовки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стоимость за 1 кредит ECTS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количество кредитов для освоения полного цикла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Средняя стоимость за 1 год обучения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Педагогика и психология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без предметной специализации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с предметной специализацией общего развития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естественнонаучным предметам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языкам и литературе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специалистов по специальной педагогике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Право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Бизнес и управление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Информационно-коммуникационные технологии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Телекоммуникации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Сфера обслуживания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2 500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Искусство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МАГИСТРАТУРА</w:t>
            </w:r>
          </w:p>
        </w:tc>
      </w:tr>
      <w:tr>
        <w:trPr>
          <w:trHeight w:val="102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Направление подготовки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стоимость за 1 кредит ECTS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количество кредитов для освоения полного цикла обучения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Средняя стоимость за 1 год обучения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профильное направление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научно-педагогическое направление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Педагогика и психология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3 400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204 000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естественнонаучным предметам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3 400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204 000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языкам и литературе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3 400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204 000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Право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3 400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204 000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Бизнес и управление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3 400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204 000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Информационно-коммуникационные технологии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3 400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204 000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Ознакомлен _______________________________________________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(подпись Обучающегося)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8.0" w:type="dxa"/>
        <w:jc w:val="left"/>
        <w:tblInd w:w="94.0" w:type="dxa"/>
        <w:tblLayout w:type="fixed"/>
        <w:tblLook w:val="0400"/>
      </w:tblPr>
      <w:tblGrid>
        <w:gridCol w:w="4760"/>
        <w:gridCol w:w="1520"/>
        <w:gridCol w:w="1258"/>
        <w:gridCol w:w="1460"/>
        <w:gridCol w:w="1460"/>
        <w:tblGridChange w:id="0">
          <w:tblGrid>
            <w:gridCol w:w="4760"/>
            <w:gridCol w:w="1520"/>
            <w:gridCol w:w="1258"/>
            <w:gridCol w:w="1460"/>
            <w:gridCol w:w="1460"/>
          </w:tblGrid>
        </w:tblGridChange>
      </w:tblGrid>
      <w:tr>
        <w:trPr>
          <w:trHeight w:val="2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Прейскурант оплаты за обучение (для иностранных граждан)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БАКАЛАВРИАТ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Направление подготовки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стоимость за 1 кредит ECTS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количество кредитов для освоения полного цикла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Средняя стоимость за 1 год обучения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Педагогика и психология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без предметной специализации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с предметной специализацией общего развития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естественнонаучным предметам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языкам и литературе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специалистов по специальной педагогике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Право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Бизнес и управление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Информационно-коммуникационные технологии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Телекоммуникации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Сфера обслуживания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Искусство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10 000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600 000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МАГИСТРАТУРА</w:t>
            </w:r>
          </w:p>
        </w:tc>
      </w:tr>
      <w:tr>
        <w:trPr>
          <w:trHeight w:val="22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Направление подготовки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стоимость за 1 кредит ECTS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количество кредитов для освоения полного цикла обучения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Средняя стоимость за 1 год обучения</w:t>
            </w:r>
          </w:p>
        </w:tc>
      </w:tr>
      <w:tr>
        <w:trPr>
          <w:trHeight w:val="18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профильное направление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научно-педагогическое направление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Педагогика и психология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естественнонаучным предметам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Подготовка учителей по языкам и литературе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Право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Бизнес и управление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Информационно-коммуникационные технологии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ind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6 800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408 000</w:t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Ознакомлен _______________________________________________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(подпись Обучающегося)</w:t>
      </w:r>
    </w:p>
    <w:p w:rsidR="00000000" w:rsidDel="00000000" w:rsidP="00000000" w:rsidRDefault="00000000" w:rsidRPr="00000000" w14:paraId="000001B8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Приложение №2 к договору №________________ от __________________</w:t>
      </w:r>
    </w:p>
    <w:p w:rsidR="00000000" w:rsidDel="00000000" w:rsidP="00000000" w:rsidRDefault="00000000" w:rsidRPr="00000000" w14:paraId="000001C3">
      <w:pPr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ПРЕЙСКУРАНТ</w:t>
      </w:r>
    </w:p>
    <w:p w:rsidR="00000000" w:rsidDel="00000000" w:rsidP="00000000" w:rsidRDefault="00000000" w:rsidRPr="00000000" w14:paraId="000001C5">
      <w:pPr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4.0" w:type="dxa"/>
        <w:jc w:val="left"/>
        <w:tblInd w:w="89.0" w:type="dxa"/>
        <w:tblLayout w:type="fixed"/>
        <w:tblLook w:val="0400"/>
      </w:tblPr>
      <w:tblGrid>
        <w:gridCol w:w="8950"/>
        <w:gridCol w:w="1134"/>
        <w:tblGridChange w:id="0">
          <w:tblGrid>
            <w:gridCol w:w="8950"/>
            <w:gridCol w:w="1134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СТОИМОСТЬ ДОПОЛНИТЕЛЬНЫХ ОБРАЗОВАТЕЛЬНЫХ УСЛУГ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Стоимость 1 кредита (ликвидация разницы, пререквизитов, академической задолженности, учебный семестр, для магистрантов)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3 000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Стоимость 1 кредита (ликвидация разницы, академической задолженности, учебный семестр, для студентов бакалавриата до 2019 года поступления)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1 000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Отработка занятий, пропущенных без уважительной причины (1 рейтинговый балл)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Пробное тестирование по 1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2 000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Консультации по практике (стоимость 1 часа сверх утвержденных норм времени) для студентов бакалавриата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4 000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Консультации по практике (стоимость 1 часа сверх утвержденных норм времени) для магистрантов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5 000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Консультации по подготовке к Государственным экзаменам и написанию  дипломной работы/магистерской диссертации (стоимость 1 часа сверх утвержденных норм времени)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10 000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Консультации по подготовке к творческому экзамену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7 000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Консультации по написанию Курсовой работы (стоимость 1 часа сверх утвержденных норм времени) для студентов бакалавриата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1 000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Консультации по написанию Курсовой работы (стоимость 1 часа сверх утвержденных норм времени) для магистрантов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5 000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Повторная проверка Дипломной работы (проекта), Магистерской диссертации на плагиат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5 000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Доступ к обучению по дистанционной технологии (для студентов очного отделения), за 1 кредит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750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АДМИНИСТРАТИВНЫЕ И ИНЫЕ ВЗНОСЫ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Оплата за восстановление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10 000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Оплата восстановления после отчисления за нарушение правил Кодекса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30 000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Вступительный взнос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Организационный сбор выпускника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10 000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Получение справки по месту требования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Восстановление студенческого билета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500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Восстановление зачетной книжки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2 000</w:t>
            </w:r>
          </w:p>
        </w:tc>
      </w:tr>
    </w:tbl>
    <w:p w:rsidR="00000000" w:rsidDel="00000000" w:rsidP="00000000" w:rsidRDefault="00000000" w:rsidRPr="00000000" w14:paraId="000001F0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Ознакомлен _______________________________________________(подпись Обучающегося)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454" w:top="454" w:left="454" w:right="454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998.000000000002" w:type="dxa"/>
      <w:jc w:val="left"/>
      <w:tblInd w:w="0.0" w:type="dxa"/>
      <w:tblLayout w:type="fixed"/>
      <w:tblLook w:val="0600"/>
    </w:tblPr>
    <w:tblGrid>
      <w:gridCol w:w="3666"/>
      <w:gridCol w:w="3666"/>
      <w:gridCol w:w="3666"/>
      <w:tblGridChange w:id="0">
        <w:tblGrid>
          <w:gridCol w:w="3666"/>
          <w:gridCol w:w="3666"/>
          <w:gridCol w:w="3666"/>
        </w:tblGrid>
      </w:tblGridChange>
    </w:tblGrid>
    <w:tr>
      <w:tc>
        <w:tcPr/>
        <w:p w:rsidR="00000000" w:rsidDel="00000000" w:rsidP="00000000" w:rsidRDefault="00000000" w:rsidRPr="00000000" w14:paraId="000001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284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284"/>
            <w:jc w:val="center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284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284"/>
      <w:jc w:val="both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4"/>
      <w:tblW w:w="10998.000000000002" w:type="dxa"/>
      <w:jc w:val="left"/>
      <w:tblInd w:w="0.0" w:type="dxa"/>
      <w:tblLayout w:type="fixed"/>
      <w:tblLook w:val="0600"/>
    </w:tblPr>
    <w:tblGrid>
      <w:gridCol w:w="3666"/>
      <w:gridCol w:w="3666"/>
      <w:gridCol w:w="3666"/>
      <w:tblGridChange w:id="0">
        <w:tblGrid>
          <w:gridCol w:w="3666"/>
          <w:gridCol w:w="3666"/>
          <w:gridCol w:w="3666"/>
        </w:tblGrid>
      </w:tblGridChange>
    </w:tblGrid>
    <w:tr>
      <w:tc>
        <w:tcPr/>
        <w:p w:rsidR="00000000" w:rsidDel="00000000" w:rsidP="00000000" w:rsidRDefault="00000000" w:rsidRPr="00000000" w14:paraId="000001F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284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284"/>
            <w:jc w:val="center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284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284"/>
      <w:jc w:val="both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284"/>
      <w:jc w:val="both"/>
    </w:pPr>
    <w:rPr>
      <w:rFonts w:ascii="Consolas" w:cs="Consolas" w:eastAsia="Consolas" w:hAnsi="Consolas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284"/>
      <w:jc w:val="both"/>
    </w:pPr>
    <w:rPr>
      <w:rFonts w:ascii="Consolas" w:cs="Consolas" w:eastAsia="Consolas" w:hAnsi="Consola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284"/>
      <w:jc w:val="both"/>
    </w:pPr>
    <w:rPr>
      <w:rFonts w:ascii="Consolas" w:cs="Consolas" w:eastAsia="Consolas" w:hAnsi="Consola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284"/>
      <w:jc w:val="both"/>
    </w:pPr>
    <w:rPr>
      <w:rFonts w:ascii="Consolas" w:cs="Consolas" w:eastAsia="Consolas" w:hAnsi="Consola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284"/>
      <w:jc w:val="both"/>
    </w:pPr>
    <w:rPr>
      <w:rFonts w:ascii="Consolas" w:cs="Consolas" w:eastAsia="Consolas" w:hAnsi="Consola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284"/>
      <w:jc w:val="both"/>
    </w:pPr>
    <w:rPr>
      <w:rFonts w:ascii="Consolas" w:cs="Consolas" w:eastAsia="Consolas" w:hAnsi="Consola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284"/>
      <w:jc w:val="both"/>
    </w:pPr>
    <w:rPr>
      <w:rFonts w:ascii="Consolas" w:cs="Consolas" w:eastAsia="Consolas" w:hAnsi="Consolas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0CB6"/>
    <w:rPr>
      <w:rFonts w:ascii="Consolas" w:cs="Consolas" w:eastAsia="Consolas" w:hAnsi="Consolas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47BAA"/>
    <w:pPr>
      <w:ind w:left="720"/>
      <w:contextualSpacing w:val="1"/>
    </w:pPr>
    <w:rPr>
      <w:rFonts w:asciiTheme="minorHAnsi" w:cstheme="minorBidi" w:eastAsiaTheme="minorHAnsi" w:hAnsiTheme="minorHAnsi"/>
      <w:lang w:val="ru-RU"/>
    </w:rPr>
  </w:style>
  <w:style w:type="table" w:styleId="a4">
    <w:name w:val="Table Grid"/>
    <w:basedOn w:val="a1"/>
    <w:uiPriority w:val="59"/>
    <w:rsid w:val="00A47BAA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Normal (Web)"/>
    <w:basedOn w:val="a"/>
    <w:uiPriority w:val="99"/>
    <w:semiHidden w:val="1"/>
    <w:unhideWhenUsed w:val="1"/>
    <w:rsid w:val="00004273"/>
    <w:pPr>
      <w:spacing w:after="119" w:before="100" w:beforeAutospacing="1"/>
      <w:ind w:firstLine="0"/>
      <w:jc w:val="left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6">
    <w:name w:val="annotation reference"/>
    <w:basedOn w:val="a0"/>
    <w:uiPriority w:val="99"/>
    <w:semiHidden w:val="1"/>
    <w:unhideWhenUsed w:val="1"/>
    <w:rsid w:val="00B077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B07753"/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 w:val="1"/>
    <w:rsid w:val="00B07753"/>
    <w:rPr>
      <w:rFonts w:ascii="Consolas" w:cs="Consolas" w:eastAsia="Consolas" w:hAnsi="Consolas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B07753"/>
    <w:rPr>
      <w:b w:val="1"/>
      <w:bCs w:val="1"/>
    </w:rPr>
  </w:style>
  <w:style w:type="character" w:styleId="aa" w:customStyle="1">
    <w:name w:val="Тема примечания Знак"/>
    <w:basedOn w:val="a8"/>
    <w:link w:val="a9"/>
    <w:uiPriority w:val="99"/>
    <w:semiHidden w:val="1"/>
    <w:rsid w:val="00B07753"/>
    <w:rPr>
      <w:rFonts w:ascii="Consolas" w:cs="Consolas" w:eastAsia="Consolas" w:hAnsi="Consolas"/>
      <w:b w:val="1"/>
      <w:bCs w:val="1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07753"/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07753"/>
    <w:rPr>
      <w:rFonts w:ascii="Tahoma" w:cs="Tahoma" w:eastAsia="Consolas" w:hAnsi="Tahoma"/>
      <w:sz w:val="16"/>
      <w:szCs w:val="16"/>
      <w:lang w:val="en-US"/>
    </w:rPr>
  </w:style>
  <w:style w:type="character" w:styleId="ad" w:customStyle="1">
    <w:name w:val="Верхний колонтитул Знак"/>
    <w:basedOn w:val="a0"/>
    <w:link w:val="ae"/>
    <w:uiPriority w:val="99"/>
    <w:rsid w:val="00D0226B"/>
  </w:style>
  <w:style w:type="paragraph" w:styleId="ae">
    <w:name w:val="header"/>
    <w:basedOn w:val="a"/>
    <w:link w:val="ad"/>
    <w:uiPriority w:val="99"/>
    <w:unhideWhenUsed w:val="1"/>
    <w:rsid w:val="00D0226B"/>
    <w:pPr>
      <w:tabs>
        <w:tab w:val="center" w:pos="4680"/>
        <w:tab w:val="right" w:pos="9360"/>
      </w:tabs>
    </w:pPr>
  </w:style>
  <w:style w:type="character" w:styleId="af" w:customStyle="1">
    <w:name w:val="Нижний колонтитул Знак"/>
    <w:basedOn w:val="a0"/>
    <w:link w:val="af0"/>
    <w:uiPriority w:val="99"/>
    <w:rsid w:val="00D0226B"/>
  </w:style>
  <w:style w:type="paragraph" w:styleId="af0">
    <w:name w:val="footer"/>
    <w:basedOn w:val="a"/>
    <w:link w:val="af"/>
    <w:uiPriority w:val="99"/>
    <w:unhideWhenUsed w:val="1"/>
    <w:rsid w:val="00D0226B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284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fysLrr1nSaDJ7uRL2py6rmy1Q==">AMUW2mVtqTS8tVFZZpAh9EBrwWv5RKhADABbbYeDgQjY4GhaEu5Rcw2vUhr90mr3jmynoojwWtAa1aJgG1DTgzIgXcDxYURMkq4Ic7iVnlj8Irwuvz97lxiiF2vsrW+aYRRwdo7ucbUAKRv65f324X2yGcXC7r2HlotvN+Ya2fbELmC+ggVKpA6ufNdT7gYoVqV8qh+114Nk0YFSL8PqsJM3ZZSsWS3G6w==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2019-05-16T12:04:00Z</dcterms:created>
  <dc:creator>Пользователь Windows</dc:creator>
</cp:coreProperties>
</file>