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Milestone 1 Status Report — Cross-Chain Execution Core</w:t>
      </w:r>
    </w:p>
    <w:p/>
    <w:p>
      <w:r>
        <w:rPr>
          <w:b/>
        </w:rPr>
        <w:t xml:space="preserve">Project:</w:t>
      </w:r>
      <w:r>
        <w:t xml:space="preserve"> Bosphor — Storage Intent Router</w:t>
      </w:r>
    </w:p>
    <w:p>
      <w:r>
        <w:rPr>
          <w:b/>
        </w:rPr>
        <w:t xml:space="preserve">Grantee:</w:t>
      </w:r>
      <w:r>
        <w:t xml:space="preserve"> Riva Labs</w:t>
      </w:r>
    </w:p>
    <w:p>
      <w:r>
        <w:rPr>
          <w:b/>
        </w:rPr>
        <w:t xml:space="preserve">Foundation:</w:t>
      </w:r>
      <w:r>
        <w:t xml:space="preserve"> Walrus Foundation</w:t>
      </w:r>
    </w:p>
    <w:p>
      <w:r>
        <w:rPr>
          <w:b/>
        </w:rPr>
        <w:t xml:space="preserve">Milestone:</w:t>
      </w:r>
      <w:r>
        <w:t xml:space="preserve"> 1 of 5 — Cross-Chain Execution Core (USD $20,000 in Tokens)</w:t>
      </w:r>
    </w:p>
    <w:p>
      <w:r>
        <w:rPr>
          <w:b/>
        </w:rPr>
        <w:t xml:space="preserve">Release:</w:t>
      </w:r>
      <w:r>
        <w:t xml:space="preserve"> </w:t>
      </w:r>
      <w:r>
        <w:rPr>
          <w:rFonts w:ascii="Consolas" w:hAnsi="Consolas"/>
          <w:color w:val="1A5276"/>
          <w:u w:val="single"/>
        </w:rPr>
        <w:t xml:space="preserve">v0.1.0</w:t>
      </w:r>
      <w:r>
        <w:t xml:space="preserve"> — tagged 2026-06-25</w:t>
      </w:r>
    </w:p>
    <w:p>
      <w:r>
        <w:rPr>
          <w:b/>
        </w:rPr>
        <w:t xml:space="preserve">Report date:</w:t>
      </w:r>
      <w:r>
        <w:t xml:space="preserve"> 2026-07-01</w:t>
      </w:r>
    </w:p>
    <w:p/>
    <w:p>
      <w:pPr>
        <w:pStyle w:val="Quote"/>
      </w:pPr>
      <w:r>
        <w:rPr>
          <w:b/>
        </w:rPr>
        <w:t xml:space="preserve">Scope.</w:t>
      </w:r>
      <w:r>
        <w:t xml:space="preserve"> This report covers Milestone 1 as delivered in release </w:t>
      </w:r>
      <w:r>
        <w:rPr>
          <w:rFonts w:ascii="Consolas" w:hAnsi="Consolas"/>
          <w:color w:val="B03A2E"/>
        </w:rPr>
        <w:t xml:space="preserve">v0.1.0</w:t>
      </w:r>
      <w:r>
        <w:t xml:space="preserve"> and the code up to that release. Work begun afterward on Milestone 2 (system stabilization and monitoring) is out of scope here and is not described as part of Milestone 1.</w:t>
      </w:r>
    </w:p>
    <w:p/>
    <w:p>
      <w:pPr>
        <w:pBdr>
          <w:bottom w:val="single" w:sz="6" w:space="1" w:color="AAB7B8"/>
        </w:pBdr>
      </w:pPr>
    </w:p>
    <w:p/>
    <w:p>
      <w:pPr>
        <w:pStyle w:val="Heading2"/>
      </w:pPr>
      <w:r>
        <w:t xml:space="preserve">1. Executive summary</w:t>
      </w:r>
    </w:p>
    <w:p/>
    <w:p>
      <w:r>
        <w:t xml:space="preserve">Milestone 1 delivers the complete Cross-Chain Execution Core: an EVM developer submits a storage intent on their origin chain, the intent is routed over LayerZero v2 to Sui, the payload is stored on Walrus, and a cryptographically verifiable proof is returned over a separate LayerZero message and verified back on the origin chain. No Sui infrastructure and no Move code are required of the originating developer.</w:t>
      </w:r>
    </w:p>
    <w:p/>
    <w:p>
      <w:r>
        <w:t xml:space="preserve">The full round trip is live and independently verifiable on Sepolia and Sui Testnet, documented on public explorers in the </w:t>
      </w:r>
      <w:r>
        <w:rPr>
          <w:rFonts w:ascii="Consolas" w:hAnsi="Consolas"/>
          <w:color w:val="B03A2E"/>
        </w:rPr>
        <w:t xml:space="preserve">v0.1.0</w:t>
      </w:r>
      <w:r>
        <w:t xml:space="preserve"> release and reproducible on demand via </w:t>
      </w:r>
      <w:r>
        <w:rPr>
          <w:rFonts w:ascii="Consolas" w:hAnsi="Consolas"/>
          <w:color w:val="B03A2E"/>
        </w:rPr>
        <w:t xml:space="preserve">npm run test:e2e</w:t>
      </w:r>
      <w:r>
        <w:t xml:space="preserve">. All six functional deliverables (a–f) are complete, the package is registered in the Move Registry as </w:t>
      </w:r>
      <w:r>
        <w:rPr>
          <w:rFonts w:ascii="Consolas" w:hAnsi="Consolas"/>
          <w:color w:val="1A5276"/>
          <w:u w:val="single"/>
        </w:rPr>
        <w:t xml:space="preserve">@bosphor/core</w:t>
      </w:r>
      <w:r>
        <w:t xml:space="preserve">, and all data is stored on Walrus as deletable blobs per the grant obligation.</w:t>
      </w:r>
    </w:p>
    <w:p/>
    <w:p>
      <w:r>
        <w:rPr>
          <w:b/>
        </w:rPr>
        <w:t xml:space="preserve">Grantee recommendation: proceed to Milestone 2.</w:t>
      </w:r>
      <w:r>
        <w:t xml:space="preserve"> Rationale in Section 4.</w:t>
      </w:r>
    </w:p>
    <w:p/>
    <w:p>
      <w:pPr>
        <w:pBdr>
          <w:bottom w:val="single" w:sz="6" w:space="1" w:color="AAB7B8"/>
        </w:pBdr>
      </w:pPr>
    </w:p>
    <w:p/>
    <w:p>
      <w:pPr>
        <w:pStyle w:val="Heading2"/>
      </w:pPr>
      <w:r>
        <w:t xml:space="preserve">2. Integration architecture and design decisions</w:t>
      </w:r>
    </w:p>
    <w:p/>
    <w:p>
      <w:pPr>
        <w:pStyle w:val="Heading3"/>
      </w:pPr>
      <w:r>
        <w:t xml:space="preserve">2.1 End-to-end message flow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User → submitIntent (EVM BosphorAdapter)</w:t>
      </w:r>
    </w:p>
    <w:p>
      <w:pPr>
        <w:pStyle w:val="Code"/>
      </w:pPr>
      <w:r>
        <w:rPr>
          <w:rFonts w:ascii="Consolas" w:hAnsi="Consolas"/>
          <w:sz w:val="18"/>
        </w:rPr>
        <w:t xml:space="preserve">     → _lzSend  ──LayerZero v2 (DVN verified)──▶  lz_receive (Sui lz_receiver)  → IntentReceived</w:t>
      </w:r>
    </w:p>
    <w:p>
      <w:pPr>
        <w:pStyle w:val="Code"/>
      </w:pPr>
      <w:r>
        <w:rPr>
          <w:rFonts w:ascii="Consolas" w:hAnsi="Consolas"/>
          <w:sz w:val="18"/>
        </w:rPr>
        <w:t xml:space="preserve">     → Relayer observes IntentReceived</w:t>
      </w:r>
    </w:p>
    <w:p>
      <w:pPr>
        <w:pStyle w:val="Code"/>
      </w:pPr>
      <w:r>
        <w:rPr>
          <w:rFonts w:ascii="Consolas" w:hAnsi="Consolas"/>
          <w:sz w:val="18"/>
        </w:rPr>
        <w:t xml:space="preserve">     → Walrus upload (deletable blob)  → execute_store (Sui walrus_executor)</w:t>
      </w:r>
    </w:p>
    <w:p>
      <w:pPr>
        <w:pStyle w:val="Code"/>
      </w:pPr>
      <w:r>
        <w:rPr>
          <w:rFonts w:ascii="Consolas" w:hAnsi="Consolas"/>
          <w:sz w:val="18"/>
        </w:rPr>
        <w:t xml:space="preserve">     → lz_send_proof  ──LayerZero v2 (type-1 msg)──▶  _lzReceive (EVM)  → intent marked executed</w:t>
      </w:r>
    </w:p>
    <w:p/>
    <w:p>
      <w:r>
        <w:t xml:space="preserve">The system is two independent LayerZero messages, not one round-trip call: a </w:t>
      </w:r>
      <w:r>
        <w:rPr>
          <w:b/>
        </w:rPr>
        <w:t xml:space="preserve">request</w:t>
      </w:r>
      <w:r>
        <w:t xml:space="preserve"> message (EVM → Sui) and a separate </w:t>
      </w:r>
      <w:r>
        <w:rPr>
          <w:b/>
        </w:rPr>
        <w:t xml:space="preserve">response</w:t>
      </w:r>
      <w:r>
        <w:t xml:space="preserve"> message (Sui → EVM). The origin chain confirms storage by verifying the returned LayerZero message through the messaging layer, not by trusting a relayer-observed event.</w:t>
      </w:r>
    </w:p>
    <w:p/>
    <w:p>
      <w:pPr>
        <w:pStyle w:val="Heading3"/>
      </w:pPr>
      <w:r>
        <w:t xml:space="preserve">2.2 Components</w:t>
      </w:r>
    </w:p>
    <w:p/>
    <w:tbl>
      <w:tblPr>
        <w:tblStyle w:val="TableGrid"/>
        <w:tblW w:w="9360" w:type="dxa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Component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Location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BosphorAdapter.sol</w:t>
            </w:r>
          </w:p>
        </w:tc>
        <w:tc>
          <w:tcPr>
            <w:tcW w:w="3120" w:type="dxa"/>
          </w:tcPr>
          <w:p>
            <w:r>
              <w:t xml:space="preserve">EVM entry point: </w:t>
            </w:r>
            <w:r>
              <w:rPr>
                <w:rFonts w:ascii="Consolas" w:hAnsi="Consolas"/>
                <w:color w:val="B03A2E"/>
              </w:rPr>
              <w:t xml:space="preserve">submitIntent</w:t>
            </w:r>
            <w:r>
              <w:t xml:space="preserve">, fee </w:t>
            </w:r>
            <w:r>
              <w:rPr>
                <w:rFonts w:ascii="Consolas" w:hAnsi="Consolas"/>
                <w:color w:val="B03A2E"/>
              </w:rPr>
              <w:t xml:space="preserve">quote</w:t>
            </w:r>
            <w:r>
              <w:t xml:space="preserve">, proof </w:t>
            </w:r>
            <w:r>
              <w:rPr>
                <w:rFonts w:ascii="Consolas" w:hAnsi="Consolas"/>
                <w:color w:val="B03A2E"/>
              </w:rPr>
              <w:t xml:space="preserve">_lzReceive</w:t>
            </w:r>
            <w:r>
              <w:t xml:space="preserve">, emergency </w:t>
            </w:r>
            <w:r>
              <w:rPr>
                <w:rFonts w:ascii="Consolas" w:hAnsi="Consolas"/>
                <w:color w:val="B03A2E"/>
              </w:rPr>
              <w:t xml:space="preserve">confirmExecution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contracts/evm/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lz_receiver.move</w:t>
            </w:r>
          </w:p>
        </w:tc>
        <w:tc>
          <w:tcPr>
            <w:tcW w:w="3120" w:type="dxa"/>
          </w:tcPr>
          <w:p>
            <w:r>
              <w:t xml:space="preserve">Receives the LZ request on Sui, validates peer + endpoint, records intent, emits </w:t>
            </w:r>
            <w:r>
              <w:rPr>
                <w:rFonts w:ascii="Consolas" w:hAnsi="Consolas"/>
                <w:color w:val="B03A2E"/>
              </w:rPr>
              <w:t xml:space="preserve">IntentReceived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sui/lz-receiver/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walrus_executor.move</w:t>
            </w:r>
          </w:p>
        </w:tc>
        <w:tc>
          <w:tcPr>
            <w:tcW w:w="3120" w:type="dxa"/>
          </w:tcPr>
          <w:p>
            <w:r>
              <w:t xml:space="preserve">Accepts a certified Walrus </w:t>
            </w:r>
            <w:r>
              <w:rPr>
                <w:rFonts w:ascii="Consolas" w:hAnsi="Consolas"/>
                <w:color w:val="B03A2E"/>
              </w:rPr>
              <w:t xml:space="preserve">Blob</w:t>
            </w:r>
            <w:r>
              <w:t xml:space="preserve">, verifies certification and deadline, emits </w:t>
            </w:r>
            <w:r>
              <w:rPr>
                <w:rFonts w:ascii="Consolas" w:hAnsi="Consolas"/>
                <w:color w:val="B03A2E"/>
              </w:rPr>
              <w:t xml:space="preserve">StorageExecuted</w:t>
            </w:r>
            <w:r>
              <w:t xml:space="preserve">, transfers blob + receipt to the sender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sui/lz-receiver/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codec.move</w:t>
            </w:r>
          </w:p>
        </w:tc>
        <w:tc>
          <w:tcPr>
            <w:tcW w:w="3120" w:type="dxa"/>
          </w:tcPr>
          <w:p>
            <w:r>
              <w:t xml:space="preserve">Encodes/decodes the 97-byte type-1 proof message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sui/lz-receiver/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ptb_builder.move</w:t>
            </w:r>
          </w:p>
        </w:tc>
        <w:tc>
          <w:tcPr>
            <w:tcW w:w="3120" w:type="dxa"/>
          </w:tcPr>
          <w:p>
            <w:r>
              <w:t xml:space="preserve">Produces </w:t>
            </w:r>
            <w:r>
              <w:rPr>
                <w:rFonts w:ascii="Consolas" w:hAnsi="Consolas"/>
                <w:color w:val="B03A2E"/>
              </w:rPr>
              <w:t xml:space="preserve">OAppInfoV1</w:t>
            </w:r>
            <w:r>
              <w:t xml:space="preserve">-encoded PTB metadata for the LZ executor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sui/lz-receiver/</w:t>
            </w:r>
          </w:p>
        </w:tc>
      </w:tr>
      <w:tr>
        <w:tc>
          <w:tcPr>
            <w:tcW w:w="3120" w:type="dxa"/>
          </w:tcPr>
          <w:p>
            <w:r>
              <w:t xml:space="preserve">Relayer</w:t>
            </w:r>
          </w:p>
        </w:tc>
        <w:tc>
          <w:tcPr>
            <w:tcW w:w="3120" w:type="dxa"/>
          </w:tcPr>
          <w:p>
            <w:r>
              <w:t xml:space="preserve">Dockerized NestJS service: observes intents, uploads to Walrus, calls </w:t>
            </w:r>
            <w:r>
              <w:rPr>
                <w:rFonts w:ascii="Consolas" w:hAnsi="Consolas"/>
                <w:color w:val="B03A2E"/>
              </w:rPr>
              <w:t xml:space="preserve">execute_store</w:t>
            </w:r>
            <w:r>
              <w:t xml:space="preserve"> and </w:t>
            </w:r>
            <w:r>
              <w:rPr>
                <w:rFonts w:ascii="Consolas" w:hAnsi="Consolas"/>
                <w:color w:val="B03A2E"/>
              </w:rPr>
              <w:t xml:space="preserve">lz_send_proof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relayer/</w:t>
            </w:r>
          </w:p>
        </w:tc>
      </w:tr>
    </w:tbl>
    <w:p/>
    <w:p/>
    <w:p>
      <w:pPr>
        <w:pStyle w:val="Heading3"/>
      </w:pPr>
      <w:r>
        <w:t xml:space="preserve">2.3 Key design decisions</w:t>
      </w:r>
    </w:p>
    <w:p/>
    <w:p>
      <w:pPr>
        <w:ind w:left="360" w:hanging="360"/>
      </w:pPr>
      <w:r>
        <w:t xml:space="preserve">1. </w:t>
      </w:r>
      <w:r>
        <w:rPr>
          <w:b/>
        </w:rPr>
        <w:t xml:space="preserve">Two-step LayerZero verification over relayer attestation.</w:t>
      </w:r>
      <w:r>
        <w:t xml:space="preserve"> The execution result returns over a dedicated LayerZero response message and is verified on the origin chain through DVN-backed messaging. The relayer triggers the flow but cannot forge a proof. This is the core trust property of the design and directly satisfies deliverable (c).</w:t>
      </w:r>
    </w:p>
    <w:p/>
    <w:p>
      <w:pPr>
        <w:ind w:left="360" w:hanging="360"/>
      </w:pPr>
      <w:r>
        <w:t xml:space="preserve">2. </w:t>
      </w:r>
      <w:r>
        <w:rPr>
          <w:b/>
        </w:rPr>
        <w:t xml:space="preserve">OAppInfoV1 executor registration.</w:t>
      </w:r>
      <w:r>
        <w:t xml:space="preserve"> On Sui, the LZ executor expects the OApp to expose PTB construction metadata in </w:t>
      </w:r>
      <w:r>
        <w:rPr>
          <w:rFonts w:ascii="Consolas" w:hAnsi="Consolas"/>
          <w:color w:val="B03A2E"/>
        </w:rPr>
        <w:t xml:space="preserve">OAppInfoV1</w:t>
      </w:r>
      <w:r>
        <w:t xml:space="preserve"> format (</w:t>
      </w:r>
      <w:r>
        <w:rPr>
          <w:rFonts w:ascii="Consolas" w:hAnsi="Consolas"/>
          <w:color w:val="B03A2E"/>
        </w:rPr>
        <w:t xml:space="preserve">[version][BCS(oapp_object, next_nonce_info, lz_receive_info, extra_info)]</w:t>
      </w:r>
      <w:r>
        <w:t xml:space="preserve">). An early version returned raw </w:t>
      </w:r>
      <w:r>
        <w:rPr>
          <w:rFonts w:ascii="Consolas" w:hAnsi="Consolas"/>
          <w:color w:val="B03A2E"/>
        </w:rPr>
        <w:t xml:space="preserve">MoveCall</w:t>
      </w:r>
      <w:r>
        <w:t xml:space="preserve"> bytes and the executor could not deserialize it; wrapping </w:t>
      </w:r>
      <w:r>
        <w:rPr>
          <w:rFonts w:ascii="Consolas" w:hAnsi="Consolas"/>
          <w:color w:val="B03A2E"/>
        </w:rPr>
        <w:t xml:space="preserve">lz_receive_info</w:t>
      </w:r>
      <w:r>
        <w:t xml:space="preserve"> in </w:t>
      </w:r>
      <w:r>
        <w:rPr>
          <w:rFonts w:ascii="Consolas" w:hAnsi="Consolas"/>
          <w:color w:val="B03A2E"/>
        </w:rPr>
        <w:t xml:space="preserve">OAppInfoV1::encode()</w:t>
      </w:r>
      <w:r>
        <w:t xml:space="preserve"> resolved delivery. Documented as a first-class integration note.</w:t>
      </w:r>
    </w:p>
    <w:p/>
    <w:p>
      <w:pPr>
        <w:ind w:left="360" w:hanging="360"/>
      </w:pPr>
      <w:r>
        <w:t xml:space="preserve">3. </w:t>
      </w:r>
      <w:r>
        <w:rPr>
          <w:b/>
        </w:rPr>
        <w:t xml:space="preserve">Compact type-1 wire format.</w:t>
      </w:r>
      <w:r>
        <w:t xml:space="preserve"> The proof message is a fixed 97 bytes: </w:t>
      </w:r>
      <w:r>
        <w:rPr>
          <w:rFonts w:ascii="Consolas" w:hAnsi="Consolas"/>
          <w:color w:val="B03A2E"/>
        </w:rPr>
        <w:t xml:space="preserve">0x01 ++ intentId(32) ++ blobId(32) ++ endEpoch(32, big-endian u256)</w:t>
      </w:r>
      <w:r>
        <w:t xml:space="preserve">. A tagged, fixed-length format keeps decoding cheap and unambiguous on both chains.</w:t>
      </w:r>
    </w:p>
    <w:p/>
    <w:p>
      <w:pPr>
        <w:ind w:left="360" w:hanging="360"/>
      </w:pPr>
      <w:r>
        <w:t xml:space="preserve">4. </w:t>
      </w:r>
      <w:r>
        <w:rPr>
          <w:b/>
        </w:rPr>
        <w:t xml:space="preserve">Deterministic intent IDs.</w:t>
      </w:r>
      <w:r>
        <w:t xml:space="preserve"> </w:t>
      </w:r>
      <w:r>
        <w:rPr>
          <w:rFonts w:ascii="Consolas" w:hAnsi="Consolas"/>
          <w:color w:val="B03A2E"/>
        </w:rPr>
        <w:t xml:space="preserve">intentId = keccak256(sender, dstEid, payload, nonce, deadline)</w:t>
      </w:r>
      <w:r>
        <w:t xml:space="preserve">. The same identity is computable on both chains, which makes end-to-end correlation and deduplication trivial.</w:t>
      </w:r>
    </w:p>
    <w:p/>
    <w:p>
      <w:pPr>
        <w:ind w:left="360" w:hanging="360"/>
      </w:pPr>
      <w:r>
        <w:t xml:space="preserve">5. </w:t>
      </w:r>
      <w:r>
        <w:rPr>
          <w:b/>
        </w:rPr>
        <w:t xml:space="preserve">Deletable blobs by policy.</w:t>
      </w:r>
      <w:r>
        <w:t xml:space="preserve"> The executor stores every blob as deletable, enforced in code, satisfying the grant obligation that no path can produce a non-deletable blob.</w:t>
      </w:r>
    </w:p>
    <w:p/>
    <w:p>
      <w:pPr>
        <w:ind w:left="360" w:hanging="360"/>
      </w:pPr>
      <w:r>
        <w:t xml:space="preserve">6. </w:t>
      </w:r>
      <w:r>
        <w:rPr>
          <w:b/>
        </w:rPr>
        <w:t xml:space="preserve">Bidirectional deadline enforcement.</w:t>
      </w:r>
      <w:r>
        <w:t xml:space="preserve"> Deadlines are checked on EVM (</w:t>
      </w:r>
      <w:r>
        <w:rPr>
          <w:rFonts w:ascii="Consolas" w:hAnsi="Consolas"/>
          <w:color w:val="B03A2E"/>
        </w:rPr>
        <w:t xml:space="preserve">submitIntent</w:t>
      </w:r>
      <w:r>
        <w:t xml:space="preserve"> rejects expired) and on Sui (</w:t>
      </w:r>
      <w:r>
        <w:rPr>
          <w:rFonts w:ascii="Consolas" w:hAnsi="Consolas"/>
          <w:color w:val="B03A2E"/>
        </w:rPr>
        <w:t xml:space="preserve">execute_store</w:t>
      </w:r>
      <w:r>
        <w:t xml:space="preserve"> checks the on-chain clock), so a stale intent cannot be executed late.</w:t>
      </w:r>
    </w:p>
    <w:p/>
    <w:p>
      <w:pPr>
        <w:ind w:left="360" w:hanging="360"/>
      </w:pPr>
      <w:r>
        <w:t xml:space="preserve">7. </w:t>
      </w:r>
      <w:r>
        <w:rPr>
          <w:b/>
        </w:rPr>
        <w:t xml:space="preserve">Single trusted relayer for Milestone 1.</w:t>
      </w:r>
      <w:r>
        <w:t xml:space="preserve"> One authorized relayer runs both the Walrus execution and the LZ return path. This is a deliberate scope decision for the execution core; a competing/permissionless relayer model is on the roadmap. The relayer can censor (decline to fulfill) but cannot forge proofs.</w:t>
      </w:r>
    </w:p>
    <w:p/>
    <w:p>
      <w:pPr>
        <w:ind w:left="360" w:hanging="360"/>
      </w:pPr>
      <w:r>
        <w:t xml:space="preserve">8. </w:t>
      </w:r>
      <w:r>
        <w:rPr>
          <w:b/>
        </w:rPr>
        <w:t xml:space="preserve">LayerZero v2 on OpenZeppelin v4.9.6.</w:t>
      </w:r>
      <w:r>
        <w:t xml:space="preserve"> LZ v2's </w:t>
      </w:r>
      <w:r>
        <w:rPr>
          <w:rFonts w:ascii="Consolas" w:hAnsi="Consolas"/>
          <w:color w:val="B03A2E"/>
        </w:rPr>
        <w:t xml:space="preserve">OAppCore</w:t>
      </w:r>
      <w:r>
        <w:t xml:space="preserve"> uses msg.sender-based Ownable from OZ v4.9.6, not v5. Pinning the dependency avoids an Ownable mismatch.</w:t>
      </w:r>
    </w:p>
    <w:p/>
    <w:p>
      <w:pPr>
        <w:pBdr>
          <w:bottom w:val="single" w:sz="6" w:space="1" w:color="AAB7B8"/>
        </w:pBdr>
      </w:pPr>
    </w:p>
    <w:p/>
    <w:p>
      <w:pPr>
        <w:pStyle w:val="Heading2"/>
      </w:pPr>
      <w:r>
        <w:t xml:space="preserve">3. Results of the end-to-end demonstrations</w:t>
      </w:r>
    </w:p>
    <w:p/>
    <w:p>
      <w:r>
        <w:t xml:space="preserve">Deliverable (e) requires at least two documented end-to-end demonstrations with on-chain artifacts sufficient for independent verification.</w:t>
      </w:r>
    </w:p>
    <w:p/>
    <w:p>
      <w:pPr>
        <w:pStyle w:val="Heading3"/>
      </w:pPr>
      <w:r>
        <w:t xml:space="preserve">3.1 Demonstration 1 — archived live run (in the </w:t>
      </w:r>
      <w:r>
        <w:rPr>
          <w:rFonts w:ascii="Consolas" w:hAnsi="Consolas"/>
          <w:color w:val="B03A2E"/>
        </w:rPr>
        <w:t xml:space="preserve">v0.1.0</w:t>
      </w:r>
      <w:r>
        <w:t xml:space="preserve"> release)</w:t>
      </w:r>
    </w:p>
    <w:p/>
    <w:p>
      <w:r>
        <w:t xml:space="preserve">The release documents a complete round trip with every hop on a public explorer:</w:t>
      </w:r>
    </w:p>
    <w:p/>
    <w:tbl>
      <w:tblPr>
        <w:tblStyle w:val="TableGrid"/>
        <w:tblW w:w="9360" w:type="dxa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Artifact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EVM intent submitted (Sepolia)</w:t>
            </w:r>
          </w:p>
        </w:tc>
        <w:tc>
          <w:tcPr>
            <w:tcW w:w="3120" w:type="dxa"/>
          </w:tcPr>
          <w:p>
            <w:r>
              <w:t xml:space="preserve">Etherscan tx </w:t>
            </w:r>
            <w:r>
              <w:rPr>
                <w:rFonts w:ascii="Consolas" w:hAnsi="Consolas"/>
                <w:color w:val="B03A2E"/>
              </w:rPr>
              <w:t xml:space="preserve">0xde576c41…765aa2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LayerZero request DELIVERED (Sepolia → Sui)</w:t>
            </w:r>
          </w:p>
        </w:tc>
        <w:tc>
          <w:tcPr>
            <w:tcW w:w="3120" w:type="dxa"/>
          </w:tcPr>
          <w:p>
            <w:r>
              <w:t xml:space="preserve">LayerZero Scan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Sui executes the Walrus STORE</w:t>
            </w:r>
          </w:p>
        </w:tc>
        <w:tc>
          <w:tcPr>
            <w:tcW w:w="3120" w:type="dxa"/>
          </w:tcPr>
          <w:p>
            <w:r>
              <w:t xml:space="preserve">SuiScan tx </w:t>
            </w:r>
            <w:r>
              <w:rPr>
                <w:rFonts w:ascii="Consolas" w:hAnsi="Consolas"/>
                <w:color w:val="B03A2E"/>
              </w:rPr>
              <w:t xml:space="preserve">5dcGjoC9…BrZMv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Blob stored on Walrus</w:t>
            </w:r>
          </w:p>
        </w:tc>
        <w:tc>
          <w:tcPr>
            <w:tcW w:w="3120" w:type="dxa"/>
          </w:tcPr>
          <w:p>
            <w:r>
              <w:t xml:space="preserve">Walruscan blob </w:t>
            </w:r>
            <w:r>
              <w:rPr>
                <w:rFonts w:ascii="Consolas" w:hAnsi="Consolas"/>
                <w:color w:val="B03A2E"/>
              </w:rPr>
              <w:t xml:space="preserve">1sfeIRiJ…LQvU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Proof returned over a separate LZ message and verified on Sepolia</w:t>
            </w:r>
          </w:p>
        </w:tc>
        <w:tc>
          <w:tcPr>
            <w:tcW w:w="3120" w:type="dxa"/>
          </w:tcPr>
          <w:p>
            <w:r>
              <w:t xml:space="preserve">LayerZero Scan + Etherscan tx </w:t>
            </w:r>
            <w:r>
              <w:rPr>
                <w:rFonts w:ascii="Consolas" w:hAnsi="Consolas"/>
                <w:color w:val="B03A2E"/>
              </w:rPr>
              <w:t xml:space="preserve">0x94196661…9c1309</w:t>
            </w:r>
          </w:p>
        </w:tc>
      </w:tr>
    </w:tbl>
    <w:p/>
    <w:p/>
    <w:p>
      <w:r>
        <w:t xml:space="preserve">Full links are in the </w:t>
      </w:r>
      <w:r>
        <w:rPr>
          <w:color w:val="1A5276"/>
          <w:u w:val="single"/>
        </w:rPr>
        <w:t xml:space="preserve">release notes</w:t>
      </w:r>
      <w:r>
        <w:t xml:space="preserve">.</w:t>
      </w:r>
    </w:p>
    <w:p/>
    <w:p>
      <w:pPr>
        <w:pStyle w:val="Heading3"/>
      </w:pPr>
      <w:r>
        <w:t xml:space="preserve">3.2 Demonstration 2 — reproducible on-demand run (</w:t>
      </w:r>
      <w:r>
        <w:rPr>
          <w:rFonts w:ascii="Consolas" w:hAnsi="Consolas"/>
          <w:color w:val="B03A2E"/>
        </w:rPr>
        <w:t xml:space="preserve">npm run test:e2e</w:t>
      </w:r>
      <w:r>
        <w:t xml:space="preserve">)</w:t>
      </w:r>
    </w:p>
    <w:p/>
    <w:p>
      <w:r>
        <w:rPr>
          <w:rFonts w:ascii="Consolas" w:hAnsi="Consolas"/>
          <w:color w:val="B03A2E"/>
        </w:rPr>
        <w:t xml:space="preserve">npm run test:e2e</w:t>
      </w:r>
      <w:r>
        <w:t xml:space="preserve"> runs the full flow with two-phase LayerZero verification and prints fresh explorer links each run:</w:t>
      </w:r>
    </w:p>
    <w:p/>
    <w:p>
      <w:pPr>
        <w:ind w:left="360" w:hanging="360"/>
      </w:pPr>
      <w:r>
        <w:t xml:space="preserve">•  </w:t>
      </w:r>
      <w:r>
        <w:rPr>
          <w:b/>
        </w:rPr>
        <w:t xml:space="preserve">Forward phase:</w:t>
      </w:r>
      <w:r>
        <w:t xml:space="preserve"> quote the LZ fee, call </w:t>
      </w:r>
      <w:r>
        <w:rPr>
          <w:rFonts w:ascii="Consolas" w:hAnsi="Consolas"/>
          <w:color w:val="B03A2E"/>
        </w:rPr>
        <w:t xml:space="preserve">submitIntent</w:t>
      </w:r>
      <w:r>
        <w:t xml:space="preserve">, poll LayerZero Scan until the message shows DELIVERED on Sui.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Return phase:</w:t>
      </w:r>
      <w:r>
        <w:t xml:space="preserve"> wait for the relayer to upload to Walrus, call </w:t>
      </w:r>
      <w:r>
        <w:rPr>
          <w:rFonts w:ascii="Consolas" w:hAnsi="Consolas"/>
          <w:color w:val="B03A2E"/>
        </w:rPr>
        <w:t xml:space="preserve">execute_store</w:t>
      </w:r>
      <w:r>
        <w:t xml:space="preserve"> and </w:t>
      </w:r>
      <w:r>
        <w:rPr>
          <w:rFonts w:ascii="Consolas" w:hAnsi="Consolas"/>
          <w:color w:val="B03A2E"/>
        </w:rPr>
        <w:t xml:space="preserve">lz_send_proof</w:t>
      </w:r>
      <w:r>
        <w:t xml:space="preserve">, then poll EVM for the </w:t>
      </w:r>
      <w:r>
        <w:rPr>
          <w:rFonts w:ascii="Consolas" w:hAnsi="Consolas"/>
          <w:color w:val="B03A2E"/>
        </w:rPr>
        <w:t xml:space="preserve">IntentExecuted</w:t>
      </w:r>
      <w:r>
        <w:t xml:space="preserve"> event and decode the returned blob ID and end epoch.</w:t>
      </w:r>
    </w:p>
    <w:p/>
    <w:p>
      <w:r>
        <w:t xml:space="preserve">Each execution is an independently documented demonstration: any reviewer with the testnet environment can run it and verify the emitted transactions on Etherscan, LayerZero Scan, SuiScan, and Walruscan. This makes the demonstration repeatable rather than a single snapshot.</w:t>
      </w:r>
    </w:p>
    <w:p/>
    <w:p>
      <w:pPr>
        <w:pStyle w:val="Heading3"/>
      </w:pPr>
      <w:r>
        <w:t xml:space="preserve">3.3 Automated test coverage (at </w:t>
      </w:r>
      <w:r>
        <w:rPr>
          <w:rFonts w:ascii="Consolas" w:hAnsi="Consolas"/>
          <w:color w:val="B03A2E"/>
        </w:rPr>
        <w:t xml:space="preserve">v0.1.0</w:t>
      </w:r>
      <w:r>
        <w:t xml:space="preserve">)</w:t>
      </w:r>
    </w:p>
    <w:p/>
    <w:tbl>
      <w:tblPr>
        <w:tblStyle w:val="TableGrid"/>
        <w:tblW w:w="9360" w:type="dxa"/>
        <w:tblBorders>
          <w:top w:val="single" w:sz="4" w:space="0" w:color="AAB7B8"/>
          <w:left w:val="single" w:sz="4" w:space="0" w:color="AAB7B8"/>
          <w:bottom w:val="single" w:sz="4" w:space="0" w:color="AAB7B8"/>
          <w:right w:val="single" w:sz="4" w:space="0" w:color="AAB7B8"/>
          <w:insideH w:val="single" w:sz="4" w:space="0" w:color="AAB7B8"/>
          <w:insideV w:val="single" w:sz="4" w:space="0" w:color="AAB7B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Layer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Framework</w:t>
            </w:r>
          </w:p>
        </w:tc>
        <w:tc>
          <w:tcPr>
            <w:tcW w:w="3120" w:type="dxa"/>
            <w:shd w:val="clear" w:fill="D6EAF8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3120" w:type="dxa"/>
          </w:tcPr>
          <w:p>
            <w:r>
              <w:t xml:space="preserve">Solidity (</w:t>
            </w:r>
            <w:r>
              <w:rPr>
                <w:rFonts w:ascii="Consolas" w:hAnsi="Consolas"/>
                <w:color w:val="B03A2E"/>
              </w:rPr>
              <w:t xml:space="preserve">BosphorAdapter</w:t>
            </w:r>
            <w:r>
              <w:t xml:space="preserve">)</w:t>
            </w:r>
          </w:p>
        </w:tc>
        <w:tc>
          <w:tcPr>
            <w:tcW w:w="3120" w:type="dxa"/>
          </w:tcPr>
          <w:p>
            <w:r>
              <w:t xml:space="preserve">Forge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25 passed / 0 failed</w:t>
            </w:r>
          </w:p>
        </w:tc>
      </w:tr>
      <w:tr>
        <w:tc>
          <w:tcPr>
            <w:tcW w:w="3120" w:type="dxa"/>
          </w:tcPr>
          <w:p>
            <w:r>
              <w:t xml:space="preserve">Move (</w:t>
            </w:r>
            <w:r>
              <w:rPr>
                <w:rFonts w:ascii="Consolas" w:hAnsi="Consolas"/>
                <w:color w:val="B03A2E"/>
              </w:rPr>
              <w:t xml:space="preserve">lz_receiver</w:t>
            </w:r>
            <w:r>
              <w:t xml:space="preserve">, </w:t>
            </w:r>
            <w:r>
              <w:rPr>
                <w:rFonts w:ascii="Consolas" w:hAnsi="Consolas"/>
                <w:color w:val="B03A2E"/>
              </w:rPr>
              <w:t xml:space="preserve">codec</w:t>
            </w:r>
            <w:r>
              <w:t xml:space="preserve">)</w:t>
            </w:r>
          </w:p>
        </w:tc>
        <w:tc>
          <w:tcPr>
            <w:tcW w:w="3120" w:type="dxa"/>
          </w:tcPr>
          <w:p>
            <w:r>
              <w:rPr>
                <w:rFonts w:ascii="Consolas" w:hAnsi="Consolas"/>
                <w:color w:val="B03A2E"/>
              </w:rPr>
              <w:t xml:space="preserve">sui move test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12 passed / 0 failed</w:t>
            </w:r>
          </w:p>
        </w:tc>
      </w:tr>
      <w:tr>
        <w:tc>
          <w:tcPr>
            <w:tcW w:w="3120" w:type="dxa"/>
          </w:tcPr>
          <w:p>
            <w:r>
              <w:t xml:space="preserve">Relayer (7 suites)</w:t>
            </w:r>
          </w:p>
        </w:tc>
        <w:tc>
          <w:tcPr>
            <w:tcW w:w="3120" w:type="dxa"/>
          </w:tcPr>
          <w:p>
            <w:r>
              <w:t xml:space="preserve">Jest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44 passed / 0 failed</w:t>
            </w:r>
          </w:p>
        </w:tc>
      </w:tr>
      <w:tr>
        <w:tc>
          <w:tcPr>
            <w:tcW w:w="3120" w:type="dxa"/>
          </w:tcPr>
          <w:p>
            <w:r>
              <w:t xml:space="preserve">Cross-chain</w:t>
            </w:r>
          </w:p>
        </w:tc>
        <w:tc>
          <w:tcPr>
            <w:tcW w:w="3120" w:type="dxa"/>
          </w:tcPr>
          <w:p>
            <w:r>
              <w:t xml:space="preserve">E2E harness</w:t>
            </w:r>
          </w:p>
        </w:tc>
        <w:tc>
          <w:tcPr>
            <w:tcW w:w="3120" w:type="dxa"/>
          </w:tcPr>
          <w:p>
            <w:r>
              <w:t xml:space="preserve">Full round trip verified on live testnet</w:t>
            </w:r>
          </w:p>
        </w:tc>
      </w:tr>
    </w:tbl>
    <w:p/>
    <w:p/>
    <w:p>
      <w:r>
        <w:rPr>
          <w:b/>
        </w:rPr>
        <w:t xml:space="preserve">81 unit tests pass</w:t>
      </w:r>
      <w:r>
        <w:t xml:space="preserve"> across the three layers. CI runs the Solidity, Move, and relayer suites in parallel on every push and PR via GitHub Actions (deliverable d: reproducible CI/CD). The E2E test is excluded from CI because it requires live testnet deployments and a running relayer.</w:t>
      </w:r>
    </w:p>
    <w:p/>
    <w:p>
      <w:pPr>
        <w:pBdr>
          <w:bottom w:val="single" w:sz="6" w:space="1" w:color="AAB7B8"/>
        </w:pBdr>
      </w:pPr>
    </w:p>
    <w:p/>
    <w:p>
      <w:pPr>
        <w:pStyle w:val="Heading2"/>
      </w:pPr>
      <w:r>
        <w:t xml:space="preserve">4. Known gaps, tooling limitations, and open items</w:t>
      </w:r>
    </w:p>
    <w:p/>
    <w:p>
      <w:r>
        <w:t xml:space="preserve">These are the constraints of the initial release as documented in </w:t>
      </w:r>
      <w:r>
        <w:rPr>
          <w:color w:val="1A5276"/>
          <w:u w:val="single"/>
        </w:rPr>
        <w:t xml:space="preserve">Known Limitations</w:t>
      </w:r>
      <w:r>
        <w:t xml:space="preserve"> (deliverable f). They are scope decisions and testnet realities, not defects.</w:t>
      </w:r>
    </w:p>
    <w:p/>
    <w:p>
      <w:pPr>
        <w:pStyle w:val="Heading3"/>
      </w:pPr>
      <w:r>
        <w:t xml:space="preserve">4.1 Architectural (by design for Milestone 1)</w:t>
      </w:r>
    </w:p>
    <w:p/>
    <w:p>
      <w:pPr>
        <w:ind w:left="360" w:hanging="360"/>
      </w:pPr>
      <w:r>
        <w:t xml:space="preserve">•  </w:t>
      </w:r>
      <w:r>
        <w:rPr>
          <w:b/>
        </w:rPr>
        <w:t xml:space="preserve">Single relayer trust model.</w:t>
      </w:r>
      <w:r>
        <w:t xml:space="preserve"> One trusted relayer; if it is offline, intents are not fulfilled until it recovers. It can censor but cannot forge proofs (DVN-verified). A competing/permissionless relayer model is roadmapped.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No origin-chain payment / fee recovery.</w:t>
      </w:r>
      <w:r>
        <w:t xml:space="preserve"> The relayer pays all LZ fees and Sui gas; there is no on-chain mechanism to recover costs from the intent sender. Sustainability currently depends on off-chain funding. Origin-chain payment flow is a later milestone.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Single DVN (LayerZero Labs).</w:t>
      </w:r>
      <w:r>
        <w:t xml:space="preserve"> One DVN configuration on testnet. Multi-DVN is a hardening item.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Relayer triggers proof verification, and no on-chain intent cancellation.</w:t>
      </w:r>
      <w:r>
        <w:t xml:space="preserve"> A submitted intent is either fulfilled before its deadline or expires silently; there is no cancel path.</w:t>
      </w:r>
    </w:p>
    <w:p/>
    <w:p>
      <w:pPr>
        <w:pStyle w:val="Heading3"/>
      </w:pPr>
      <w:r>
        <w:t xml:space="preserve">4.2 Chain and protocol scope</w:t>
      </w:r>
    </w:p>
    <w:p/>
    <w:p>
      <w:pPr>
        <w:ind w:left="360" w:hanging="360"/>
      </w:pPr>
      <w:r>
        <w:t xml:space="preserve">•  EVM origin: Sepolia testnet only (mainnet support exists in code but is not activated).</w:t>
      </w:r>
    </w:p>
    <w:p>
      <w:pPr>
        <w:ind w:left="360" w:hanging="360"/>
      </w:pPr>
      <w:r>
        <w:t xml:space="preserve">•  Storage: Walrus on Sui testnet only; blobs are deletable, fixed </w:t>
      </w:r>
      <w:r>
        <w:rPr>
          <w:rFonts w:ascii="Consolas" w:hAnsi="Consolas"/>
          <w:color w:val="B03A2E"/>
        </w:rPr>
        <w:t xml:space="preserve">WALRUS_STORE_EPOCHS</w:t>
      </w:r>
      <w:r>
        <w:t xml:space="preserve"> (default 5), no per-intent duration.</w:t>
      </w:r>
    </w:p>
    <w:p>
      <w:pPr>
        <w:ind w:left="360" w:hanging="360"/>
      </w:pPr>
      <w:r>
        <w:t xml:space="preserve">•  Multi-EVM (Arbitrum, Base, Optimism) is planned; Solana origin is a later milestone.</w:t>
      </w:r>
    </w:p>
    <w:p/>
    <w:p>
      <w:pPr>
        <w:pStyle w:val="Heading3"/>
      </w:pPr>
      <w:r>
        <w:t xml:space="preserve">4.3 Tooling and operational constraints</w:t>
      </w:r>
    </w:p>
    <w:p/>
    <w:p>
      <w:pPr>
        <w:ind w:left="360" w:hanging="360"/>
      </w:pPr>
      <w:r>
        <w:t xml:space="preserve">•  </w:t>
      </w:r>
      <w:r>
        <w:rPr>
          <w:b/>
        </w:rPr>
        <w:t xml:space="preserve">LZ fee estimation under gas volatility.</w:t>
      </w:r>
      <w:r>
        <w:t xml:space="preserve"> LZ messaging fees are quoted with a 10% buffer. In periods of sharp gas volatility the buffer can be insufficient and the send fails; the relayer retries with an updated fee quote.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Off-chain funding of the relayer.</w:t>
      </w:r>
      <w:r>
        <w:t xml:space="preserve"> The relayer pays all LZ fees and Sui gas from its own wallets, funded off-chain on testnet. There is no automated funding or fee recovery in the Milestone 1 release.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Object version conflicts on Sui.</w:t>
      </w:r>
      <w:r>
        <w:t xml:space="preserve"> Consecutive transactions touching the same shared object can fail on version conflict under high throughput; the relayer serializes with </w:t>
      </w:r>
      <w:r>
        <w:rPr>
          <w:rFonts w:ascii="Consolas" w:hAnsi="Consolas"/>
          <w:color w:val="B03A2E"/>
        </w:rPr>
        <w:t xml:space="preserve">waitForTransaction</w:t>
      </w:r>
      <w:r>
        <w:t xml:space="preserve">, which caps concurrency.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Deadline race window.</w:t>
      </w:r>
      <w:r>
        <w:t xml:space="preserve"> An intent submitted near its deadline can be accepted on EVM but expire before the relayer executes on Sui; the relayer skips expired intents rather than waste gas.</w:t>
      </w:r>
    </w:p>
    <w:p/>
    <w:p>
      <w:pPr>
        <w:pStyle w:val="Heading3"/>
      </w:pPr>
      <w:r>
        <w:t xml:space="preserve">4.4 Open items carried into Milestone 2</w:t>
      </w:r>
    </w:p>
    <w:p/>
    <w:p>
      <w:pPr>
        <w:ind w:left="360" w:hanging="360"/>
      </w:pPr>
      <w:r>
        <w:t xml:space="preserve">•  Comprehensive testnet validation with controlled failure injection and recovery testing.</w:t>
      </w:r>
    </w:p>
    <w:p>
      <w:pPr>
        <w:ind w:left="360" w:hanging="360"/>
      </w:pPr>
      <w:r>
        <w:t xml:space="preserve">•  Real-time monitoring (relay latency, success/failure rates, storage operations, LZ delivery status) and runtime alerting.</w:t>
      </w:r>
    </w:p>
    <w:p>
      <w:pPr>
        <w:ind w:left="360" w:hanging="360"/>
      </w:pPr>
      <w:r>
        <w:t xml:space="preserve">•  Operational hardening of relayer/wallet funding and health so continuous operation does not require manual intervention.</w:t>
      </w:r>
    </w:p>
    <w:p/>
    <w:p>
      <w:r>
        <w:t xml:space="preserve">These are precisely the Milestone 2 deliverables and are the natural next step, not gaps in the Milestone 1 execution core.</w:t>
      </w:r>
    </w:p>
    <w:p/>
    <w:p>
      <w:pPr>
        <w:pBdr>
          <w:bottom w:val="single" w:sz="6" w:space="1" w:color="AAB7B8"/>
        </w:pBdr>
      </w:pPr>
    </w:p>
    <w:p/>
    <w:p>
      <w:pPr>
        <w:pStyle w:val="Heading2"/>
      </w:pPr>
      <w:r>
        <w:t xml:space="preserve">5. Grantee's written recommendation</w:t>
      </w:r>
    </w:p>
    <w:p/>
    <w:p>
      <w:r>
        <w:rPr>
          <w:b/>
        </w:rPr>
        <w:t xml:space="preserve">We recommend proceeding to Milestone 2 (Proof Validation &amp; System Stabilization).</w:t>
      </w:r>
    </w:p>
    <w:p/>
    <w:p>
      <w:r>
        <w:t xml:space="preserve">The Milestone 1 execution core is complete, live on public testnets, independently verifiable through both an archived on-chain run and a reproducible end-to-end harness, and covered by 81 passing unit tests plus reproducible CI. The core trust property, origin-chain verification of storage through a dedicated LayerZero response message rather than relayer attestation, is implemented and demonstrated.</w:t>
      </w:r>
    </w:p>
    <w:p/>
    <w:p>
      <w:r>
        <w:t xml:space="preserve">Milestone 2 is the natural continuation:</w:t>
      </w:r>
    </w:p>
    <w:p/>
    <w:p>
      <w:pPr>
        <w:ind w:left="360" w:hanging="360"/>
      </w:pPr>
      <w:r>
        <w:t xml:space="preserve">•  </w:t>
      </w:r>
      <w:r>
        <w:rPr>
          <w:b/>
        </w:rPr>
        <w:t xml:space="preserve">End-to-end testnet validation and failure injection (M2 deliverable a)</w:t>
      </w:r>
      <w:r>
        <w:t xml:space="preserve"> builds directly on the existing E2E harness and the 81-test unit base.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Monitoring dashboard (M2 deliverable b)</w:t>
      </w:r>
      <w:r>
        <w:t xml:space="preserve"> introduces real-time visibility (relay latency, success/failure rates, Walrus operations, LZ delivery) and alerting on top of the deployed relayer.</w:t>
      </w:r>
    </w:p>
    <w:p/>
    <w:p>
      <w:r>
        <w:t xml:space="preserve">No architectural rework is required to begin Milestone 2. The open items in Section 4.4 are the Milestone 2 scope itself.</w:t>
      </w:r>
    </w:p>
    <w:p/>
    <w:p>
      <w:pPr>
        <w:pBdr>
          <w:bottom w:val="single" w:sz="6" w:space="1" w:color="AAB7B8"/>
        </w:pBdr>
      </w:pPr>
    </w:p>
    <w:p/>
    <w:p>
      <w:r>
        <w:t xml:space="preserve">*Prepared by Riva Labs for the Walrus Foundation. All contract addresses, transactions, and blobs referenced are verifiable on public explorers as linked in the </w:t>
      </w:r>
      <w:r>
        <w:rPr>
          <w:rFonts w:ascii="Consolas" w:hAnsi="Consolas"/>
          <w:color w:val="B03A2E"/>
        </w:rPr>
        <w:t xml:space="preserve">v0.1.0</w:t>
      </w:r>
      <w:r>
        <w:t xml:space="preserve"> release notes and at </w:t>
      </w:r>
      <w:r>
        <w:rPr>
          <w:color w:val="1A5276"/>
          <w:u w:val="single"/>
        </w:rPr>
        <w:t xml:space="preserve">docs.bosphor.xyz</w:t>
      </w:r>
      <w:r>
        <w:t xml:space="preserve">.*</w:t>
      </w:r>
    </w:p>
    <w:p/>
    <w:sectPr>
      <w:pgSz w:w="11906" w:h="16838"/>
      <w:pgMar w:top="1134" w:bottom="1134" w:left="1134" w:righ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spacing w:before="240" w:after="120"/>
    </w:pPr>
    <w:rPr>
      <w:b/>
      <w:color w:val="1A5276"/>
      <w:sz w:val="36"/>
    </w:rPr>
  </w:style>
  <w:style w:type="paragraph" w:styleId="Heading2">
    <w:name w:val="heading 2"/>
    <w:pPr>
      <w:spacing w:before="220" w:after="80"/>
    </w:pPr>
    <w:rPr>
      <w:b/>
      <w:color w:val="1F618D"/>
      <w:sz w:val="28"/>
    </w:rPr>
  </w:style>
  <w:style w:type="paragraph" w:styleId="Heading3">
    <w:name w:val="heading 3"/>
    <w:pPr>
      <w:spacing w:before="160" w:after="60"/>
    </w:pPr>
    <w:rPr>
      <w:b/>
      <w:color w:val="2874A6"/>
      <w:sz w:val="24"/>
    </w:rPr>
  </w:style>
  <w:style w:type="paragraph" w:styleId="Quote">
    <w:name w:val="Quote"/>
    <w:pPr>
      <w:ind w:left="360"/>
      <w:pBdr>
        <w:left w:val="single" w:sz="18" w:space="8" w:color="AED6F1"/>
      </w:pBdr>
    </w:pPr>
    <w:rPr>
      <w:i/>
      <w:color w:val="566573"/>
    </w:rPr>
  </w:style>
  <w:style w:type="paragraph" w:styleId="Code">
    <w:name w:val="Code"/>
    <w:pPr>
      <w:shd w:val="clear" w:fill="F4F6F7"/>
      <w:spacing w:after="0"/>
    </w:pPr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