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Knowledge base — Prj Stradebianche / OPAS Intesa Sanpaolo su MPS</w:t>
      </w:r>
    </w:p>
    <w:p>
      <w:pPr>
        <w:jc w:val="center"/>
      </w:pPr>
      <w:r>
        <w:rPr>
          <w:i/>
          <w:sz w:val="18"/>
        </w:rPr>
        <w:t>DOCUMENTO PRELIMINARE AD USO INTERNO — 16 settembre 2026</w:t>
      </w:r>
    </w:p>
    <w:p/>
    <w:p>
      <w:pPr>
        <w:pStyle w:val="Heading2"/>
      </w:pPr>
      <w:r>
        <w:t>Front matter</w:t>
      </w:r>
    </w:p>
    <w:p>
      <w:r>
        <w:rPr>
          <w:b/>
        </w:rPr>
        <w:t>Scopo del documento.</w:t>
      </w:r>
      <w:r>
        <w:t xml:space="preserve"> Questo file è la base di conoscenza da fornire come input contestuale a un agente AI che debba lavorare sul dossier "Prj Stradebianche". Non è un memo per un lettore umano che segue un ragionamento: è organizzato per il consumo da parte di un agente, con separazione strutturale fra ciò che è accertato, ciò che è concluso per via analitica e ciò che resta aperto.</w:t>
      </w:r>
    </w:p>
    <w:p>
      <w:r>
        <w:rPr>
          <w:b/>
        </w:rPr>
        <w:t>Data di riferimento: 16 settembre 2026.</w:t>
      </w:r>
      <w:r>
        <w:t xml:space="preserve"> Tutte le affermazioni fattuali sono riferite a questa data.</w:t>
      </w:r>
    </w:p>
    <w:p>
      <w:r>
        <w:rPr>
          <w:b/>
        </w:rPr>
        <w:t>Perimetro.</w:t>
      </w:r>
      <w:r>
        <w:t xml:space="preserve"> Analisi degli scenari alternativi (</w:t>
      </w:r>
      <w:r>
        <w:rPr>
          <w:i/>
        </w:rPr>
        <w:t>what-if</w:t>
      </w:r>
      <w:r>
        <w:t>) rispetto alle due assunzioni implicite della timeline di integrazione post-OPAS: (a) il raggiungimento della soglia del 90% che apre lo squeeze-out e quindi il delisting; (b) le dimissioni volontarie del Consiglio di Amministrazione della target subito dopo il settlement. Non rientrano nel perimetro: la valutazione del corrispettivo, il merito industriale dell'operazione, la modellistica finanziaria.</w:t>
      </w:r>
    </w:p>
    <w:p>
      <w:r>
        <w:rPr>
          <w:b/>
        </w:rPr>
        <w:t>Documento di dettaglio collegato.</w:t>
      </w:r>
      <w:r>
        <w:t xml:space="preserve"> </w:t>
      </w:r>
      <w:r>
        <w:rPr>
          <w:rFonts w:ascii="Consolas" w:hAnsi="Consolas"/>
          <w:sz w:val="18"/>
        </w:rPr>
        <w:t>analisi/prj-stradebianche/nodi-what-if-timeline-opas.md</w:t>
      </w:r>
      <w:r>
        <w:t xml:space="preserve"> nello stesso repository contiene la trattazione estesa, con il ragionamento completo e l'apparato di fonti. Questo file ne è la riorganizzazione per uso agentico, non un duplicato.</w:t>
      </w:r>
    </w:p>
    <w:p>
      <w:pPr>
        <w:pStyle w:val="Heading3"/>
      </w:pPr>
      <w:r>
        <w:t>Istruzioni d'uso per l'agente destinatario</w:t>
      </w:r>
    </w:p>
    <w:p>
      <w:pPr>
        <w:pStyle w:val="ListNumber"/>
      </w:pPr>
      <w:r>
        <w:rPr>
          <w:b/>
        </w:rPr>
        <w:t>Rispetta la tripartizione.</w:t>
      </w:r>
      <w:r>
        <w:t xml:space="preserve"> La Parte I contiene fatti verificati su fonte primaria o su fonte secondaria affidabile, con l'indicazione della fonte. La Parte II contiene conclusioni analitiche: sono difendibili ma sono ragionamenti, non fatti, e vanno presentate come tali. La Parte III elenca ciò che non è stato verificato: </w:t>
      </w:r>
      <w:r>
        <w:rPr>
          <w:b/>
        </w:rPr>
        <w:t>non trattare quei punti come acquisiti</w:t>
      </w:r>
      <w:r>
        <w:t xml:space="preserve"> e non costruirci sopra raccomandazioni operative senza averli prima riscontrati.</w:t>
      </w:r>
    </w:p>
    <w:p>
      <w:pPr>
        <w:pStyle w:val="ListNumber"/>
      </w:pPr>
      <w:r>
        <w:rPr>
          <w:b/>
        </w:rPr>
        <w:t>La data di riferimento è il 16 settembre 2026.</w:t>
      </w:r>
      <w:r>
        <w:t xml:space="preserve"> L'operazione è in corso e diversi elementi sono in movimento: l'approvazione Consob del documento di offerta, l'istruttoria AGCM, le autorizzazioni BCE, la delibera Consob di attuazione della riforma del TUF, l'assemblea MPS del 29 ottobre 2026. Qualsiasi informazione successiva a questa data </w:t>
      </w:r>
      <w:r>
        <w:rPr>
          <w:b/>
        </w:rPr>
        <w:t>va cercata, non assunta</w:t>
      </w:r>
      <w:r>
        <w:t>. Se ti trovi a operare in una data successiva, verifica per prima cosa lo stato di questi cinque procedimenti.</w:t>
      </w:r>
    </w:p>
    <w:p>
      <w:pPr>
        <w:pStyle w:val="ListNumber"/>
      </w:pPr>
      <w:r>
        <w:rPr>
          <w:b/>
        </w:rPr>
        <w:t>Non ricalcolare da zero le conclusioni consolidate.</w:t>
      </w:r>
      <w:r>
        <w:t xml:space="preserve"> Le analisi della Parte II sono il prodotto di un lavoro di ricerca già svolto. Usale come punto di partenza e concentra lo sforzo sui punti aperti della Parte III e su ciò che il tuo compito specifico richiede in più.</w:t>
      </w:r>
    </w:p>
    <w:p>
      <w:pPr>
        <w:pStyle w:val="ListNumber"/>
      </w:pPr>
      <w:r>
        <w:rPr>
          <w:b/>
        </w:rPr>
        <w:t>Materiale riservato, a uso interno.</w:t>
      </w:r>
      <w:r>
        <w:t xml:space="preserve"> Non diffondere, non pubblicare, non citare all'esterno. Non interagire con soggetti terzi (emittenti, autorità, controparti) sulla base di questo materiale.</w:t>
      </w:r>
    </w:p>
    <w:p>
      <w:pPr>
        <w:pStyle w:val="ListNumber"/>
      </w:pPr>
      <w:r>
        <w:rPr>
          <w:b/>
        </w:rPr>
        <w:t>Attenzione alla distinzione fra soglie.</w:t>
      </w:r>
      <w:r>
        <w:t xml:space="preserve"> Nel dossier ricorrono quattro numeri diversi che è facile confondere: 30% (soglia OPA obbligatoria), 66,67% (Condizione Soglia dell'offerta e maggioranza per la fusione), 90% (squeeze-out e sell-out da flottante, </w:t>
      </w:r>
      <w:r>
        <w:rPr>
          <w:b/>
        </w:rPr>
        <w:t>soglia nuova dal 2026</w:t>
      </w:r>
      <w:r>
        <w:t>), 95% (sell-out pieno ex art. 108 c. 1, soglia residua). Verifica sempre a quale ti stai riferendo.</w:t>
      </w:r>
    </w:p>
    <w:p>
      <w:r>
        <w:br w:type="page"/>
      </w:r>
    </w:p>
    <w:p>
      <w:pPr>
        <w:pStyle w:val="Heading2"/>
      </w:pPr>
      <w:r>
        <w:t>Glossario</w:t>
      </w:r>
    </w:p>
    <w:p>
      <w:pPr>
        <w:pStyle w:val="Heading3"/>
      </w:pPr>
      <w:r>
        <w:t>Soggetti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r>
              <w:rPr>
                <w:b/>
                <w:sz w:val="16"/>
              </w:rPr>
              <w:t>Sigla</w:t>
            </w:r>
          </w:p>
        </w:tc>
        <w:tc>
          <w:tcPr>
            <w:tcW w:type="dxa" w:w="2880"/>
          </w:tcPr>
          <w:p>
            <w:pPr>
              <w:spacing w:after="40"/>
            </w:pPr>
            <w:r>
              <w:rPr>
                <w:b/>
                <w:sz w:val="16"/>
              </w:rPr>
            </w:r>
            <w:r>
              <w:rPr>
                <w:b/>
                <w:sz w:val="16"/>
              </w:rPr>
              <w:t>Denominazione</w:t>
            </w:r>
          </w:p>
        </w:tc>
        <w:tc>
          <w:tcPr>
            <w:tcW w:type="dxa" w:w="2880"/>
          </w:tcPr>
          <w:p>
            <w:pPr>
              <w:spacing w:after="40"/>
            </w:pPr>
            <w:r>
              <w:rPr>
                <w:b/>
                <w:sz w:val="16"/>
              </w:rPr>
            </w:r>
            <w:r>
              <w:rPr>
                <w:b/>
                <w:sz w:val="16"/>
              </w:rPr>
              <w:t>Ruolo nel dossier</w:t>
            </w:r>
          </w:p>
        </w:tc>
      </w:tr>
      <w:tr>
        <w:tc>
          <w:tcPr>
            <w:tcW w:type="dxa" w:w="2880"/>
          </w:tcPr>
          <w:p>
            <w:pPr>
              <w:spacing w:after="40"/>
            </w:pPr>
            <w:r>
              <w:rPr>
                <w:sz w:val="16"/>
              </w:rPr>
            </w:r>
            <w:r>
              <w:rPr>
                <w:b/>
                <w:sz w:val="16"/>
              </w:rPr>
              <w:t>ISP</w:t>
            </w:r>
          </w:p>
        </w:tc>
        <w:tc>
          <w:tcPr>
            <w:tcW w:type="dxa" w:w="2880"/>
          </w:tcPr>
          <w:p>
            <w:pPr>
              <w:spacing w:after="40"/>
            </w:pPr>
            <w:r>
              <w:rPr>
                <w:sz w:val="16"/>
              </w:rPr>
            </w:r>
            <w:r>
              <w:rPr>
                <w:sz w:val="16"/>
              </w:rPr>
              <w:t>Intesa Sanpaolo S.p.A.</w:t>
            </w:r>
          </w:p>
        </w:tc>
        <w:tc>
          <w:tcPr>
            <w:tcW w:type="dxa" w:w="2880"/>
          </w:tcPr>
          <w:p>
            <w:pPr>
              <w:spacing w:after="40"/>
            </w:pPr>
            <w:r>
              <w:rPr>
                <w:sz w:val="16"/>
              </w:rPr>
            </w:r>
            <w:r>
              <w:rPr>
                <w:sz w:val="16"/>
              </w:rPr>
              <w:t xml:space="preserve">Offerente. Banca quotata su Euronext Milan, </w:t>
            </w:r>
            <w:r>
              <w:rPr>
                <w:i/>
                <w:sz w:val="16"/>
              </w:rPr>
              <w:t>significant institution</w:t>
            </w:r>
            <w:r>
              <w:rPr>
                <w:sz w:val="16"/>
              </w:rPr>
              <w:t xml:space="preserve"> vigilata BCE, già conglomerato finanziario</w:t>
            </w:r>
          </w:p>
        </w:tc>
      </w:tr>
      <w:tr>
        <w:tc>
          <w:tcPr>
            <w:tcW w:type="dxa" w:w="2880"/>
          </w:tcPr>
          <w:p>
            <w:pPr>
              <w:spacing w:after="40"/>
            </w:pPr>
            <w:r>
              <w:rPr>
                <w:sz w:val="16"/>
              </w:rPr>
            </w:r>
            <w:r>
              <w:rPr>
                <w:b/>
                <w:sz w:val="16"/>
              </w:rPr>
              <w:t>MPS</w:t>
            </w:r>
            <w:r>
              <w:rPr>
                <w:sz w:val="16"/>
              </w:rPr>
              <w:t xml:space="preserve"> / BMPS</w:t>
            </w:r>
          </w:p>
        </w:tc>
        <w:tc>
          <w:tcPr>
            <w:tcW w:type="dxa" w:w="2880"/>
          </w:tcPr>
          <w:p>
            <w:pPr>
              <w:spacing w:after="40"/>
            </w:pPr>
            <w:r>
              <w:rPr>
                <w:sz w:val="16"/>
              </w:rPr>
            </w:r>
            <w:r>
              <w:rPr>
                <w:sz w:val="16"/>
              </w:rPr>
              <w:t>Banca Monte dei Paschi di Siena S.p.A.</w:t>
            </w:r>
          </w:p>
        </w:tc>
        <w:tc>
          <w:tcPr>
            <w:tcW w:type="dxa" w:w="2880"/>
          </w:tcPr>
          <w:p>
            <w:pPr>
              <w:spacing w:after="40"/>
            </w:pPr>
            <w:r>
              <w:rPr>
                <w:sz w:val="16"/>
              </w:rPr>
            </w:r>
            <w:r>
              <w:rPr>
                <w:sz w:val="16"/>
              </w:rPr>
              <w:t>Emittente / target. Banca quotata su Euronext Milan, sede in Siena</w:t>
            </w:r>
          </w:p>
        </w:tc>
      </w:tr>
      <w:tr>
        <w:tc>
          <w:tcPr>
            <w:tcW w:type="dxa" w:w="2880"/>
          </w:tcPr>
          <w:p>
            <w:pPr>
              <w:spacing w:after="40"/>
            </w:pPr>
            <w:r>
              <w:rPr>
                <w:sz w:val="16"/>
              </w:rPr>
            </w:r>
            <w:r>
              <w:rPr>
                <w:b/>
                <w:sz w:val="16"/>
              </w:rPr>
              <w:t>MB</w:t>
            </w:r>
          </w:p>
        </w:tc>
        <w:tc>
          <w:tcPr>
            <w:tcW w:type="dxa" w:w="2880"/>
          </w:tcPr>
          <w:p>
            <w:pPr>
              <w:spacing w:after="40"/>
            </w:pPr>
            <w:r>
              <w:rPr>
                <w:sz w:val="16"/>
              </w:rPr>
            </w:r>
            <w:r>
              <w:rPr>
                <w:sz w:val="16"/>
              </w:rPr>
              <w:t>Mediobanca – Banca di Credito Finanziario S.p.A.</w:t>
            </w:r>
          </w:p>
        </w:tc>
        <w:tc>
          <w:tcPr>
            <w:tcW w:type="dxa" w:w="2880"/>
          </w:tcPr>
          <w:p>
            <w:pPr>
              <w:spacing w:after="40"/>
            </w:pPr>
            <w:r>
              <w:rPr>
                <w:sz w:val="16"/>
              </w:rPr>
            </w:r>
            <w:r>
              <w:rPr>
                <w:sz w:val="16"/>
              </w:rPr>
              <w:t>Controllata di MPS all'86,348%, ancora quotata; in corso la fusione per incorporazione in MPS</w:t>
            </w:r>
          </w:p>
        </w:tc>
      </w:tr>
      <w:tr>
        <w:tc>
          <w:tcPr>
            <w:tcW w:type="dxa" w:w="2880"/>
          </w:tcPr>
          <w:p>
            <w:pPr>
              <w:spacing w:after="40"/>
            </w:pPr>
            <w:r>
              <w:rPr>
                <w:sz w:val="16"/>
              </w:rPr>
            </w:r>
            <w:r>
              <w:rPr>
                <w:b/>
                <w:sz w:val="16"/>
              </w:rPr>
              <w:t>AG</w:t>
            </w:r>
          </w:p>
        </w:tc>
        <w:tc>
          <w:tcPr>
            <w:tcW w:type="dxa" w:w="2880"/>
          </w:tcPr>
          <w:p>
            <w:pPr>
              <w:spacing w:after="40"/>
            </w:pPr>
            <w:r>
              <w:rPr>
                <w:sz w:val="16"/>
              </w:rPr>
            </w:r>
            <w:r>
              <w:rPr>
                <w:sz w:val="16"/>
              </w:rPr>
              <w:t>Assicurazioni Generali S.p.A.</w:t>
            </w:r>
          </w:p>
        </w:tc>
        <w:tc>
          <w:tcPr>
            <w:tcW w:type="dxa" w:w="2880"/>
          </w:tcPr>
          <w:p>
            <w:pPr>
              <w:spacing w:after="40"/>
            </w:pPr>
            <w:r>
              <w:rPr>
                <w:sz w:val="16"/>
              </w:rPr>
            </w:r>
            <w:r>
              <w:rPr>
                <w:sz w:val="16"/>
              </w:rPr>
              <w:t>Partecipata al 13,2-13,3% tramite MB; nodo prudenziale dell'operazione (Danish Compromise)</w:t>
            </w:r>
          </w:p>
        </w:tc>
      </w:tr>
      <w:tr>
        <w:tc>
          <w:tcPr>
            <w:tcW w:type="dxa" w:w="2880"/>
          </w:tcPr>
          <w:p>
            <w:pPr>
              <w:spacing w:after="40"/>
            </w:pPr>
            <w:r>
              <w:rPr>
                <w:sz w:val="16"/>
              </w:rPr>
            </w:r>
            <w:r>
              <w:rPr>
                <w:b/>
                <w:sz w:val="16"/>
              </w:rPr>
              <w:t>Unipol</w:t>
            </w:r>
          </w:p>
        </w:tc>
        <w:tc>
          <w:tcPr>
            <w:tcW w:type="dxa" w:w="2880"/>
          </w:tcPr>
          <w:p>
            <w:pPr>
              <w:spacing w:after="40"/>
            </w:pPr>
            <w:r>
              <w:rPr>
                <w:sz w:val="16"/>
              </w:rPr>
            </w:r>
            <w:r>
              <w:rPr>
                <w:sz w:val="16"/>
              </w:rPr>
              <w:t>Unipol Assicurazioni S.p.A.</w:t>
            </w:r>
          </w:p>
        </w:tc>
        <w:tc>
          <w:tcPr>
            <w:tcW w:type="dxa" w:w="2880"/>
          </w:tcPr>
          <w:p>
            <w:pPr>
              <w:spacing w:after="40"/>
            </w:pPr>
            <w:r>
              <w:rPr>
                <w:sz w:val="16"/>
              </w:rPr>
            </w:r>
            <w:r>
              <w:rPr>
                <w:sz w:val="16"/>
              </w:rPr>
              <w:t>Acquirente del compendio oggetto del rimedio antitrust; detiene poco meno del 30% di BPER</w:t>
            </w:r>
          </w:p>
        </w:tc>
      </w:tr>
      <w:tr>
        <w:tc>
          <w:tcPr>
            <w:tcW w:type="dxa" w:w="2880"/>
          </w:tcPr>
          <w:p>
            <w:pPr>
              <w:spacing w:after="40"/>
            </w:pPr>
            <w:r>
              <w:rPr>
                <w:sz w:val="16"/>
              </w:rPr>
            </w:r>
            <w:r>
              <w:rPr>
                <w:b/>
                <w:sz w:val="16"/>
              </w:rPr>
              <w:t>Delfin</w:t>
            </w:r>
          </w:p>
        </w:tc>
        <w:tc>
          <w:tcPr>
            <w:tcW w:type="dxa" w:w="2880"/>
          </w:tcPr>
          <w:p>
            <w:pPr>
              <w:spacing w:after="40"/>
            </w:pPr>
            <w:r>
              <w:rPr>
                <w:sz w:val="16"/>
              </w:rPr>
            </w:r>
            <w:r>
              <w:rPr>
                <w:sz w:val="16"/>
              </w:rPr>
              <w:t>Delfin S.à r.l.</w:t>
            </w:r>
          </w:p>
        </w:tc>
        <w:tc>
          <w:tcPr>
            <w:tcW w:type="dxa" w:w="2880"/>
          </w:tcPr>
          <w:p>
            <w:pPr>
              <w:spacing w:after="40"/>
            </w:pPr>
            <w:r>
              <w:rPr>
                <w:sz w:val="16"/>
              </w:rPr>
            </w:r>
            <w:r>
              <w:rPr>
                <w:sz w:val="16"/>
              </w:rPr>
              <w:t>Primo azionista MPS (17,53%)</w:t>
            </w:r>
          </w:p>
        </w:tc>
      </w:tr>
      <w:tr>
        <w:tc>
          <w:tcPr>
            <w:tcW w:type="dxa" w:w="2880"/>
          </w:tcPr>
          <w:p>
            <w:pPr>
              <w:spacing w:after="40"/>
            </w:pPr>
            <w:r>
              <w:rPr>
                <w:sz w:val="16"/>
              </w:rPr>
            </w:r>
            <w:r>
              <w:rPr>
                <w:b/>
                <w:sz w:val="16"/>
              </w:rPr>
              <w:t>AGCM</w:t>
            </w:r>
          </w:p>
        </w:tc>
        <w:tc>
          <w:tcPr>
            <w:tcW w:type="dxa" w:w="2880"/>
          </w:tcPr>
          <w:p>
            <w:pPr>
              <w:spacing w:after="40"/>
            </w:pPr>
            <w:r>
              <w:rPr>
                <w:sz w:val="16"/>
              </w:rPr>
            </w:r>
            <w:r>
              <w:rPr>
                <w:sz w:val="16"/>
              </w:rPr>
              <w:t>Autorità Garante della Concorrenza e del Mercato</w:t>
            </w:r>
          </w:p>
        </w:tc>
        <w:tc>
          <w:tcPr>
            <w:tcW w:type="dxa" w:w="2880"/>
          </w:tcPr>
          <w:p>
            <w:pPr>
              <w:spacing w:after="40"/>
            </w:pPr>
            <w:r>
              <w:rPr>
                <w:sz w:val="16"/>
              </w:rPr>
            </w:r>
            <w:r>
              <w:rPr>
                <w:sz w:val="16"/>
              </w:rPr>
              <w:t>Antitrust italiana; istruttoria approfondita aperta il 14 settembre 2026</w:t>
            </w:r>
          </w:p>
        </w:tc>
      </w:tr>
      <w:tr>
        <w:tc>
          <w:tcPr>
            <w:tcW w:type="dxa" w:w="2880"/>
          </w:tcPr>
          <w:p>
            <w:pPr>
              <w:spacing w:after="40"/>
            </w:pPr>
            <w:r>
              <w:rPr>
                <w:sz w:val="16"/>
              </w:rPr>
            </w:r>
            <w:r>
              <w:rPr>
                <w:b/>
                <w:sz w:val="16"/>
              </w:rPr>
              <w:t>Consob</w:t>
            </w:r>
          </w:p>
        </w:tc>
        <w:tc>
          <w:tcPr>
            <w:tcW w:type="dxa" w:w="2880"/>
          </w:tcPr>
          <w:p>
            <w:pPr>
              <w:spacing w:after="40"/>
            </w:pPr>
            <w:r>
              <w:rPr>
                <w:sz w:val="16"/>
              </w:rPr>
            </w:r>
            <w:r>
              <w:rPr>
                <w:sz w:val="16"/>
              </w:rPr>
              <w:t>Commissione Nazionale per le Società e la Borsa</w:t>
            </w:r>
          </w:p>
        </w:tc>
        <w:tc>
          <w:tcPr>
            <w:tcW w:type="dxa" w:w="2880"/>
          </w:tcPr>
          <w:p>
            <w:pPr>
              <w:spacing w:after="40"/>
            </w:pPr>
            <w:r>
              <w:rPr>
                <w:sz w:val="16"/>
              </w:rPr>
            </w:r>
            <w:r>
              <w:rPr>
                <w:sz w:val="16"/>
              </w:rPr>
              <w:t>Autorità di vigilanza sui mercati; approva il documento di offerta</w:t>
            </w:r>
          </w:p>
        </w:tc>
      </w:tr>
      <w:tr>
        <w:tc>
          <w:tcPr>
            <w:tcW w:type="dxa" w:w="2880"/>
          </w:tcPr>
          <w:p>
            <w:pPr>
              <w:spacing w:after="40"/>
            </w:pPr>
            <w:r>
              <w:rPr>
                <w:sz w:val="16"/>
              </w:rPr>
            </w:r>
            <w:r>
              <w:rPr>
                <w:b/>
                <w:sz w:val="16"/>
              </w:rPr>
              <w:t>BCE</w:t>
            </w:r>
          </w:p>
        </w:tc>
        <w:tc>
          <w:tcPr>
            <w:tcW w:type="dxa" w:w="2880"/>
          </w:tcPr>
          <w:p>
            <w:pPr>
              <w:spacing w:after="40"/>
            </w:pPr>
            <w:r>
              <w:rPr>
                <w:sz w:val="16"/>
              </w:rPr>
            </w:r>
            <w:r>
              <w:rPr>
                <w:sz w:val="16"/>
              </w:rPr>
              <w:t>Banca Centrale Europea</w:t>
            </w:r>
          </w:p>
        </w:tc>
        <w:tc>
          <w:tcPr>
            <w:tcW w:type="dxa" w:w="2880"/>
          </w:tcPr>
          <w:p>
            <w:pPr>
              <w:spacing w:after="40"/>
            </w:pPr>
            <w:r>
              <w:rPr>
                <w:sz w:val="16"/>
              </w:rPr>
            </w:r>
            <w:r>
              <w:rPr>
                <w:sz w:val="16"/>
              </w:rPr>
              <w:t>Vigilanza prudenziale diretta su ISP e MPS</w:t>
            </w:r>
          </w:p>
        </w:tc>
      </w:tr>
      <w:tr>
        <w:tc>
          <w:tcPr>
            <w:tcW w:type="dxa" w:w="2880"/>
          </w:tcPr>
          <w:p>
            <w:pPr>
              <w:spacing w:after="40"/>
            </w:pPr>
            <w:r>
              <w:rPr>
                <w:sz w:val="16"/>
              </w:rPr>
            </w:r>
            <w:r>
              <w:rPr>
                <w:b/>
                <w:sz w:val="16"/>
              </w:rPr>
              <w:t>MEF</w:t>
            </w:r>
          </w:p>
        </w:tc>
        <w:tc>
          <w:tcPr>
            <w:tcW w:type="dxa" w:w="2880"/>
          </w:tcPr>
          <w:p>
            <w:pPr>
              <w:spacing w:after="40"/>
            </w:pPr>
            <w:r>
              <w:rPr>
                <w:sz w:val="16"/>
              </w:rPr>
            </w:r>
            <w:r>
              <w:rPr>
                <w:sz w:val="16"/>
              </w:rPr>
              <w:t>Ministero dell'Economia e delle Finanze</w:t>
            </w:r>
          </w:p>
        </w:tc>
        <w:tc>
          <w:tcPr>
            <w:tcW w:type="dxa" w:w="2880"/>
          </w:tcPr>
          <w:p>
            <w:pPr>
              <w:spacing w:after="40"/>
            </w:pPr>
            <w:r>
              <w:rPr>
                <w:sz w:val="16"/>
              </w:rPr>
            </w:r>
            <w:r>
              <w:rPr>
                <w:sz w:val="16"/>
              </w:rPr>
              <w:t>Azionista MPS al 4,86%, posizione dichiarata neutrale</w:t>
            </w:r>
          </w:p>
        </w:tc>
      </w:tr>
    </w:tbl>
    <w:p/>
    <w:p>
      <w:pPr>
        <w:pStyle w:val="Heading3"/>
      </w:pPr>
      <w:r>
        <w:t>Termini tecnici</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Termine</w:t>
            </w:r>
          </w:p>
        </w:tc>
        <w:tc>
          <w:tcPr>
            <w:tcW w:type="dxa" w:w="4320"/>
          </w:tcPr>
          <w:p>
            <w:pPr>
              <w:spacing w:after="40"/>
            </w:pPr>
            <w:r>
              <w:rPr>
                <w:b/>
                <w:sz w:val="16"/>
              </w:rPr>
            </w:r>
            <w:r>
              <w:rPr>
                <w:b/>
                <w:sz w:val="16"/>
              </w:rPr>
              <w:t>Significato</w:t>
            </w:r>
          </w:p>
        </w:tc>
      </w:tr>
      <w:tr>
        <w:tc>
          <w:tcPr>
            <w:tcW w:type="dxa" w:w="4320"/>
          </w:tcPr>
          <w:p>
            <w:pPr>
              <w:spacing w:after="40"/>
            </w:pPr>
            <w:r>
              <w:rPr>
                <w:sz w:val="16"/>
              </w:rPr>
            </w:r>
            <w:r>
              <w:rPr>
                <w:b/>
                <w:sz w:val="16"/>
              </w:rPr>
              <w:t>OPAS</w:t>
            </w:r>
          </w:p>
        </w:tc>
        <w:tc>
          <w:tcPr>
            <w:tcW w:type="dxa" w:w="4320"/>
          </w:tcPr>
          <w:p>
            <w:pPr>
              <w:spacing w:after="40"/>
            </w:pPr>
            <w:r>
              <w:rPr>
                <w:sz w:val="16"/>
              </w:rPr>
            </w:r>
            <w:r>
              <w:rPr>
                <w:sz w:val="16"/>
              </w:rPr>
              <w:t>Offerta pubblica di acquisto e scambio: offerta con corrispettivo misto in titoli e denaro</w:t>
            </w:r>
          </w:p>
        </w:tc>
      </w:tr>
      <w:tr>
        <w:tc>
          <w:tcPr>
            <w:tcW w:type="dxa" w:w="4320"/>
          </w:tcPr>
          <w:p>
            <w:pPr>
              <w:spacing w:after="40"/>
            </w:pPr>
            <w:r>
              <w:rPr>
                <w:sz w:val="16"/>
              </w:rPr>
            </w:r>
            <w:r>
              <w:rPr>
                <w:b/>
                <w:sz w:val="16"/>
              </w:rPr>
              <w:t>Squeeze-out</w:t>
            </w:r>
            <w:r>
              <w:rPr>
                <w:sz w:val="16"/>
              </w:rPr>
              <w:t xml:space="preserve"> (diritto di acquisto)</w:t>
            </w:r>
          </w:p>
        </w:tc>
        <w:tc>
          <w:tcPr>
            <w:tcW w:type="dxa" w:w="4320"/>
          </w:tcPr>
          <w:p>
            <w:pPr>
              <w:spacing w:after="40"/>
            </w:pPr>
            <w:r>
              <w:rPr>
                <w:sz w:val="16"/>
              </w:rPr>
            </w:r>
            <w:r>
              <w:rPr>
                <w:sz w:val="16"/>
              </w:rPr>
              <w:t xml:space="preserve">Diritto dell'offerente di acquistare coattivamente i titoli residui, art. 111 TUF. Soglia </w:t>
            </w:r>
            <w:r>
              <w:rPr>
                <w:b/>
                <w:sz w:val="16"/>
              </w:rPr>
              <w:t>90%</w:t>
            </w:r>
            <w:r>
              <w:rPr>
                <w:sz w:val="16"/>
              </w:rPr>
              <w:t xml:space="preserve"> dal 2026</w:t>
            </w:r>
          </w:p>
        </w:tc>
      </w:tr>
      <w:tr>
        <w:tc>
          <w:tcPr>
            <w:tcW w:type="dxa" w:w="4320"/>
          </w:tcPr>
          <w:p>
            <w:pPr>
              <w:spacing w:after="40"/>
            </w:pPr>
            <w:r>
              <w:rPr>
                <w:sz w:val="16"/>
              </w:rPr>
            </w:r>
            <w:r>
              <w:rPr>
                <w:b/>
                <w:sz w:val="16"/>
              </w:rPr>
              <w:t>Sell-out</w:t>
            </w:r>
            <w:r>
              <w:rPr>
                <w:sz w:val="16"/>
              </w:rPr>
              <w:t xml:space="preserve"> (obbligo di acquisto)</w:t>
            </w:r>
          </w:p>
        </w:tc>
        <w:tc>
          <w:tcPr>
            <w:tcW w:type="dxa" w:w="4320"/>
          </w:tcPr>
          <w:p>
            <w:pPr>
              <w:spacing w:after="40"/>
            </w:pPr>
            <w:r>
              <w:rPr>
                <w:sz w:val="16"/>
              </w:rPr>
            </w:r>
            <w:r>
              <w:rPr>
                <w:sz w:val="16"/>
              </w:rPr>
              <w:t>Obbligo dell'offerente di comprare da chi ne faccia richiesta: art. 108 c. 1 TUF sopra il 95%; art. 108 c. 2 TUF sopra il 90%, salvo ripristino del flottante entro 90 giorni</w:t>
            </w:r>
          </w:p>
        </w:tc>
      </w:tr>
      <w:tr>
        <w:tc>
          <w:tcPr>
            <w:tcW w:type="dxa" w:w="4320"/>
          </w:tcPr>
          <w:p>
            <w:pPr>
              <w:spacing w:after="40"/>
            </w:pPr>
            <w:r>
              <w:rPr>
                <w:sz w:val="16"/>
              </w:rPr>
            </w:r>
            <w:r>
              <w:rPr>
                <w:b/>
                <w:sz w:val="16"/>
              </w:rPr>
              <w:t>Procedura congiunta</w:t>
            </w:r>
          </w:p>
        </w:tc>
        <w:tc>
          <w:tcPr>
            <w:tcW w:type="dxa" w:w="4320"/>
          </w:tcPr>
          <w:p>
            <w:pPr>
              <w:spacing w:after="40"/>
            </w:pPr>
            <w:r>
              <w:rPr>
                <w:sz w:val="16"/>
              </w:rPr>
            </w:r>
            <w:r>
              <w:rPr>
                <w:sz w:val="16"/>
              </w:rPr>
              <w:t>Procedura unica, concordata con Consob e Borsa Italiana, con cui si esercitano insieme il diritto di acquisto ex art. 111 e l'obbligo di acquisto ex art. 108, con esito il delisting</w:t>
            </w:r>
          </w:p>
        </w:tc>
      </w:tr>
      <w:tr>
        <w:tc>
          <w:tcPr>
            <w:tcW w:type="dxa" w:w="4320"/>
          </w:tcPr>
          <w:p>
            <w:pPr>
              <w:spacing w:after="40"/>
            </w:pPr>
            <w:r>
              <w:rPr>
                <w:sz w:val="16"/>
              </w:rPr>
            </w:r>
            <w:r>
              <w:rPr>
                <w:b/>
                <w:sz w:val="16"/>
              </w:rPr>
              <w:t>Riapertura dei termini</w:t>
            </w:r>
          </w:p>
        </w:tc>
        <w:tc>
          <w:tcPr>
            <w:tcW w:type="dxa" w:w="4320"/>
          </w:tcPr>
          <w:p>
            <w:pPr>
              <w:spacing w:after="40"/>
            </w:pPr>
            <w:r>
              <w:rPr>
                <w:sz w:val="16"/>
              </w:rPr>
            </w:r>
            <w:r>
              <w:rPr>
                <w:sz w:val="16"/>
              </w:rPr>
              <w:t>Riapertura del periodo di adesione per 5 giorni di borsa aperta dopo la data di pagamento, art. 40-bis Reg. Emittenti</w:t>
            </w:r>
          </w:p>
        </w:tc>
      </w:tr>
      <w:tr>
        <w:tc>
          <w:tcPr>
            <w:tcW w:type="dxa" w:w="4320"/>
          </w:tcPr>
          <w:p>
            <w:pPr>
              <w:spacing w:after="40"/>
            </w:pPr>
            <w:r>
              <w:rPr>
                <w:sz w:val="16"/>
              </w:rPr>
            </w:r>
            <w:r>
              <w:rPr>
                <w:b/>
                <w:sz w:val="16"/>
              </w:rPr>
              <w:t>Condizione Soglia</w:t>
            </w:r>
          </w:p>
        </w:tc>
        <w:tc>
          <w:tcPr>
            <w:tcW w:type="dxa" w:w="4320"/>
          </w:tcPr>
          <w:p>
            <w:pPr>
              <w:spacing w:after="40"/>
            </w:pPr>
            <w:r>
              <w:rPr>
                <w:sz w:val="16"/>
              </w:rPr>
            </w:r>
            <w:r>
              <w:rPr>
                <w:sz w:val="16"/>
              </w:rPr>
              <w:t>Condizione di efficacia dell'offerta legata al raggiungimento di una percentuale minima di adesioni; nel caso di specie 66,67%, rinunciabile</w:t>
            </w:r>
          </w:p>
        </w:tc>
      </w:tr>
      <w:tr>
        <w:tc>
          <w:tcPr>
            <w:tcW w:type="dxa" w:w="4320"/>
          </w:tcPr>
          <w:p>
            <w:pPr>
              <w:spacing w:after="40"/>
            </w:pPr>
            <w:r>
              <w:rPr>
                <w:sz w:val="16"/>
              </w:rPr>
            </w:r>
            <w:r>
              <w:rPr>
                <w:b/>
                <w:sz w:val="16"/>
              </w:rPr>
              <w:t>Passivity rule</w:t>
            </w:r>
          </w:p>
        </w:tc>
        <w:tc>
          <w:tcPr>
            <w:tcW w:type="dxa" w:w="4320"/>
          </w:tcPr>
          <w:p>
            <w:pPr>
              <w:spacing w:after="40"/>
            </w:pPr>
            <w:r>
              <w:rPr>
                <w:sz w:val="16"/>
              </w:rPr>
            </w:r>
            <w:r>
              <w:rPr>
                <w:sz w:val="16"/>
              </w:rPr>
              <w:t>Divieto per gli organi dell'emittente di compiere atti che contrastino gli obiettivi dell'offerta senza autorizzazione assembleare, art. 104 TUF; opera durante l'offerta</w:t>
            </w:r>
          </w:p>
        </w:tc>
      </w:tr>
      <w:tr>
        <w:tc>
          <w:tcPr>
            <w:tcW w:type="dxa" w:w="4320"/>
          </w:tcPr>
          <w:p>
            <w:pPr>
              <w:spacing w:after="40"/>
            </w:pPr>
            <w:r>
              <w:rPr>
                <w:sz w:val="16"/>
              </w:rPr>
            </w:r>
            <w:r>
              <w:rPr>
                <w:b/>
                <w:sz w:val="16"/>
              </w:rPr>
              <w:t>Prorogatio</w:t>
            </w:r>
          </w:p>
        </w:tc>
        <w:tc>
          <w:tcPr>
            <w:tcW w:type="dxa" w:w="4320"/>
          </w:tcPr>
          <w:p>
            <w:pPr>
              <w:spacing w:after="40"/>
            </w:pPr>
            <w:r>
              <w:rPr>
                <w:sz w:val="16"/>
              </w:rPr>
            </w:r>
            <w:r>
              <w:rPr>
                <w:sz w:val="16"/>
              </w:rPr>
              <w:t xml:space="preserve">Permanenza in carica degli amministratori dimissionari fino alla ricostituzione dell'organo, art. 2385 c.c. </w:t>
            </w:r>
            <w:r>
              <w:rPr>
                <w:b/>
                <w:sz w:val="16"/>
              </w:rPr>
              <w:t>Non si applica alla revoca</w:t>
            </w:r>
          </w:p>
        </w:tc>
      </w:tr>
      <w:tr>
        <w:tc>
          <w:tcPr>
            <w:tcW w:type="dxa" w:w="4320"/>
          </w:tcPr>
          <w:p>
            <w:pPr>
              <w:spacing w:after="40"/>
            </w:pPr>
            <w:r>
              <w:rPr>
                <w:sz w:val="16"/>
              </w:rPr>
            </w:r>
            <w:r>
              <w:rPr>
                <w:b/>
                <w:sz w:val="16"/>
              </w:rPr>
              <w:t>Simul stabunt simul cadent</w:t>
            </w:r>
          </w:p>
        </w:tc>
        <w:tc>
          <w:tcPr>
            <w:tcW w:type="dxa" w:w="4320"/>
          </w:tcPr>
          <w:p>
            <w:pPr>
              <w:spacing w:after="40"/>
            </w:pPr>
            <w:r>
              <w:rPr>
                <w:sz w:val="16"/>
              </w:rPr>
            </w:r>
            <w:r>
              <w:rPr>
                <w:sz w:val="16"/>
              </w:rPr>
              <w:t>Clausola statutaria per cui la cessazione di alcuni amministratori determina la cessazione dell'intero consiglio</w:t>
            </w:r>
          </w:p>
        </w:tc>
      </w:tr>
      <w:tr>
        <w:tc>
          <w:tcPr>
            <w:tcW w:type="dxa" w:w="4320"/>
          </w:tcPr>
          <w:p>
            <w:pPr>
              <w:spacing w:after="40"/>
            </w:pPr>
            <w:r>
              <w:rPr>
                <w:sz w:val="16"/>
              </w:rPr>
            </w:r>
            <w:r>
              <w:rPr>
                <w:b/>
                <w:sz w:val="16"/>
              </w:rPr>
              <w:t>Voto di lista</w:t>
            </w:r>
          </w:p>
        </w:tc>
        <w:tc>
          <w:tcPr>
            <w:tcW w:type="dxa" w:w="4320"/>
          </w:tcPr>
          <w:p>
            <w:pPr>
              <w:spacing w:after="40"/>
            </w:pPr>
            <w:r>
              <w:rPr>
                <w:sz w:val="16"/>
              </w:rPr>
            </w:r>
            <w:r>
              <w:rPr>
                <w:sz w:val="16"/>
              </w:rPr>
              <w:t>Meccanismo obbligatorio di nomina degli organi nelle società quotate, art. 147-ter TUF, con riserva di seggi alle minoranze</w:t>
            </w:r>
          </w:p>
        </w:tc>
      </w:tr>
      <w:tr>
        <w:tc>
          <w:tcPr>
            <w:tcW w:type="dxa" w:w="4320"/>
          </w:tcPr>
          <w:p>
            <w:pPr>
              <w:spacing w:after="40"/>
            </w:pPr>
            <w:r>
              <w:rPr>
                <w:sz w:val="16"/>
              </w:rPr>
            </w:r>
            <w:r>
              <w:rPr>
                <w:b/>
                <w:sz w:val="16"/>
              </w:rPr>
              <w:t>OPC</w:t>
            </w:r>
          </w:p>
        </w:tc>
        <w:tc>
          <w:tcPr>
            <w:tcW w:type="dxa" w:w="4320"/>
          </w:tcPr>
          <w:p>
            <w:pPr>
              <w:spacing w:after="40"/>
            </w:pPr>
            <w:r>
              <w:rPr>
                <w:sz w:val="16"/>
              </w:rPr>
            </w:r>
            <w:r>
              <w:rPr>
                <w:sz w:val="16"/>
              </w:rPr>
              <w:t>Operazioni con parti correlate, disciplinate dal Regolamento Consob 17221/2010 e dall'art. 2391-bis c.c.</w:t>
            </w:r>
          </w:p>
        </w:tc>
      </w:tr>
      <w:tr>
        <w:tc>
          <w:tcPr>
            <w:tcW w:type="dxa" w:w="4320"/>
          </w:tcPr>
          <w:p>
            <w:pPr>
              <w:spacing w:after="40"/>
            </w:pPr>
            <w:r>
              <w:rPr>
                <w:sz w:val="16"/>
              </w:rPr>
            </w:r>
            <w:r>
              <w:rPr>
                <w:b/>
                <w:sz w:val="16"/>
              </w:rPr>
              <w:t>Danish Compromise</w:t>
            </w:r>
          </w:p>
        </w:tc>
        <w:tc>
          <w:tcPr>
            <w:tcW w:type="dxa" w:w="4320"/>
          </w:tcPr>
          <w:p>
            <w:pPr>
              <w:spacing w:after="40"/>
            </w:pPr>
            <w:r>
              <w:rPr>
                <w:sz w:val="16"/>
              </w:rPr>
            </w:r>
            <w:r>
              <w:rPr>
                <w:sz w:val="16"/>
              </w:rPr>
              <w:t>Regime prudenziale che consente di non dedurre dal CET1 le partecipazioni assicurative, ponderandole, previa autorizzazione dell'autorità competente: art. 49 CRR</w:t>
            </w:r>
          </w:p>
        </w:tc>
      </w:tr>
      <w:tr>
        <w:tc>
          <w:tcPr>
            <w:tcW w:type="dxa" w:w="4320"/>
          </w:tcPr>
          <w:p>
            <w:pPr>
              <w:spacing w:after="40"/>
            </w:pPr>
            <w:r>
              <w:rPr>
                <w:sz w:val="16"/>
              </w:rPr>
            </w:r>
            <w:r>
              <w:rPr>
                <w:b/>
                <w:sz w:val="16"/>
              </w:rPr>
              <w:t>CET1</w:t>
            </w:r>
          </w:p>
        </w:tc>
        <w:tc>
          <w:tcPr>
            <w:tcW w:type="dxa" w:w="4320"/>
          </w:tcPr>
          <w:p>
            <w:pPr>
              <w:spacing w:after="40"/>
            </w:pPr>
            <w:r>
              <w:rPr>
                <w:sz w:val="16"/>
              </w:rPr>
            </w:r>
            <w:r>
              <w:rPr>
                <w:i/>
                <w:sz w:val="16"/>
              </w:rPr>
              <w:t>Common Equity Tier 1</w:t>
            </w:r>
            <w:r>
              <w:rPr>
                <w:sz w:val="16"/>
              </w:rPr>
              <w:t>, capitale primario di classe 1</w:t>
            </w:r>
          </w:p>
        </w:tc>
      </w:tr>
      <w:tr>
        <w:tc>
          <w:tcPr>
            <w:tcW w:type="dxa" w:w="4320"/>
          </w:tcPr>
          <w:p>
            <w:pPr>
              <w:spacing w:after="40"/>
            </w:pPr>
            <w:r>
              <w:rPr>
                <w:sz w:val="16"/>
              </w:rPr>
            </w:r>
            <w:r>
              <w:rPr>
                <w:b/>
                <w:sz w:val="16"/>
              </w:rPr>
              <w:t>RWA</w:t>
            </w:r>
          </w:p>
        </w:tc>
        <w:tc>
          <w:tcPr>
            <w:tcW w:type="dxa" w:w="4320"/>
          </w:tcPr>
          <w:p>
            <w:pPr>
              <w:spacing w:after="40"/>
            </w:pPr>
            <w:r>
              <w:rPr>
                <w:sz w:val="16"/>
              </w:rPr>
            </w:r>
            <w:r>
              <w:rPr>
                <w:i/>
                <w:sz w:val="16"/>
              </w:rPr>
              <w:t>Risk-weighted assets</w:t>
            </w:r>
            <w:r>
              <w:rPr>
                <w:sz w:val="16"/>
              </w:rPr>
              <w:t>, attività ponderate per il rischio</w:t>
            </w:r>
          </w:p>
        </w:tc>
      </w:tr>
      <w:tr>
        <w:tc>
          <w:tcPr>
            <w:tcW w:type="dxa" w:w="4320"/>
          </w:tcPr>
          <w:p>
            <w:pPr>
              <w:spacing w:after="40"/>
            </w:pPr>
            <w:r>
              <w:rPr>
                <w:sz w:val="16"/>
              </w:rPr>
            </w:r>
            <w:r>
              <w:rPr>
                <w:b/>
                <w:sz w:val="16"/>
              </w:rPr>
              <w:t>Minority interests</w:t>
            </w:r>
          </w:p>
        </w:tc>
        <w:tc>
          <w:tcPr>
            <w:tcW w:type="dxa" w:w="4320"/>
          </w:tcPr>
          <w:p>
            <w:pPr>
              <w:spacing w:after="40"/>
            </w:pPr>
            <w:r>
              <w:rPr>
                <w:sz w:val="16"/>
              </w:rPr>
            </w:r>
            <w:r>
              <w:rPr>
                <w:sz w:val="16"/>
              </w:rPr>
              <w:t>Interessi di terzi nel capitale di una controllata consolidata; riconoscimento limitato nel CET1 consolidato, artt. 81-88 CRR</w:t>
            </w:r>
          </w:p>
        </w:tc>
      </w:tr>
      <w:tr>
        <w:tc>
          <w:tcPr>
            <w:tcW w:type="dxa" w:w="4320"/>
          </w:tcPr>
          <w:p>
            <w:pPr>
              <w:spacing w:after="40"/>
            </w:pPr>
            <w:r>
              <w:rPr>
                <w:sz w:val="16"/>
              </w:rPr>
            </w:r>
            <w:r>
              <w:rPr>
                <w:b/>
                <w:sz w:val="16"/>
              </w:rPr>
              <w:t>MREL</w:t>
            </w:r>
          </w:p>
        </w:tc>
        <w:tc>
          <w:tcPr>
            <w:tcW w:type="dxa" w:w="4320"/>
          </w:tcPr>
          <w:p>
            <w:pPr>
              <w:spacing w:after="40"/>
            </w:pPr>
            <w:r>
              <w:rPr>
                <w:sz w:val="16"/>
              </w:rPr>
            </w:r>
            <w:r>
              <w:rPr>
                <w:sz w:val="16"/>
              </w:rPr>
              <w:t>Requisito minimo di fondi propri e passività ammissibili ai fini della risoluzione</w:t>
            </w:r>
          </w:p>
        </w:tc>
      </w:tr>
      <w:tr>
        <w:tc>
          <w:tcPr>
            <w:tcW w:type="dxa" w:w="4320"/>
          </w:tcPr>
          <w:p>
            <w:pPr>
              <w:spacing w:after="40"/>
            </w:pPr>
            <w:r>
              <w:rPr>
                <w:sz w:val="16"/>
              </w:rPr>
            </w:r>
            <w:r>
              <w:rPr>
                <w:b/>
                <w:sz w:val="16"/>
              </w:rPr>
              <w:t>PPA</w:t>
            </w:r>
          </w:p>
        </w:tc>
        <w:tc>
          <w:tcPr>
            <w:tcW w:type="dxa" w:w="4320"/>
          </w:tcPr>
          <w:p>
            <w:pPr>
              <w:spacing w:after="40"/>
            </w:pPr>
            <w:r>
              <w:rPr>
                <w:sz w:val="16"/>
              </w:rPr>
            </w:r>
            <w:r>
              <w:rPr>
                <w:i/>
                <w:sz w:val="16"/>
              </w:rPr>
              <w:t>Purchase price allocation</w:t>
            </w:r>
            <w:r>
              <w:rPr>
                <w:sz w:val="16"/>
              </w:rPr>
              <w:t>, allocazione del prezzo di acquisizione, IFRS 3</w:t>
            </w:r>
          </w:p>
        </w:tc>
      </w:tr>
      <w:tr>
        <w:tc>
          <w:tcPr>
            <w:tcW w:type="dxa" w:w="4320"/>
          </w:tcPr>
          <w:p>
            <w:pPr>
              <w:spacing w:after="40"/>
            </w:pPr>
            <w:r>
              <w:rPr>
                <w:sz w:val="16"/>
              </w:rPr>
            </w:r>
            <w:r>
              <w:rPr>
                <w:b/>
                <w:sz w:val="16"/>
              </w:rPr>
              <w:t>Carve-out</w:t>
            </w:r>
          </w:p>
        </w:tc>
        <w:tc>
          <w:tcPr>
            <w:tcW w:type="dxa" w:w="4320"/>
          </w:tcPr>
          <w:p>
            <w:pPr>
              <w:spacing w:after="40"/>
            </w:pPr>
            <w:r>
              <w:rPr>
                <w:sz w:val="16"/>
              </w:rPr>
            </w:r>
            <w:r>
              <w:rPr>
                <w:sz w:val="16"/>
              </w:rPr>
              <w:t>Estrazione di un perimetro aziendale da un'entità, in vista di una cessione o di una riorganizzazione</w:t>
            </w:r>
          </w:p>
        </w:tc>
      </w:tr>
      <w:tr>
        <w:tc>
          <w:tcPr>
            <w:tcW w:type="dxa" w:w="4320"/>
          </w:tcPr>
          <w:p>
            <w:pPr>
              <w:spacing w:after="40"/>
            </w:pPr>
            <w:r>
              <w:rPr>
                <w:sz w:val="16"/>
              </w:rPr>
            </w:r>
            <w:r>
              <w:rPr>
                <w:b/>
                <w:sz w:val="16"/>
              </w:rPr>
              <w:t>Divestiture trustee</w:t>
            </w:r>
          </w:p>
        </w:tc>
        <w:tc>
          <w:tcPr>
            <w:tcW w:type="dxa" w:w="4320"/>
          </w:tcPr>
          <w:p>
            <w:pPr>
              <w:spacing w:after="40"/>
            </w:pPr>
            <w:r>
              <w:rPr>
                <w:sz w:val="16"/>
              </w:rPr>
            </w:r>
            <w:r>
              <w:rPr>
                <w:sz w:val="16"/>
              </w:rPr>
              <w:t>Fiduciario nominato quando l'impegno di cessione antitrust non è eseguito nei termini; vende senza vincolo di prezzo minimo</w:t>
            </w:r>
          </w:p>
        </w:tc>
      </w:tr>
    </w:tbl>
    <w:p/>
    <w:p>
      <w:pPr>
        <w:pStyle w:val="Heading3"/>
      </w:pPr>
      <w:r>
        <w:t>Riferimenti normativi ricorrenti</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Norma</w:t>
            </w:r>
          </w:p>
        </w:tc>
        <w:tc>
          <w:tcPr>
            <w:tcW w:type="dxa" w:w="4320"/>
          </w:tcPr>
          <w:p>
            <w:pPr>
              <w:spacing w:after="40"/>
            </w:pPr>
            <w:r>
              <w:rPr>
                <w:b/>
                <w:sz w:val="16"/>
              </w:rPr>
            </w:r>
            <w:r>
              <w:rPr>
                <w:b/>
                <w:sz w:val="16"/>
              </w:rPr>
              <w:t>Contenuto rilevante</w:t>
            </w:r>
          </w:p>
        </w:tc>
      </w:tr>
      <w:tr>
        <w:tc>
          <w:tcPr>
            <w:tcW w:type="dxa" w:w="4320"/>
          </w:tcPr>
          <w:p>
            <w:pPr>
              <w:spacing w:after="40"/>
            </w:pPr>
            <w:r>
              <w:rPr>
                <w:sz w:val="16"/>
              </w:rPr>
            </w:r>
            <w:r>
              <w:rPr>
                <w:b/>
                <w:sz w:val="16"/>
              </w:rPr>
              <w:t>D.Lgs. 58/1998 (TUF)</w:t>
            </w:r>
          </w:p>
        </w:tc>
        <w:tc>
          <w:tcPr>
            <w:tcW w:type="dxa" w:w="4320"/>
          </w:tcPr>
          <w:p>
            <w:pPr>
              <w:spacing w:after="40"/>
            </w:pPr>
            <w:r>
              <w:rPr>
                <w:sz w:val="16"/>
              </w:rPr>
            </w:r>
            <w:r>
              <w:rPr>
                <w:sz w:val="16"/>
              </w:rPr>
              <w:t>Testo unico della finanza</w:t>
            </w:r>
          </w:p>
        </w:tc>
      </w:tr>
      <w:tr>
        <w:tc>
          <w:tcPr>
            <w:tcW w:type="dxa" w:w="4320"/>
          </w:tcPr>
          <w:p>
            <w:pPr>
              <w:spacing w:after="40"/>
            </w:pPr>
            <w:r>
              <w:rPr>
                <w:sz w:val="16"/>
              </w:rPr>
            </w:r>
            <w:r>
              <w:rPr>
                <w:b/>
                <w:sz w:val="16"/>
              </w:rPr>
              <w:t>D.Lgs. 27 marzo 2026 n. 47</w:t>
            </w:r>
          </w:p>
        </w:tc>
        <w:tc>
          <w:tcPr>
            <w:tcW w:type="dxa" w:w="4320"/>
          </w:tcPr>
          <w:p>
            <w:pPr>
              <w:spacing w:after="40"/>
            </w:pPr>
            <w:r>
              <w:rPr>
                <w:sz w:val="16"/>
              </w:rPr>
            </w:r>
            <w:r>
              <w:rPr>
                <w:sz w:val="16"/>
              </w:rPr>
              <w:t>Riforma organica del TUF in attuazione della L. 21/2024 "Legge Capitali"; in vigore dal 29 aprile 2026</w:t>
            </w:r>
          </w:p>
        </w:tc>
      </w:tr>
      <w:tr>
        <w:tc>
          <w:tcPr>
            <w:tcW w:type="dxa" w:w="4320"/>
          </w:tcPr>
          <w:p>
            <w:pPr>
              <w:spacing w:after="40"/>
            </w:pPr>
            <w:r>
              <w:rPr>
                <w:sz w:val="16"/>
              </w:rPr>
            </w:r>
            <w:r>
              <w:rPr>
                <w:sz w:val="16"/>
              </w:rPr>
              <w:t>Art. 102 TUF</w:t>
            </w:r>
          </w:p>
        </w:tc>
        <w:tc>
          <w:tcPr>
            <w:tcW w:type="dxa" w:w="4320"/>
          </w:tcPr>
          <w:p>
            <w:pPr>
              <w:spacing w:after="40"/>
            </w:pPr>
            <w:r>
              <w:rPr>
                <w:sz w:val="16"/>
              </w:rPr>
            </w:r>
            <w:r>
              <w:rPr>
                <w:sz w:val="16"/>
              </w:rPr>
              <w:t xml:space="preserve">Comunicazione dell'intenzione di promuovere un'offerta; c. 8: </w:t>
            </w:r>
            <w:r>
              <w:rPr>
                <w:i/>
                <w:sz w:val="16"/>
              </w:rPr>
              <w:t>put up or shut up</w:t>
            </w:r>
          </w:p>
        </w:tc>
      </w:tr>
      <w:tr>
        <w:tc>
          <w:tcPr>
            <w:tcW w:type="dxa" w:w="4320"/>
          </w:tcPr>
          <w:p>
            <w:pPr>
              <w:spacing w:after="40"/>
            </w:pPr>
            <w:r>
              <w:rPr>
                <w:sz w:val="16"/>
              </w:rPr>
            </w:r>
            <w:r>
              <w:rPr>
                <w:sz w:val="16"/>
              </w:rPr>
              <w:t>Art. 104 TUF</w:t>
            </w:r>
          </w:p>
        </w:tc>
        <w:tc>
          <w:tcPr>
            <w:tcW w:type="dxa" w:w="4320"/>
          </w:tcPr>
          <w:p>
            <w:pPr>
              <w:spacing w:after="40"/>
            </w:pPr>
            <w:r>
              <w:rPr>
                <w:sz w:val="16"/>
              </w:rPr>
            </w:r>
            <w:r>
              <w:rPr>
                <w:sz w:val="16"/>
              </w:rPr>
              <w:t>Passivity rule</w:t>
            </w:r>
          </w:p>
        </w:tc>
      </w:tr>
      <w:tr>
        <w:tc>
          <w:tcPr>
            <w:tcW w:type="dxa" w:w="4320"/>
          </w:tcPr>
          <w:p>
            <w:pPr>
              <w:spacing w:after="40"/>
            </w:pPr>
            <w:r>
              <w:rPr>
                <w:sz w:val="16"/>
              </w:rPr>
            </w:r>
            <w:r>
              <w:rPr>
                <w:sz w:val="16"/>
              </w:rPr>
              <w:t>Art. 106 TUF</w:t>
            </w:r>
          </w:p>
        </w:tc>
        <w:tc>
          <w:tcPr>
            <w:tcW w:type="dxa" w:w="4320"/>
          </w:tcPr>
          <w:p>
            <w:pPr>
              <w:spacing w:after="40"/>
            </w:pPr>
            <w:r>
              <w:rPr>
                <w:sz w:val="16"/>
              </w:rPr>
            </w:r>
            <w:r>
              <w:rPr>
                <w:sz w:val="16"/>
              </w:rPr>
              <w:t>OPA obbligatoria; soglia unica del 30%; c. 3 lett. b) OPA da consolidamento, innalzata al 10%</w:t>
            </w:r>
          </w:p>
        </w:tc>
      </w:tr>
      <w:tr>
        <w:tc>
          <w:tcPr>
            <w:tcW w:type="dxa" w:w="4320"/>
          </w:tcPr>
          <w:p>
            <w:pPr>
              <w:spacing w:after="40"/>
            </w:pPr>
            <w:r>
              <w:rPr>
                <w:sz w:val="16"/>
              </w:rPr>
            </w:r>
            <w:r>
              <w:rPr>
                <w:sz w:val="16"/>
              </w:rPr>
              <w:t>Art. 108 TUF</w:t>
            </w:r>
          </w:p>
        </w:tc>
        <w:tc>
          <w:tcPr>
            <w:tcW w:type="dxa" w:w="4320"/>
          </w:tcPr>
          <w:p>
            <w:pPr>
              <w:spacing w:after="40"/>
            </w:pPr>
            <w:r>
              <w:rPr>
                <w:sz w:val="16"/>
              </w:rPr>
            </w:r>
            <w:r>
              <w:rPr>
                <w:sz w:val="16"/>
              </w:rPr>
              <w:t>Obbligo di acquisto; c. 1 (95%), c. 2 (90% e flottante), cc. 3-4 (corrispettivo), c. 5 (forma del corrispettivo)</w:t>
            </w:r>
          </w:p>
        </w:tc>
      </w:tr>
      <w:tr>
        <w:tc>
          <w:tcPr>
            <w:tcW w:type="dxa" w:w="4320"/>
          </w:tcPr>
          <w:p>
            <w:pPr>
              <w:spacing w:after="40"/>
            </w:pPr>
            <w:r>
              <w:rPr>
                <w:sz w:val="16"/>
              </w:rPr>
            </w:r>
            <w:r>
              <w:rPr>
                <w:sz w:val="16"/>
              </w:rPr>
              <w:t>Art. 111 TUF</w:t>
            </w:r>
          </w:p>
        </w:tc>
        <w:tc>
          <w:tcPr>
            <w:tcW w:type="dxa" w:w="4320"/>
          </w:tcPr>
          <w:p>
            <w:pPr>
              <w:spacing w:after="40"/>
            </w:pPr>
            <w:r>
              <w:rPr>
                <w:sz w:val="16"/>
              </w:rPr>
            </w:r>
            <w:r>
              <w:rPr>
                <w:sz w:val="16"/>
              </w:rPr>
              <w:t>Diritto di acquisto; soglia portata al 90% dal D.Lgs. 47/2026</w:t>
            </w:r>
          </w:p>
        </w:tc>
      </w:tr>
      <w:tr>
        <w:tc>
          <w:tcPr>
            <w:tcW w:type="dxa" w:w="4320"/>
          </w:tcPr>
          <w:p>
            <w:pPr>
              <w:spacing w:after="40"/>
            </w:pPr>
            <w:r>
              <w:rPr>
                <w:sz w:val="16"/>
              </w:rPr>
            </w:r>
            <w:r>
              <w:rPr>
                <w:sz w:val="16"/>
              </w:rPr>
              <w:t>Art. 112-bis TUF</w:t>
            </w:r>
          </w:p>
        </w:tc>
        <w:tc>
          <w:tcPr>
            <w:tcW w:type="dxa" w:w="4320"/>
          </w:tcPr>
          <w:p>
            <w:pPr>
              <w:spacing w:after="40"/>
            </w:pPr>
            <w:r>
              <w:rPr>
                <w:sz w:val="16"/>
              </w:rPr>
            </w:r>
            <w:r>
              <w:rPr>
                <w:sz w:val="16"/>
              </w:rPr>
              <w:t>Acquisto totalitario su autorizzazione dei soci; nuovo, attuazione Consob attesa entro il 29 aprile 2027</w:t>
            </w:r>
          </w:p>
        </w:tc>
      </w:tr>
      <w:tr>
        <w:tc>
          <w:tcPr>
            <w:tcW w:type="dxa" w:w="4320"/>
          </w:tcPr>
          <w:p>
            <w:pPr>
              <w:spacing w:after="40"/>
            </w:pPr>
            <w:r>
              <w:rPr>
                <w:sz w:val="16"/>
              </w:rPr>
            </w:r>
            <w:r>
              <w:rPr>
                <w:sz w:val="16"/>
              </w:rPr>
              <w:t>Art. 125-bis TUF</w:t>
            </w:r>
          </w:p>
        </w:tc>
        <w:tc>
          <w:tcPr>
            <w:tcW w:type="dxa" w:w="4320"/>
          </w:tcPr>
          <w:p>
            <w:pPr>
              <w:spacing w:after="40"/>
            </w:pPr>
            <w:r>
              <w:rPr>
                <w:sz w:val="16"/>
              </w:rPr>
            </w:r>
            <w:r>
              <w:rPr>
                <w:sz w:val="16"/>
              </w:rPr>
              <w:t xml:space="preserve">Termini di convocazione dell'assemblea: 30 giorni, </w:t>
            </w:r>
            <w:r>
              <w:rPr>
                <w:b/>
                <w:sz w:val="16"/>
              </w:rPr>
              <w:t>40 giorni</w:t>
            </w:r>
            <w:r>
              <w:rPr>
                <w:sz w:val="16"/>
              </w:rPr>
              <w:t xml:space="preserve"> per l'elezione degli organi con voto di lista</w:t>
            </w:r>
          </w:p>
        </w:tc>
      </w:tr>
      <w:tr>
        <w:tc>
          <w:tcPr>
            <w:tcW w:type="dxa" w:w="4320"/>
          </w:tcPr>
          <w:p>
            <w:pPr>
              <w:spacing w:after="40"/>
            </w:pPr>
            <w:r>
              <w:rPr>
                <w:sz w:val="16"/>
              </w:rPr>
            </w:r>
            <w:r>
              <w:rPr>
                <w:sz w:val="16"/>
              </w:rPr>
              <w:t>Art. 126-bis TUF</w:t>
            </w:r>
          </w:p>
        </w:tc>
        <w:tc>
          <w:tcPr>
            <w:tcW w:type="dxa" w:w="4320"/>
          </w:tcPr>
          <w:p>
            <w:pPr>
              <w:spacing w:after="40"/>
            </w:pPr>
            <w:r>
              <w:rPr>
                <w:sz w:val="16"/>
              </w:rPr>
            </w:r>
            <w:r>
              <w:rPr>
                <w:sz w:val="16"/>
              </w:rPr>
              <w:t>Integrazione dell'ordine del giorno da parte dei soci (un quarantesimo del capitale)</w:t>
            </w:r>
          </w:p>
        </w:tc>
      </w:tr>
      <w:tr>
        <w:tc>
          <w:tcPr>
            <w:tcW w:type="dxa" w:w="4320"/>
          </w:tcPr>
          <w:p>
            <w:pPr>
              <w:spacing w:after="40"/>
            </w:pPr>
            <w:r>
              <w:rPr>
                <w:sz w:val="16"/>
              </w:rPr>
            </w:r>
            <w:r>
              <w:rPr>
                <w:sz w:val="16"/>
              </w:rPr>
              <w:t>Art. 133 c. 1-bis TUF</w:t>
            </w:r>
          </w:p>
        </w:tc>
        <w:tc>
          <w:tcPr>
            <w:tcW w:type="dxa" w:w="4320"/>
          </w:tcPr>
          <w:p>
            <w:pPr>
              <w:spacing w:after="40"/>
            </w:pPr>
            <w:r>
              <w:rPr>
                <w:sz w:val="16"/>
              </w:rPr>
            </w:r>
            <w:r>
              <w:rPr>
                <w:sz w:val="16"/>
              </w:rPr>
              <w:t>Down-listing su MTF; nuovo, stessa attuazione attesa al 29 aprile 2027</w:t>
            </w:r>
          </w:p>
        </w:tc>
      </w:tr>
      <w:tr>
        <w:tc>
          <w:tcPr>
            <w:tcW w:type="dxa" w:w="4320"/>
          </w:tcPr>
          <w:p>
            <w:pPr>
              <w:spacing w:after="40"/>
            </w:pPr>
            <w:r>
              <w:rPr>
                <w:sz w:val="16"/>
              </w:rPr>
            </w:r>
            <w:r>
              <w:rPr>
                <w:sz w:val="16"/>
              </w:rPr>
              <w:t>Art. 147-ter TUF</w:t>
            </w:r>
          </w:p>
        </w:tc>
        <w:tc>
          <w:tcPr>
            <w:tcW w:type="dxa" w:w="4320"/>
          </w:tcPr>
          <w:p>
            <w:pPr>
              <w:spacing w:after="40"/>
            </w:pPr>
            <w:r>
              <w:rPr>
                <w:sz w:val="16"/>
              </w:rPr>
            </w:r>
            <w:r>
              <w:rPr>
                <w:sz w:val="16"/>
              </w:rPr>
              <w:t>Voto di lista: deposito delle liste 25 giorni prima, riserva alle minoranze, quota di genere</w:t>
            </w:r>
          </w:p>
        </w:tc>
      </w:tr>
      <w:tr>
        <w:tc>
          <w:tcPr>
            <w:tcW w:type="dxa" w:w="4320"/>
          </w:tcPr>
          <w:p>
            <w:pPr>
              <w:spacing w:after="40"/>
            </w:pPr>
            <w:r>
              <w:rPr>
                <w:sz w:val="16"/>
              </w:rPr>
            </w:r>
            <w:r>
              <w:rPr>
                <w:sz w:val="16"/>
              </w:rPr>
              <w:t>Art. 147-ter.1 TUF</w:t>
            </w:r>
          </w:p>
        </w:tc>
        <w:tc>
          <w:tcPr>
            <w:tcW w:type="dxa" w:w="4320"/>
          </w:tcPr>
          <w:p>
            <w:pPr>
              <w:spacing w:after="40"/>
            </w:pPr>
            <w:r>
              <w:rPr>
                <w:sz w:val="16"/>
              </w:rPr>
            </w:r>
            <w:r>
              <w:rPr>
                <w:sz w:val="16"/>
              </w:rPr>
              <w:t>Lista del consiglio di amministrazione uscente; introdotto dalla L. 21/2024, attuato dalla Delibera Consob 23725/2025</w:t>
            </w:r>
          </w:p>
        </w:tc>
      </w:tr>
      <w:tr>
        <w:tc>
          <w:tcPr>
            <w:tcW w:type="dxa" w:w="4320"/>
          </w:tcPr>
          <w:p>
            <w:pPr>
              <w:spacing w:after="40"/>
            </w:pPr>
            <w:r>
              <w:rPr>
                <w:sz w:val="16"/>
              </w:rPr>
            </w:r>
            <w:r>
              <w:rPr>
                <w:sz w:val="16"/>
              </w:rPr>
              <w:t>Art. 151 e 151.1 TUF</w:t>
            </w:r>
          </w:p>
        </w:tc>
        <w:tc>
          <w:tcPr>
            <w:tcW w:type="dxa" w:w="4320"/>
          </w:tcPr>
          <w:p>
            <w:pPr>
              <w:spacing w:after="40"/>
            </w:pPr>
            <w:r>
              <w:rPr>
                <w:sz w:val="16"/>
              </w:rPr>
            </w:r>
            <w:r>
              <w:rPr>
                <w:sz w:val="16"/>
              </w:rPr>
              <w:t>Poteri dell'organo di controllo; convocazione dell'assemblea da parte del collegio sindacale</w:t>
            </w:r>
          </w:p>
        </w:tc>
      </w:tr>
      <w:tr>
        <w:tc>
          <w:tcPr>
            <w:tcW w:type="dxa" w:w="4320"/>
          </w:tcPr>
          <w:p>
            <w:pPr>
              <w:spacing w:after="40"/>
            </w:pPr>
            <w:r>
              <w:rPr>
                <w:sz w:val="16"/>
              </w:rPr>
            </w:r>
            <w:r>
              <w:rPr>
                <w:sz w:val="16"/>
              </w:rPr>
              <w:t>Reg. Emittenti (Consob 11971/1999)</w:t>
            </w:r>
          </w:p>
        </w:tc>
        <w:tc>
          <w:tcPr>
            <w:tcW w:type="dxa" w:w="4320"/>
          </w:tcPr>
          <w:p>
            <w:pPr>
              <w:spacing w:after="40"/>
            </w:pPr>
            <w:r>
              <w:rPr>
                <w:sz w:val="16"/>
              </w:rPr>
            </w:r>
            <w:r>
              <w:rPr>
                <w:sz w:val="16"/>
              </w:rPr>
              <w:t>Artt. 39-bis, 40, 40-bis, 41, 42, 50, 50-bis, 50-quinquies, 144-sexies, 144-octies</w:t>
            </w:r>
          </w:p>
        </w:tc>
      </w:tr>
      <w:tr>
        <w:tc>
          <w:tcPr>
            <w:tcW w:type="dxa" w:w="4320"/>
          </w:tcPr>
          <w:p>
            <w:pPr>
              <w:spacing w:after="40"/>
            </w:pPr>
            <w:r>
              <w:rPr>
                <w:sz w:val="16"/>
              </w:rPr>
            </w:r>
            <w:r>
              <w:rPr>
                <w:sz w:val="16"/>
              </w:rPr>
              <w:t>Reg. OPC (Consob 17221/2010)</w:t>
            </w:r>
          </w:p>
        </w:tc>
        <w:tc>
          <w:tcPr>
            <w:tcW w:type="dxa" w:w="4320"/>
          </w:tcPr>
          <w:p>
            <w:pPr>
              <w:spacing w:after="40"/>
            </w:pPr>
            <w:r>
              <w:rPr>
                <w:sz w:val="16"/>
              </w:rPr>
            </w:r>
            <w:r>
              <w:rPr>
                <w:sz w:val="16"/>
              </w:rPr>
              <w:t>Operazioni con parti correlate; testo vigente dall'11 giugno 2026</w:t>
            </w:r>
          </w:p>
        </w:tc>
      </w:tr>
      <w:tr>
        <w:tc>
          <w:tcPr>
            <w:tcW w:type="dxa" w:w="4320"/>
          </w:tcPr>
          <w:p>
            <w:pPr>
              <w:spacing w:after="40"/>
            </w:pPr>
            <w:r>
              <w:rPr>
                <w:sz w:val="16"/>
              </w:rPr>
            </w:r>
            <w:r>
              <w:rPr>
                <w:b/>
                <w:sz w:val="16"/>
              </w:rPr>
              <w:t>D.Lgs. 385/1993 (TUB)</w:t>
            </w:r>
          </w:p>
        </w:tc>
        <w:tc>
          <w:tcPr>
            <w:tcW w:type="dxa" w:w="4320"/>
          </w:tcPr>
          <w:p>
            <w:pPr>
              <w:spacing w:after="40"/>
            </w:pPr>
            <w:r>
              <w:rPr>
                <w:sz w:val="16"/>
              </w:rPr>
            </w:r>
            <w:r>
              <w:rPr>
                <w:sz w:val="16"/>
              </w:rPr>
              <w:t>Testo unico bancario</w:t>
            </w:r>
          </w:p>
        </w:tc>
      </w:tr>
      <w:tr>
        <w:tc>
          <w:tcPr>
            <w:tcW w:type="dxa" w:w="4320"/>
          </w:tcPr>
          <w:p>
            <w:pPr>
              <w:spacing w:after="40"/>
            </w:pPr>
            <w:r>
              <w:rPr>
                <w:sz w:val="16"/>
              </w:rPr>
            </w:r>
            <w:r>
              <w:rPr>
                <w:sz w:val="16"/>
              </w:rPr>
              <w:t>Art. 14 TUB</w:t>
            </w:r>
          </w:p>
        </w:tc>
        <w:tc>
          <w:tcPr>
            <w:tcW w:type="dxa" w:w="4320"/>
          </w:tcPr>
          <w:p>
            <w:pPr>
              <w:spacing w:after="40"/>
            </w:pPr>
            <w:r>
              <w:rPr>
                <w:sz w:val="16"/>
              </w:rPr>
            </w:r>
            <w:r>
              <w:rPr>
                <w:sz w:val="16"/>
              </w:rPr>
              <w:t>Autorizzazione all'attività bancaria</w:t>
            </w:r>
          </w:p>
        </w:tc>
      </w:tr>
      <w:tr>
        <w:tc>
          <w:tcPr>
            <w:tcW w:type="dxa" w:w="4320"/>
          </w:tcPr>
          <w:p>
            <w:pPr>
              <w:spacing w:after="40"/>
            </w:pPr>
            <w:r>
              <w:rPr>
                <w:sz w:val="16"/>
              </w:rPr>
            </w:r>
            <w:r>
              <w:rPr>
                <w:sz w:val="16"/>
              </w:rPr>
              <w:t>Art. 56 TUB</w:t>
            </w:r>
          </w:p>
        </w:tc>
        <w:tc>
          <w:tcPr>
            <w:tcW w:type="dxa" w:w="4320"/>
          </w:tcPr>
          <w:p>
            <w:pPr>
              <w:spacing w:after="40"/>
            </w:pPr>
            <w:r>
              <w:rPr>
                <w:sz w:val="16"/>
              </w:rPr>
            </w:r>
            <w:r>
              <w:rPr>
                <w:sz w:val="16"/>
              </w:rPr>
              <w:t>Accertamento preventivo sulle modifiche statutarie delle banche</w:t>
            </w:r>
          </w:p>
        </w:tc>
      </w:tr>
      <w:tr>
        <w:tc>
          <w:tcPr>
            <w:tcW w:type="dxa" w:w="4320"/>
          </w:tcPr>
          <w:p>
            <w:pPr>
              <w:spacing w:after="40"/>
            </w:pPr>
            <w:r>
              <w:rPr>
                <w:sz w:val="16"/>
              </w:rPr>
            </w:r>
            <w:r>
              <w:rPr>
                <w:sz w:val="16"/>
              </w:rPr>
              <w:t>Art. 57 TUB</w:t>
            </w:r>
          </w:p>
        </w:tc>
        <w:tc>
          <w:tcPr>
            <w:tcW w:type="dxa" w:w="4320"/>
          </w:tcPr>
          <w:p>
            <w:pPr>
              <w:spacing w:after="40"/>
            </w:pPr>
            <w:r>
              <w:rPr>
                <w:sz w:val="16"/>
              </w:rPr>
            </w:r>
            <w:r>
              <w:rPr>
                <w:sz w:val="16"/>
              </w:rPr>
              <w:t>Fusioni e scissioni bancarie; termine di opposizione dei creditori ridotto a 15 giorni</w:t>
            </w:r>
          </w:p>
        </w:tc>
      </w:tr>
      <w:tr>
        <w:tc>
          <w:tcPr>
            <w:tcW w:type="dxa" w:w="4320"/>
          </w:tcPr>
          <w:p>
            <w:pPr>
              <w:spacing w:after="40"/>
            </w:pPr>
            <w:r>
              <w:rPr>
                <w:sz w:val="16"/>
              </w:rPr>
            </w:r>
            <w:r>
              <w:rPr>
                <w:sz w:val="16"/>
              </w:rPr>
              <w:t>Art. 58 TUB</w:t>
            </w:r>
          </w:p>
        </w:tc>
        <w:tc>
          <w:tcPr>
            <w:tcW w:type="dxa" w:w="4320"/>
          </w:tcPr>
          <w:p>
            <w:pPr>
              <w:spacing w:after="40"/>
            </w:pPr>
            <w:r>
              <w:rPr>
                <w:sz w:val="16"/>
              </w:rPr>
            </w:r>
            <w:r>
              <w:rPr>
                <w:sz w:val="16"/>
              </w:rPr>
              <w:t>Cessione di aziende, rami d'azienda e rapporti giuridici individuabili in blocco</w:t>
            </w:r>
          </w:p>
        </w:tc>
      </w:tr>
      <w:tr>
        <w:tc>
          <w:tcPr>
            <w:tcW w:type="dxa" w:w="4320"/>
          </w:tcPr>
          <w:p>
            <w:pPr>
              <w:spacing w:after="40"/>
            </w:pPr>
            <w:r>
              <w:rPr>
                <w:sz w:val="16"/>
              </w:rPr>
            </w:r>
            <w:r>
              <w:rPr>
                <w:sz w:val="16"/>
              </w:rPr>
              <w:t>Art. 61 TUB</w:t>
            </w:r>
          </w:p>
        </w:tc>
        <w:tc>
          <w:tcPr>
            <w:tcW w:type="dxa" w:w="4320"/>
          </w:tcPr>
          <w:p>
            <w:pPr>
              <w:spacing w:after="40"/>
            </w:pPr>
            <w:r>
              <w:rPr>
                <w:sz w:val="16"/>
              </w:rPr>
            </w:r>
            <w:r>
              <w:rPr>
                <w:sz w:val="16"/>
              </w:rPr>
              <w:t>Ruolo della capogruppo; c. 1 dovere di direzione e coordinamento, c. 4 obbligo di collaborazione degli amministratori delle controllate</w:t>
            </w:r>
          </w:p>
        </w:tc>
      </w:tr>
      <w:tr>
        <w:tc>
          <w:tcPr>
            <w:tcW w:type="dxa" w:w="4320"/>
          </w:tcPr>
          <w:p>
            <w:pPr>
              <w:spacing w:after="40"/>
            </w:pPr>
            <w:r>
              <w:rPr>
                <w:sz w:val="16"/>
              </w:rPr>
            </w:r>
            <w:r>
              <w:rPr>
                <w:sz w:val="16"/>
              </w:rPr>
              <w:t>Art. 64 TUB</w:t>
            </w:r>
          </w:p>
        </w:tc>
        <w:tc>
          <w:tcPr>
            <w:tcW w:type="dxa" w:w="4320"/>
          </w:tcPr>
          <w:p>
            <w:pPr>
              <w:spacing w:after="40"/>
            </w:pPr>
            <w:r>
              <w:rPr>
                <w:sz w:val="16"/>
              </w:rPr>
            </w:r>
            <w:r>
              <w:rPr>
                <w:sz w:val="16"/>
              </w:rPr>
              <w:t>Iscrizione all'albo dei gruppi bancari</w:t>
            </w:r>
          </w:p>
        </w:tc>
      </w:tr>
      <w:tr>
        <w:tc>
          <w:tcPr>
            <w:tcW w:type="dxa" w:w="4320"/>
          </w:tcPr>
          <w:p>
            <w:pPr>
              <w:spacing w:after="40"/>
            </w:pPr>
            <w:r>
              <w:rPr>
                <w:sz w:val="16"/>
              </w:rPr>
            </w:r>
            <w:r>
              <w:rPr>
                <w:sz w:val="16"/>
              </w:rPr>
              <w:t>Art. 70 c. 7 TUB</w:t>
            </w:r>
          </w:p>
        </w:tc>
        <w:tc>
          <w:tcPr>
            <w:tcW w:type="dxa" w:w="4320"/>
          </w:tcPr>
          <w:p>
            <w:pPr>
              <w:spacing w:after="40"/>
            </w:pPr>
            <w:r>
              <w:rPr>
                <w:sz w:val="16"/>
              </w:rPr>
            </w:r>
            <w:r>
              <w:rPr>
                <w:sz w:val="16"/>
              </w:rPr>
              <w:t>Esclusione dell'art. 2409 c.c. per le banche, sostituito dalla denuncia alla Banca d'Italia</w:t>
            </w:r>
          </w:p>
        </w:tc>
      </w:tr>
      <w:tr>
        <w:tc>
          <w:tcPr>
            <w:tcW w:type="dxa" w:w="4320"/>
          </w:tcPr>
          <w:p>
            <w:pPr>
              <w:spacing w:after="40"/>
            </w:pPr>
            <w:r>
              <w:rPr>
                <w:sz w:val="16"/>
              </w:rPr>
            </w:r>
            <w:r>
              <w:rPr>
                <w:sz w:val="16"/>
              </w:rPr>
              <w:t>Codice civile</w:t>
            </w:r>
          </w:p>
        </w:tc>
        <w:tc>
          <w:tcPr>
            <w:tcW w:type="dxa" w:w="4320"/>
          </w:tcPr>
          <w:p>
            <w:pPr>
              <w:spacing w:after="40"/>
            </w:pPr>
            <w:r>
              <w:rPr>
                <w:sz w:val="16"/>
              </w:rPr>
            </w:r>
            <w:r>
              <w:rPr>
                <w:sz w:val="16"/>
              </w:rPr>
              <w:t>Artt. 2364, 2366, 2367, 2373, 2377, 2383, 2385, 2386, 2391-bis, 2392, 2393, 2393-bis, 2400, 2406, 2409, 2437-quinquies, 2497 e ss., 2501 e ss., 2504-quater</w:t>
            </w:r>
          </w:p>
        </w:tc>
      </w:tr>
      <w:tr>
        <w:tc>
          <w:tcPr>
            <w:tcW w:type="dxa" w:w="4320"/>
          </w:tcPr>
          <w:p>
            <w:pPr>
              <w:spacing w:after="40"/>
            </w:pPr>
            <w:r>
              <w:rPr>
                <w:sz w:val="16"/>
              </w:rPr>
            </w:r>
            <w:r>
              <w:rPr>
                <w:b/>
                <w:sz w:val="16"/>
              </w:rPr>
              <w:t>CRR</w:t>
            </w:r>
            <w:r>
              <w:rPr>
                <w:sz w:val="16"/>
              </w:rPr>
              <w:t xml:space="preserve"> (Reg. UE 575/2013), come modificato da </w:t>
            </w:r>
            <w:r>
              <w:rPr>
                <w:b/>
                <w:sz w:val="16"/>
              </w:rPr>
              <w:t>CRR3</w:t>
            </w:r>
            <w:r>
              <w:rPr>
                <w:sz w:val="16"/>
              </w:rPr>
              <w:t xml:space="preserve"> (Reg. UE 2024/1623)</w:t>
            </w:r>
          </w:p>
        </w:tc>
        <w:tc>
          <w:tcPr>
            <w:tcW w:type="dxa" w:w="4320"/>
          </w:tcPr>
          <w:p>
            <w:pPr>
              <w:spacing w:after="40"/>
            </w:pPr>
            <w:r>
              <w:rPr>
                <w:sz w:val="16"/>
              </w:rPr>
            </w:r>
            <w:r>
              <w:rPr>
                <w:sz w:val="16"/>
              </w:rPr>
              <w:t>Artt. 36, 49, 81-88; applicazione dal 1° gennaio 2025</w:t>
            </w:r>
          </w:p>
        </w:tc>
      </w:tr>
      <w:tr>
        <w:tc>
          <w:tcPr>
            <w:tcW w:type="dxa" w:w="4320"/>
          </w:tcPr>
          <w:p>
            <w:pPr>
              <w:spacing w:after="40"/>
            </w:pPr>
            <w:r>
              <w:rPr>
                <w:sz w:val="16"/>
              </w:rPr>
            </w:r>
            <w:r>
              <w:rPr>
                <w:sz w:val="16"/>
              </w:rPr>
              <w:t>TUIR (D.P.R. 917/1986)</w:t>
            </w:r>
          </w:p>
        </w:tc>
        <w:tc>
          <w:tcPr>
            <w:tcW w:type="dxa" w:w="4320"/>
          </w:tcPr>
          <w:p>
            <w:pPr>
              <w:spacing w:after="40"/>
            </w:pPr>
            <w:r>
              <w:rPr>
                <w:sz w:val="16"/>
              </w:rPr>
            </w:r>
            <w:r>
              <w:rPr>
                <w:sz w:val="16"/>
              </w:rPr>
              <w:t>Artt. 84, 117-129 (consolidato fiscale), 172 c. 7, 177-ter</w:t>
            </w:r>
          </w:p>
        </w:tc>
      </w:tr>
    </w:tbl>
    <w:p/>
    <w:p>
      <w:r>
        <w:br w:type="page"/>
      </w:r>
    </w:p>
    <w:p>
      <w:pPr>
        <w:pStyle w:val="Heading1"/>
      </w:pPr>
      <w:r>
        <w:t>PARTE I — FATTI ACCERTATI</w:t>
      </w:r>
    </w:p>
    <w:p>
      <w:pPr>
        <w:pStyle w:val="IntenseQuote"/>
      </w:pPr>
      <w:r>
        <w:t>Tutto ciò che segue è verificato su fonte primaria (comunicati societari, testi normativi) o su fonte secondaria affidabile con indicazione esplicita. Dove un dato è incerto o discordante, è segnalato.</w:t>
      </w:r>
    </w:p>
    <w:p>
      <w:pPr>
        <w:pStyle w:val="Heading2"/>
      </w:pPr>
      <w:r>
        <w:t>1. L'operazione e il suo stato al 16 settembre 2026</w:t>
      </w:r>
    </w:p>
    <w:p>
      <w:pPr>
        <w:pStyle w:val="Heading3"/>
      </w:pPr>
      <w:r>
        <w:t>1.1 Cronologia</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Data</w:t>
            </w:r>
          </w:p>
        </w:tc>
        <w:tc>
          <w:tcPr>
            <w:tcW w:type="dxa" w:w="4320"/>
          </w:tcPr>
          <w:p>
            <w:pPr>
              <w:spacing w:after="40"/>
            </w:pPr>
            <w:r>
              <w:rPr>
                <w:b/>
                <w:sz w:val="16"/>
              </w:rPr>
            </w:r>
            <w:r>
              <w:rPr>
                <w:b/>
                <w:sz w:val="16"/>
              </w:rPr>
              <w:t>Evento</w:t>
            </w:r>
          </w:p>
        </w:tc>
      </w:tr>
      <w:tr>
        <w:tc>
          <w:tcPr>
            <w:tcW w:type="dxa" w:w="4320"/>
          </w:tcPr>
          <w:p>
            <w:pPr>
              <w:spacing w:after="40"/>
            </w:pPr>
            <w:r>
              <w:rPr>
                <w:sz w:val="16"/>
              </w:rPr>
            </w:r>
            <w:r>
              <w:rPr>
                <w:sz w:val="16"/>
              </w:rPr>
              <w:t>24 gen 2025</w:t>
            </w:r>
          </w:p>
        </w:tc>
        <w:tc>
          <w:tcPr>
            <w:tcW w:type="dxa" w:w="4320"/>
          </w:tcPr>
          <w:p>
            <w:pPr>
              <w:spacing w:after="40"/>
            </w:pPr>
            <w:r>
              <w:rPr>
                <w:sz w:val="16"/>
              </w:rPr>
            </w:r>
            <w:r>
              <w:rPr>
                <w:sz w:val="16"/>
              </w:rPr>
              <w:t>MPS annuncia l'OPS su Mediobanca</w:t>
            </w:r>
          </w:p>
        </w:tc>
      </w:tr>
      <w:tr>
        <w:tc>
          <w:tcPr>
            <w:tcW w:type="dxa" w:w="4320"/>
          </w:tcPr>
          <w:p>
            <w:pPr>
              <w:spacing w:after="40"/>
            </w:pPr>
            <w:r>
              <w:rPr>
                <w:sz w:val="16"/>
              </w:rPr>
            </w:r>
            <w:r>
              <w:rPr>
                <w:sz w:val="16"/>
              </w:rPr>
              <w:t>8-22 set 2025</w:t>
            </w:r>
          </w:p>
        </w:tc>
        <w:tc>
          <w:tcPr>
            <w:tcW w:type="dxa" w:w="4320"/>
          </w:tcPr>
          <w:p>
            <w:pPr>
              <w:spacing w:after="40"/>
            </w:pPr>
            <w:r>
              <w:rPr>
                <w:sz w:val="16"/>
              </w:rPr>
            </w:r>
            <w:r>
              <w:rPr>
                <w:sz w:val="16"/>
              </w:rPr>
              <w:t xml:space="preserve">Offerta MPS su MB: 62,3% in prima fase, 86,348% dopo la riapertura dei termini. Soglie di delisting </w:t>
            </w:r>
            <w:r>
              <w:rPr>
                <w:b/>
                <w:sz w:val="16"/>
              </w:rPr>
              <w:t>non</w:t>
            </w:r>
            <w:r>
              <w:rPr>
                <w:sz w:val="16"/>
              </w:rPr>
              <w:t xml:space="preserve"> raggiunte</w:t>
            </w:r>
          </w:p>
        </w:tc>
      </w:tr>
      <w:tr>
        <w:tc>
          <w:tcPr>
            <w:tcW w:type="dxa" w:w="4320"/>
          </w:tcPr>
          <w:p>
            <w:pPr>
              <w:spacing w:after="40"/>
            </w:pPr>
            <w:r>
              <w:rPr>
                <w:sz w:val="16"/>
              </w:rPr>
            </w:r>
            <w:r>
              <w:rPr>
                <w:sz w:val="16"/>
              </w:rPr>
              <w:t>10 mar 2026</w:t>
            </w:r>
          </w:p>
        </w:tc>
        <w:tc>
          <w:tcPr>
            <w:tcW w:type="dxa" w:w="4320"/>
          </w:tcPr>
          <w:p>
            <w:pPr>
              <w:spacing w:after="40"/>
            </w:pPr>
            <w:r>
              <w:rPr>
                <w:sz w:val="16"/>
              </w:rPr>
            </w:r>
            <w:r>
              <w:rPr>
                <w:sz w:val="16"/>
              </w:rPr>
              <w:t>Approvato il progetto di fusione per incorporazione di MB in MPS; concambio 2,450 azioni MPS per azione MB</w:t>
            </w:r>
          </w:p>
        </w:tc>
      </w:tr>
      <w:tr>
        <w:tc>
          <w:tcPr>
            <w:tcW w:type="dxa" w:w="4320"/>
          </w:tcPr>
          <w:p>
            <w:pPr>
              <w:spacing w:after="40"/>
            </w:pPr>
            <w:r>
              <w:rPr>
                <w:sz w:val="16"/>
              </w:rPr>
            </w:r>
            <w:r>
              <w:rPr>
                <w:sz w:val="16"/>
              </w:rPr>
              <w:t>15 apr 2026</w:t>
            </w:r>
          </w:p>
        </w:tc>
        <w:tc>
          <w:tcPr>
            <w:tcW w:type="dxa" w:w="4320"/>
          </w:tcPr>
          <w:p>
            <w:pPr>
              <w:spacing w:after="40"/>
            </w:pPr>
            <w:r>
              <w:rPr>
                <w:sz w:val="16"/>
              </w:rPr>
            </w:r>
            <w:r>
              <w:rPr>
                <w:sz w:val="16"/>
              </w:rPr>
              <w:t>Assemblea MPS: nomina del CdA per gli esercizi 2026-2028; la lista del consiglio uscente è battuta</w:t>
            </w:r>
          </w:p>
        </w:tc>
      </w:tr>
      <w:tr>
        <w:tc>
          <w:tcPr>
            <w:tcW w:type="dxa" w:w="4320"/>
          </w:tcPr>
          <w:p>
            <w:pPr>
              <w:spacing w:after="40"/>
            </w:pPr>
            <w:r>
              <w:rPr>
                <w:sz w:val="16"/>
              </w:rPr>
            </w:r>
            <w:r>
              <w:rPr>
                <w:sz w:val="16"/>
              </w:rPr>
              <w:t>29 apr 2026</w:t>
            </w:r>
          </w:p>
        </w:tc>
        <w:tc>
          <w:tcPr>
            <w:tcW w:type="dxa" w:w="4320"/>
          </w:tcPr>
          <w:p>
            <w:pPr>
              <w:spacing w:after="40"/>
            </w:pPr>
            <w:r>
              <w:rPr>
                <w:sz w:val="16"/>
              </w:rPr>
            </w:r>
            <w:r>
              <w:rPr>
                <w:sz w:val="16"/>
              </w:rPr>
              <w:t>Entra in vigore il D.Lgs. 47/2026 di riforma del TUF</w:t>
            </w:r>
          </w:p>
        </w:tc>
      </w:tr>
      <w:tr>
        <w:tc>
          <w:tcPr>
            <w:tcW w:type="dxa" w:w="4320"/>
          </w:tcPr>
          <w:p>
            <w:pPr>
              <w:spacing w:after="40"/>
            </w:pPr>
            <w:r>
              <w:rPr>
                <w:sz w:val="16"/>
              </w:rPr>
            </w:r>
            <w:r>
              <w:rPr>
                <w:sz w:val="16"/>
              </w:rPr>
              <w:t>7 giu 2026</w:t>
            </w:r>
          </w:p>
        </w:tc>
        <w:tc>
          <w:tcPr>
            <w:tcW w:type="dxa" w:w="4320"/>
          </w:tcPr>
          <w:p>
            <w:pPr>
              <w:spacing w:after="40"/>
            </w:pPr>
            <w:r>
              <w:rPr>
                <w:sz w:val="16"/>
              </w:rPr>
            </w:r>
            <w:r>
              <w:rPr>
                <w:sz w:val="16"/>
              </w:rPr>
              <w:t>Banco BPM propone a MPS un'aggregazione tra pari</w:t>
            </w:r>
          </w:p>
        </w:tc>
      </w:tr>
      <w:tr>
        <w:tc>
          <w:tcPr>
            <w:tcW w:type="dxa" w:w="4320"/>
          </w:tcPr>
          <w:p>
            <w:pPr>
              <w:spacing w:after="40"/>
            </w:pPr>
            <w:r>
              <w:rPr>
                <w:sz w:val="16"/>
              </w:rPr>
            </w:r>
            <w:r>
              <w:rPr>
                <w:b/>
                <w:sz w:val="16"/>
              </w:rPr>
              <w:t>8 giu 2026</w:t>
            </w:r>
          </w:p>
        </w:tc>
        <w:tc>
          <w:tcPr>
            <w:tcW w:type="dxa" w:w="4320"/>
          </w:tcPr>
          <w:p>
            <w:pPr>
              <w:spacing w:after="40"/>
            </w:pPr>
            <w:r>
              <w:rPr>
                <w:sz w:val="16"/>
              </w:rPr>
            </w:r>
            <w:r>
              <w:rPr>
                <w:b/>
                <w:sz w:val="16"/>
              </w:rPr>
              <w:t>ISP diffonde la comunicazione ex art. 102 c. 1 TUF</w:t>
            </w:r>
            <w:r>
              <w:rPr>
                <w:sz w:val="16"/>
              </w:rPr>
              <w:t>: OPAS volontaria totalitaria su MPS. Stesso giorno: accordo con Unipol e acquisto del 3,01% di AG con copertura in derivati</w:t>
            </w:r>
          </w:p>
        </w:tc>
      </w:tr>
      <w:tr>
        <w:tc>
          <w:tcPr>
            <w:tcW w:type="dxa" w:w="4320"/>
          </w:tcPr>
          <w:p>
            <w:pPr>
              <w:spacing w:after="40"/>
            </w:pPr>
            <w:r>
              <w:rPr>
                <w:sz w:val="16"/>
              </w:rPr>
            </w:r>
            <w:r>
              <w:rPr>
                <w:sz w:val="16"/>
              </w:rPr>
              <w:t>26 giu 2026</w:t>
            </w:r>
          </w:p>
        </w:tc>
        <w:tc>
          <w:tcPr>
            <w:tcW w:type="dxa" w:w="4320"/>
          </w:tcPr>
          <w:p>
            <w:pPr>
              <w:spacing w:after="40"/>
            </w:pPr>
            <w:r>
              <w:rPr>
                <w:sz w:val="16"/>
              </w:rPr>
            </w:r>
            <w:r>
              <w:rPr>
                <w:sz w:val="16"/>
              </w:rPr>
              <w:t>Istanza ISP a BCE e Banca d'Italia ex artt. 56 e 61 TUB</w:t>
            </w:r>
          </w:p>
        </w:tc>
      </w:tr>
      <w:tr>
        <w:tc>
          <w:tcPr>
            <w:tcW w:type="dxa" w:w="4320"/>
          </w:tcPr>
          <w:p>
            <w:pPr>
              <w:spacing w:after="40"/>
            </w:pPr>
            <w:r>
              <w:rPr>
                <w:sz w:val="16"/>
              </w:rPr>
            </w:r>
            <w:r>
              <w:rPr>
                <w:sz w:val="16"/>
              </w:rPr>
              <w:t>27 giu 2026</w:t>
            </w:r>
          </w:p>
        </w:tc>
        <w:tc>
          <w:tcPr>
            <w:tcW w:type="dxa" w:w="4320"/>
          </w:tcPr>
          <w:p>
            <w:pPr>
              <w:spacing w:after="40"/>
            </w:pPr>
            <w:r>
              <w:rPr>
                <w:sz w:val="16"/>
              </w:rPr>
            </w:r>
            <w:r>
              <w:rPr>
                <w:sz w:val="16"/>
              </w:rPr>
              <w:t>Deposito del documento di offerta in Consob; istanze a circa 40 autorità</w:t>
            </w:r>
          </w:p>
        </w:tc>
      </w:tr>
      <w:tr>
        <w:tc>
          <w:tcPr>
            <w:tcW w:type="dxa" w:w="4320"/>
          </w:tcPr>
          <w:p>
            <w:pPr>
              <w:spacing w:after="40"/>
            </w:pPr>
            <w:r>
              <w:rPr>
                <w:sz w:val="16"/>
              </w:rPr>
            </w:r>
            <w:r>
              <w:rPr>
                <w:sz w:val="16"/>
              </w:rPr>
              <w:t>16 lug 2026</w:t>
            </w:r>
          </w:p>
        </w:tc>
        <w:tc>
          <w:tcPr>
            <w:tcW w:type="dxa" w:w="4320"/>
          </w:tcPr>
          <w:p>
            <w:pPr>
              <w:spacing w:after="40"/>
            </w:pPr>
            <w:r>
              <w:rPr>
                <w:sz w:val="16"/>
              </w:rPr>
            </w:r>
            <w:r>
              <w:rPr>
                <w:sz w:val="16"/>
              </w:rPr>
              <w:t>Il CdA MPS diffonde "considerazioni preliminari" critiche sull'offerta</w:t>
            </w:r>
          </w:p>
        </w:tc>
      </w:tr>
      <w:tr>
        <w:tc>
          <w:tcPr>
            <w:tcW w:type="dxa" w:w="4320"/>
          </w:tcPr>
          <w:p>
            <w:pPr>
              <w:spacing w:after="40"/>
            </w:pPr>
            <w:r>
              <w:rPr>
                <w:sz w:val="16"/>
              </w:rPr>
            </w:r>
            <w:r>
              <w:rPr>
                <w:sz w:val="16"/>
              </w:rPr>
              <w:t>21 ago 2026</w:t>
            </w:r>
          </w:p>
        </w:tc>
        <w:tc>
          <w:tcPr>
            <w:tcW w:type="dxa" w:w="4320"/>
          </w:tcPr>
          <w:p>
            <w:pPr>
              <w:spacing w:after="40"/>
            </w:pPr>
            <w:r>
              <w:rPr>
                <w:sz w:val="16"/>
              </w:rPr>
            </w:r>
            <w:r>
              <w:rPr>
                <w:sz w:val="16"/>
              </w:rPr>
              <w:t>MPS annuncia due OPS difensive su Banco BPM e Banca Generali (delibera del CdA del 20 agosto, assunta a maggioranza)</w:t>
            </w:r>
          </w:p>
        </w:tc>
      </w:tr>
      <w:tr>
        <w:tc>
          <w:tcPr>
            <w:tcW w:type="dxa" w:w="4320"/>
          </w:tcPr>
          <w:p>
            <w:pPr>
              <w:spacing w:after="40"/>
            </w:pPr>
            <w:r>
              <w:rPr>
                <w:sz w:val="16"/>
              </w:rPr>
            </w:r>
            <w:r>
              <w:rPr>
                <w:sz w:val="16"/>
              </w:rPr>
              <w:t>3 set 2026</w:t>
            </w:r>
          </w:p>
        </w:tc>
        <w:tc>
          <w:tcPr>
            <w:tcW w:type="dxa" w:w="4320"/>
          </w:tcPr>
          <w:p>
            <w:pPr>
              <w:spacing w:after="40"/>
            </w:pPr>
            <w:r>
              <w:rPr>
                <w:sz w:val="16"/>
              </w:rPr>
            </w:r>
            <w:r>
              <w:rPr>
                <w:sz w:val="16"/>
              </w:rPr>
              <w:t>BCE autorizza la fusione MB-MPS e le riorganizzazioni connesse</w:t>
            </w:r>
          </w:p>
        </w:tc>
      </w:tr>
      <w:tr>
        <w:tc>
          <w:tcPr>
            <w:tcW w:type="dxa" w:w="4320"/>
          </w:tcPr>
          <w:p>
            <w:pPr>
              <w:spacing w:after="40"/>
            </w:pPr>
            <w:r>
              <w:rPr>
                <w:sz w:val="16"/>
              </w:rPr>
            </w:r>
            <w:r>
              <w:rPr>
                <w:sz w:val="16"/>
              </w:rPr>
              <w:t>10 set 2026</w:t>
            </w:r>
          </w:p>
        </w:tc>
        <w:tc>
          <w:tcPr>
            <w:tcW w:type="dxa" w:w="4320"/>
          </w:tcPr>
          <w:p>
            <w:pPr>
              <w:spacing w:after="40"/>
            </w:pPr>
            <w:r>
              <w:rPr>
                <w:sz w:val="16"/>
              </w:rPr>
            </w:r>
            <w:r>
              <w:rPr>
                <w:sz w:val="16"/>
              </w:rPr>
              <w:t>Assemblea straordinaria ISP approva la delega per l'aumento di capitale al servizio dell'offerta, con il 96,96% dei voti su un capitale presente del 63,88%</w:t>
            </w:r>
          </w:p>
        </w:tc>
      </w:tr>
      <w:tr>
        <w:tc>
          <w:tcPr>
            <w:tcW w:type="dxa" w:w="4320"/>
          </w:tcPr>
          <w:p>
            <w:pPr>
              <w:spacing w:after="40"/>
            </w:pPr>
            <w:r>
              <w:rPr>
                <w:sz w:val="16"/>
              </w:rPr>
            </w:r>
            <w:r>
              <w:rPr>
                <w:sz w:val="16"/>
              </w:rPr>
              <w:t>14-15 set 2026</w:t>
            </w:r>
          </w:p>
        </w:tc>
        <w:tc>
          <w:tcPr>
            <w:tcW w:type="dxa" w:w="4320"/>
          </w:tcPr>
          <w:p>
            <w:pPr>
              <w:spacing w:after="40"/>
            </w:pPr>
            <w:r>
              <w:rPr>
                <w:sz w:val="16"/>
              </w:rPr>
            </w:r>
            <w:r>
              <w:rPr>
                <w:sz w:val="16"/>
              </w:rPr>
              <w:t>AGCM avvia l'istruttoria approfondita</w:t>
            </w:r>
          </w:p>
        </w:tc>
      </w:tr>
      <w:tr>
        <w:tc>
          <w:tcPr>
            <w:tcW w:type="dxa" w:w="4320"/>
          </w:tcPr>
          <w:p>
            <w:pPr>
              <w:spacing w:after="40"/>
            </w:pPr>
            <w:r>
              <w:rPr>
                <w:sz w:val="16"/>
              </w:rPr>
            </w:r>
            <w:r>
              <w:rPr>
                <w:sz w:val="16"/>
              </w:rPr>
              <w:t>16 set 2026</w:t>
            </w:r>
          </w:p>
        </w:tc>
        <w:tc>
          <w:tcPr>
            <w:tcW w:type="dxa" w:w="4320"/>
          </w:tcPr>
          <w:p>
            <w:pPr>
              <w:spacing w:after="40"/>
            </w:pPr>
            <w:r>
              <w:rPr>
                <w:sz w:val="16"/>
              </w:rPr>
            </w:r>
            <w:r>
              <w:rPr>
                <w:sz w:val="16"/>
              </w:rPr>
              <w:t>IVASS rilascia il primo nullaosta (partecipazioni assicurative)</w:t>
            </w:r>
          </w:p>
        </w:tc>
      </w:tr>
      <w:tr>
        <w:tc>
          <w:tcPr>
            <w:tcW w:type="dxa" w:w="4320"/>
          </w:tcPr>
          <w:p>
            <w:pPr>
              <w:spacing w:after="40"/>
            </w:pPr>
            <w:r>
              <w:rPr>
                <w:sz w:val="16"/>
              </w:rPr>
            </w:r>
            <w:r>
              <w:rPr>
                <w:b/>
                <w:sz w:val="16"/>
              </w:rPr>
              <w:t>29 ott 2026</w:t>
            </w:r>
          </w:p>
        </w:tc>
        <w:tc>
          <w:tcPr>
            <w:tcW w:type="dxa" w:w="4320"/>
          </w:tcPr>
          <w:p>
            <w:pPr>
              <w:spacing w:after="40"/>
            </w:pPr>
            <w:r>
              <w:rPr>
                <w:sz w:val="16"/>
              </w:rPr>
            </w:r>
            <w:r>
              <w:rPr>
                <w:b/>
                <w:sz w:val="16"/>
              </w:rPr>
              <w:t>Assemblea MPS convocata</w:t>
            </w:r>
            <w:r>
              <w:rPr>
                <w:sz w:val="16"/>
              </w:rPr>
              <w:t xml:space="preserve"> su: fusione MB, autorizzazioni ex art. 104 TUF per le due OPS difensive, deleghe per i relativi aumenti, distribuzione straordinaria di 4 miliardi (1 in denaro, circa 3 in azioni AG)</w:t>
            </w:r>
          </w:p>
        </w:tc>
      </w:tr>
    </w:tbl>
    <w:p/>
    <w:p>
      <w:r>
        <w:rPr>
          <w:b/>
        </w:rPr>
        <w:t>Stato dell'offerta al 16 settembre 2026: non ancora avviata.</w:t>
      </w:r>
      <w:r>
        <w:t xml:space="preserve"> Il documento di offerta non è stato approvato da Consob. Il periodo di adesione è atteso fra ottobre e novembre 2026, il perfezionamento entro dicembre 2026.</w:t>
      </w:r>
    </w:p>
    <w:p>
      <w:pPr>
        <w:pStyle w:val="Heading3"/>
      </w:pPr>
      <w:r>
        <w:t>1.2 Stato delle autorizzazioni</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Autorità</w:t>
            </w:r>
          </w:p>
        </w:tc>
        <w:tc>
          <w:tcPr>
            <w:tcW w:type="dxa" w:w="4320"/>
          </w:tcPr>
          <w:p>
            <w:pPr>
              <w:spacing w:after="40"/>
            </w:pPr>
            <w:r>
              <w:rPr>
                <w:b/>
                <w:sz w:val="16"/>
              </w:rPr>
            </w:r>
            <w:r>
              <w:rPr>
                <w:b/>
                <w:sz w:val="16"/>
              </w:rPr>
              <w:t>Stato al 16 settembre 2026</w:t>
            </w:r>
          </w:p>
        </w:tc>
      </w:tr>
      <w:tr>
        <w:tc>
          <w:tcPr>
            <w:tcW w:type="dxa" w:w="4320"/>
          </w:tcPr>
          <w:p>
            <w:pPr>
              <w:spacing w:after="40"/>
            </w:pPr>
            <w:r>
              <w:rPr>
                <w:sz w:val="16"/>
              </w:rPr>
            </w:r>
            <w:r>
              <w:rPr>
                <w:sz w:val="16"/>
              </w:rPr>
              <w:t>IVASS (partecipazioni assicurative)</w:t>
            </w:r>
          </w:p>
        </w:tc>
        <w:tc>
          <w:tcPr>
            <w:tcW w:type="dxa" w:w="4320"/>
          </w:tcPr>
          <w:p>
            <w:pPr>
              <w:spacing w:after="40"/>
            </w:pPr>
            <w:r>
              <w:rPr>
                <w:sz w:val="16"/>
              </w:rPr>
            </w:r>
            <w:r>
              <w:rPr>
                <w:b/>
                <w:sz w:val="16"/>
              </w:rPr>
              <w:t>Ottenuta</w:t>
            </w:r>
            <w:r>
              <w:rPr>
                <w:sz w:val="16"/>
              </w:rPr>
              <w:t xml:space="preserve"> il 16 settembre 2026</w:t>
            </w:r>
          </w:p>
        </w:tc>
      </w:tr>
      <w:tr>
        <w:tc>
          <w:tcPr>
            <w:tcW w:type="dxa" w:w="4320"/>
          </w:tcPr>
          <w:p>
            <w:pPr>
              <w:spacing w:after="40"/>
            </w:pPr>
            <w:r>
              <w:rPr>
                <w:sz w:val="16"/>
              </w:rPr>
            </w:r>
            <w:r>
              <w:rPr>
                <w:sz w:val="16"/>
              </w:rPr>
              <w:t>BCE (modifiche statutarie ISP, computabilità CET1)</w:t>
            </w:r>
          </w:p>
        </w:tc>
        <w:tc>
          <w:tcPr>
            <w:tcW w:type="dxa" w:w="4320"/>
          </w:tcPr>
          <w:p>
            <w:pPr>
              <w:spacing w:after="40"/>
            </w:pPr>
            <w:r>
              <w:rPr>
                <w:sz w:val="16"/>
              </w:rPr>
            </w:r>
            <w:r>
              <w:rPr>
                <w:b/>
                <w:sz w:val="16"/>
              </w:rPr>
              <w:t>Ottenuta</w:t>
            </w:r>
          </w:p>
        </w:tc>
      </w:tr>
      <w:tr>
        <w:tc>
          <w:tcPr>
            <w:tcW w:type="dxa" w:w="4320"/>
          </w:tcPr>
          <w:p>
            <w:pPr>
              <w:spacing w:after="40"/>
            </w:pPr>
            <w:r>
              <w:rPr>
                <w:sz w:val="16"/>
              </w:rPr>
            </w:r>
            <w:r>
              <w:rPr>
                <w:sz w:val="16"/>
              </w:rPr>
              <w:t>BCE / Banca d'Italia (partecipazione qualificata in MPS)</w:t>
            </w:r>
          </w:p>
        </w:tc>
        <w:tc>
          <w:tcPr>
            <w:tcW w:type="dxa" w:w="4320"/>
          </w:tcPr>
          <w:p>
            <w:pPr>
              <w:spacing w:after="40"/>
            </w:pPr>
            <w:r>
              <w:rPr>
                <w:sz w:val="16"/>
              </w:rPr>
            </w:r>
            <w:r>
              <w:rPr>
                <w:sz w:val="16"/>
              </w:rPr>
              <w:t>Pendente</w:t>
            </w:r>
          </w:p>
        </w:tc>
      </w:tr>
      <w:tr>
        <w:tc>
          <w:tcPr>
            <w:tcW w:type="dxa" w:w="4320"/>
          </w:tcPr>
          <w:p>
            <w:pPr>
              <w:spacing w:after="40"/>
            </w:pPr>
            <w:r>
              <w:rPr>
                <w:sz w:val="16"/>
              </w:rPr>
            </w:r>
            <w:r>
              <w:rPr>
                <w:sz w:val="16"/>
              </w:rPr>
              <w:t>BCE (Danish Compromise sulla quota AG)</w:t>
            </w:r>
          </w:p>
        </w:tc>
        <w:tc>
          <w:tcPr>
            <w:tcW w:type="dxa" w:w="4320"/>
          </w:tcPr>
          <w:p>
            <w:pPr>
              <w:spacing w:after="40"/>
            </w:pPr>
            <w:r>
              <w:rPr>
                <w:sz w:val="16"/>
              </w:rPr>
            </w:r>
            <w:r>
              <w:rPr>
                <w:sz w:val="16"/>
              </w:rPr>
              <w:t>Pendente</w:t>
            </w:r>
          </w:p>
        </w:tc>
      </w:tr>
      <w:tr>
        <w:tc>
          <w:tcPr>
            <w:tcW w:type="dxa" w:w="4320"/>
          </w:tcPr>
          <w:p>
            <w:pPr>
              <w:spacing w:after="40"/>
            </w:pPr>
            <w:r>
              <w:rPr>
                <w:sz w:val="16"/>
              </w:rPr>
            </w:r>
            <w:r>
              <w:rPr>
                <w:sz w:val="16"/>
              </w:rPr>
              <w:t>AGCM</w:t>
            </w:r>
          </w:p>
        </w:tc>
        <w:tc>
          <w:tcPr>
            <w:tcW w:type="dxa" w:w="4320"/>
          </w:tcPr>
          <w:p>
            <w:pPr>
              <w:spacing w:after="40"/>
            </w:pPr>
            <w:r>
              <w:rPr>
                <w:sz w:val="16"/>
              </w:rPr>
            </w:r>
            <w:r>
              <w:rPr>
                <w:b/>
                <w:sz w:val="16"/>
              </w:rPr>
              <w:t>Istruttoria approfondita aperta</w:t>
            </w:r>
            <w:r>
              <w:rPr>
                <w:sz w:val="16"/>
              </w:rPr>
              <w:t xml:space="preserve"> il 14 settembre 2026</w:t>
            </w:r>
          </w:p>
        </w:tc>
      </w:tr>
      <w:tr>
        <w:tc>
          <w:tcPr>
            <w:tcW w:type="dxa" w:w="4320"/>
          </w:tcPr>
          <w:p>
            <w:pPr>
              <w:spacing w:after="40"/>
            </w:pPr>
            <w:r>
              <w:rPr>
                <w:sz w:val="16"/>
              </w:rPr>
            </w:r>
            <w:r>
              <w:rPr>
                <w:sz w:val="16"/>
              </w:rPr>
              <w:t>Consob (documento di offerta)</w:t>
            </w:r>
          </w:p>
        </w:tc>
        <w:tc>
          <w:tcPr>
            <w:tcW w:type="dxa" w:w="4320"/>
          </w:tcPr>
          <w:p>
            <w:pPr>
              <w:spacing w:after="40"/>
            </w:pPr>
            <w:r>
              <w:rPr>
                <w:sz w:val="16"/>
              </w:rPr>
            </w:r>
            <w:r>
              <w:rPr>
                <w:sz w:val="16"/>
              </w:rPr>
              <w:t>Pendente</w:t>
            </w:r>
          </w:p>
        </w:tc>
      </w:tr>
      <w:tr>
        <w:tc>
          <w:tcPr>
            <w:tcW w:type="dxa" w:w="4320"/>
          </w:tcPr>
          <w:p>
            <w:pPr>
              <w:spacing w:after="40"/>
            </w:pPr>
            <w:r>
              <w:rPr>
                <w:sz w:val="16"/>
              </w:rPr>
            </w:r>
            <w:r>
              <w:rPr>
                <w:sz w:val="16"/>
              </w:rPr>
              <w:t>Golden power</w:t>
            </w:r>
          </w:p>
        </w:tc>
        <w:tc>
          <w:tcPr>
            <w:tcW w:type="dxa" w:w="4320"/>
          </w:tcPr>
          <w:p>
            <w:pPr>
              <w:spacing w:after="40"/>
            </w:pPr>
            <w:r>
              <w:rPr>
                <w:sz w:val="16"/>
              </w:rPr>
            </w:r>
            <w:r>
              <w:rPr>
                <w:sz w:val="16"/>
              </w:rPr>
              <w:t>Notificato, nessuna decisione formale pubblica</w:t>
            </w:r>
          </w:p>
        </w:tc>
      </w:tr>
      <w:tr>
        <w:tc>
          <w:tcPr>
            <w:tcW w:type="dxa" w:w="4320"/>
          </w:tcPr>
          <w:p>
            <w:pPr>
              <w:spacing w:after="40"/>
            </w:pPr>
            <w:r>
              <w:rPr>
                <w:sz w:val="16"/>
              </w:rPr>
            </w:r>
            <w:r>
              <w:rPr>
                <w:sz w:val="16"/>
              </w:rPr>
              <w:t>Circa 40 autorità italiane ed estere</w:t>
            </w:r>
          </w:p>
        </w:tc>
        <w:tc>
          <w:tcPr>
            <w:tcW w:type="dxa" w:w="4320"/>
          </w:tcPr>
          <w:p>
            <w:pPr>
              <w:spacing w:after="40"/>
            </w:pPr>
            <w:r>
              <w:rPr>
                <w:sz w:val="16"/>
              </w:rPr>
            </w:r>
            <w:r>
              <w:rPr>
                <w:sz w:val="16"/>
              </w:rPr>
              <w:t>In corso</w:t>
            </w:r>
          </w:p>
        </w:tc>
      </w:tr>
    </w:tbl>
    <w:p/>
    <w:p>
      <w:pPr>
        <w:pStyle w:val="Heading2"/>
      </w:pPr>
      <w:r>
        <w:t>2. Termini dell'offerta (comunicato ex art. 102 c. 1 TUF, 8 giugno 2026)</w:t>
      </w:r>
    </w:p>
    <w:p>
      <w:pPr>
        <w:pStyle w:val="Heading3"/>
      </w:pPr>
      <w:r>
        <w:t>2.1 Corrispettivo e perimetro</w:t>
      </w:r>
    </w:p>
    <w:p>
      <w:pPr>
        <w:pStyle w:val="ListBullet"/>
      </w:pPr>
      <w:r>
        <w:rPr>
          <w:b/>
        </w:rPr>
        <w:t>Corrispettivo unitario</w:t>
      </w:r>
      <w:r>
        <w:t xml:space="preserve">: 1,600 azioni ISP di nuova emissione + </w:t>
      </w:r>
      <w:r>
        <w:rPr>
          <w:b/>
        </w:rPr>
        <w:t>1,000 euro in contanti</w:t>
      </w:r>
      <w:r>
        <w:t xml:space="preserve"> per ciascuna azione MPS.</w:t>
      </w:r>
    </w:p>
    <w:p>
      <w:pPr>
        <w:pStyle w:val="ListBullet"/>
      </w:pPr>
      <w:r>
        <w:t xml:space="preserve">Valore implicito </w:t>
      </w:r>
      <w:r>
        <w:rPr>
          <w:b/>
        </w:rPr>
        <w:t>10,091 euro per azione MPS</w:t>
      </w:r>
      <w:r>
        <w:t xml:space="preserve"> ai prezzi del 5 giugno 2026; controvalore complessivo circa </w:t>
      </w:r>
      <w:r>
        <w:rPr>
          <w:b/>
        </w:rPr>
        <w:t>30,6 miliardi di euro</w:t>
      </w:r>
      <w:r>
        <w:t>.</w:t>
      </w:r>
    </w:p>
    <w:p>
      <w:pPr>
        <w:pStyle w:val="ListBullet"/>
      </w:pPr>
      <w:r>
        <w:t>Premi dichiarati: 12,5% sul prezzo ufficiale del 5 giugno (8,970 euro), 17,4% sul VWAP a tre mesi, 18,7% sul VWAP a sei mesi.</w:t>
      </w:r>
    </w:p>
    <w:p>
      <w:pPr>
        <w:pStyle w:val="ListBullet"/>
      </w:pPr>
      <w:r>
        <w:t xml:space="preserve">Oggetto: massime </w:t>
      </w:r>
      <w:r>
        <w:rPr>
          <w:b/>
        </w:rPr>
        <w:t>3.036.151.673 azioni</w:t>
      </w:r>
      <w:r>
        <w:t>, dedotte le 2.266.510 azioni MPS già detenute da ISP; estensione a massime 272.012.804 azioni MPS di nuova emissione se la fusione MB diventasse efficace prima della chiusura del periodo di adesione.</w:t>
      </w:r>
    </w:p>
    <w:p>
      <w:pPr>
        <w:pStyle w:val="ListBullet"/>
      </w:pPr>
      <w:r>
        <w:rPr>
          <w:b/>
        </w:rPr>
        <w:t>Periodo di adesione</w:t>
      </w:r>
      <w:r>
        <w:t>: durata compresa fra 15 e 40 giorni di borsa aperta, concordata con Borsa Italiana, salvo proroga.</w:t>
      </w:r>
    </w:p>
    <w:p>
      <w:pPr>
        <w:pStyle w:val="Heading3"/>
      </w:pPr>
      <w:r>
        <w:t>2.2 Condizioni di efficacia (verbatim, estratti)</w:t>
      </w:r>
    </w:p>
    <w:p>
      <w:pPr>
        <w:pStyle w:val="IntenseQuote"/>
      </w:pPr>
      <w:r>
        <w:t xml:space="preserve">"(i) vengano rilasciate le Autorizzazioni Preventive </w:t>
      </w:r>
      <w:r>
        <w:rPr>
          <w:b/>
        </w:rPr>
        <w:t>senza prescrizioni, condizioni o limitazioni, anche con riferimento all'applicazione del regime prudenziale noto come 'Danish Compromise'</w:t>
      </w:r>
      <w:r>
        <w:t xml:space="preserve">; (ii) entro il secondo giorno di borsa aperta antecedente la Data di Pagamento vengano rilasciate le Altre Autorizzazioni senza prescrizioni, condizioni o limitazioni; (iii) all'esito dell'Offerta, l'Offerente venga a detenere, per effetto delle adesioni alla stessa e/o di acquisti eventualmente effettuati al di fuori dell'Offerta medesima ai sensi della normativa applicabile durante il Periodo di Adesione, una partecipazione pari ad almeno il </w:t>
      </w:r>
      <w:r>
        <w:rPr>
          <w:b/>
        </w:rPr>
        <w:t>66,67%</w:t>
      </w:r>
      <w:r>
        <w:t xml:space="preserve"> dell'Emittente ('Condizione Soglia'); l'Offerente si riserva di rinunciare, tra le altre, in tutto o in parte alla presente Condizione di Efficacia"</w:t>
      </w:r>
    </w:p>
    <w:p>
      <w:r>
        <w:t xml:space="preserve">Le condizioni (iv) e (v) vietano a MPS, </w:t>
      </w:r>
      <w:r>
        <w:rPr>
          <w:b/>
        </w:rPr>
        <w:t>fra la data del comunicato e la Data di Pagamento</w:t>
      </w:r>
      <w:r>
        <w:t>, atti non rientranti nell'</w:t>
      </w:r>
      <w:r>
        <w:rPr>
          <w:i/>
        </w:rPr>
        <w:t>ordinary course of business</w:t>
      </w:r>
      <w:r>
        <w:t xml:space="preserve"> e atti che contrastino gli obiettivi dell'offerta, "ancorché [...] autorizzati dall'assemblea ordinaria o straordinaria". La condizione (vii) protegge l'esecuzione della fusione MB. La condizione (vi) è una clausola MAE di formulazione ampia.</w:t>
      </w:r>
    </w:p>
    <w:p>
      <w:pPr>
        <w:pStyle w:val="IntenseQuote"/>
      </w:pPr>
      <w:r>
        <w:rPr>
          <w:b/>
        </w:rPr>
        <w:t>Dato strutturale da tenere presente</w:t>
      </w:r>
      <w:r>
        <w:t xml:space="preserve">: la protezione delle condizioni (iv) e (v) </w:t>
      </w:r>
      <w:r>
        <w:rPr>
          <w:b/>
        </w:rPr>
        <w:t>si esaurisce alla Data di Pagamento</w:t>
      </w:r>
      <w:r>
        <w:t>, così come la passivity rule dell'art. 104 TUF si esaurisce con la chiusura dell'offerta. Dopo il settlement ISP non ha più né leve contrattuali né il presidio della passivity.</w:t>
      </w:r>
    </w:p>
    <w:p>
      <w:pPr>
        <w:pStyle w:val="Heading3"/>
      </w:pPr>
      <w:r>
        <w:t>2.3 Delisting, squeeze-out e sell-out (verbatim)</w:t>
      </w:r>
    </w:p>
    <w:p>
      <w:pPr>
        <w:pStyle w:val="IntenseQuote"/>
      </w:pPr>
      <w:r>
        <w:t>"l'obiettivo dell'Offerta è acquisire l'intero capitale sociale dell'Emittente (o almeno una partecipazione pari al 66,67% [...] salvo rinuncia, anche parziale, da parte dell'Offerente) e conseguire la revoca delle relative azioni dalla quotazione sul mercato regolamentato Euronext Milan."</w:t>
      </w:r>
    </w:p>
    <w:p>
      <w:pPr>
        <w:pStyle w:val="IntenseQuote"/>
      </w:pPr>
      <w:r>
        <w:t xml:space="preserve">"Nell'ottica di accelerare il raggiungimento degli obiettivi industriali [...] l'Offerente ha l'intenzione di procedere, nel minor tempo possibile, al delisting dell'Emittente, </w:t>
      </w:r>
      <w:r>
        <w:rPr>
          <w:b/>
        </w:rPr>
        <w:t>se del caso mediante fusione tra l'Emittente e l'Offerente</w:t>
      </w:r>
      <w:r>
        <w:t>, tenuto conto della gestione delle problematiche antitrust."</w:t>
      </w:r>
    </w:p>
    <w:p>
      <w:pPr>
        <w:pStyle w:val="IntenseQuote"/>
      </w:pPr>
      <w:r>
        <w:t xml:space="preserve">"per il caso in cui, all'esito dell'Offerta - per effetto delle adesioni all'Offerta e/o di acquisti eventualmente effettuati al di fuori dell'Offerta medesima - l'Offerente venisse a detenere una partecipazione complessiva </w:t>
      </w:r>
      <w:r>
        <w:rPr>
          <w:b/>
        </w:rPr>
        <w:t>pari o superiore al 90%</w:t>
      </w:r>
      <w:r>
        <w:t xml:space="preserve"> del capitale sociale dell'Emittente, l'Offerente dichiara sin d'ora la propria intenzione di esercitare il diritto di acquistare le residue Azioni dell'Emittente in circolazione ai sensi dell'articolo 111 del TUF [...] e, nel caso previsto dall'articolo 108, comma 2, del TUF, la propria intenzione di </w:t>
      </w:r>
      <w:r>
        <w:rPr>
          <w:b/>
        </w:rPr>
        <w:t>non ripristinare un flottante sufficiente</w:t>
      </w:r>
      <w:r>
        <w:t xml:space="preserve"> ad assicurare il regolare andamento delle negoziazioni."</w:t>
      </w:r>
    </w:p>
    <w:p>
      <w:pPr>
        <w:pStyle w:val="IntenseQuote"/>
      </w:pPr>
      <w:r>
        <w:t xml:space="preserve">"ai fini del calcolo della soglia prevista dall'art. 108, commi 1 o 2, e 111 del TUF, </w:t>
      </w:r>
      <w:r>
        <w:rPr>
          <w:b/>
        </w:rPr>
        <w:t>le azioni proprie detenute dall'Emittente</w:t>
      </w:r>
      <w:r>
        <w:t xml:space="preserve"> (se non già portate in adesione all'Offerta) </w:t>
      </w:r>
      <w:r>
        <w:rPr>
          <w:b/>
        </w:rPr>
        <w:t>saranno computate nella partecipazione complessiva detenuta</w:t>
      </w:r>
      <w:r>
        <w:t xml:space="preserve"> direttamente o indirettamente dall'Offerente (numeratore) </w:t>
      </w:r>
      <w:r>
        <w:rPr>
          <w:b/>
        </w:rPr>
        <w:t>senza essere sottratte dal capitale sociale</w:t>
      </w:r>
      <w:r>
        <w:t xml:space="preserve"> dell'Emittente (denominatore)."</w:t>
      </w:r>
    </w:p>
    <w:p>
      <w:pPr>
        <w:pStyle w:val="IntenseQuote"/>
      </w:pPr>
      <w:r>
        <w:t xml:space="preserve">"Sussistendone i presupposti [...] l'Offerente adempierà altresì all'obbligo di acquistare le rimanenti Azioni [...] </w:t>
      </w:r>
      <w:r>
        <w:rPr>
          <w:b/>
        </w:rPr>
        <w:t>dando pertanto corso a un'unica procedura</w:t>
      </w:r>
      <w:r>
        <w:t xml:space="preserve"> (la 'Procedura Congiunta')." Il corrispettivo "sarà determinato ai sensi dell'articolo 108, commi 3, 4 e 5, del TUF, come richiamato dall'articolo 111". Il diritto di acquisto "sarà esercitato non appena possibile [...] secondo termini e modalità che saranno concordati con Consob e Borsa Italiana."</w:t>
      </w:r>
    </w:p>
    <w:p>
      <w:pPr>
        <w:pStyle w:val="IntenseQuote"/>
      </w:pPr>
      <w:r>
        <w:rPr>
          <w:b/>
        </w:rPr>
        <w:t>Riapertura dei termini (verbatim)</w:t>
      </w:r>
      <w:r>
        <w:t xml:space="preserve">: "Si precisa che l'Offerta, essendo promossa da un soggetto diverso da quelli indicati nell'art. 39-bis, comma 1, lett. a), del Regolamento Emittenti, </w:t>
      </w:r>
      <w:r>
        <w:rPr>
          <w:b/>
        </w:rPr>
        <w:t>non è soggetta alla riapertura obbligatoria</w:t>
      </w:r>
      <w:r>
        <w:t xml:space="preserve"> dei termini di adesione prevista dall'art. 40-bis del Regolamento Emittenti." </w:t>
      </w:r>
      <w:r>
        <w:rPr>
          <w:b/>
        </w:rPr>
        <w:t>Nel comunicato non risulta dichiarato alcun assoggettamento volontario.</w:t>
      </w:r>
      <w:r>
        <w:t xml:space="preserve"> È un punto decisionale ancora aperto (Parte II, § 10).</w:t>
      </w:r>
    </w:p>
    <w:p>
      <w:pPr>
        <w:pStyle w:val="IntenseQuote"/>
      </w:pPr>
      <w:r>
        <w:rPr>
          <w:b/>
        </w:rPr>
        <w:t>Riserva sul diritto transitorio (verbatim)</w:t>
      </w:r>
      <w:r>
        <w:t>: "In considerazione della recente entrata in vigore del d.lgs. 27 marzo 2026, n. 47 di riforma del TUF, e delle conseguenti modifiche agli articoli 108 e 111 dello stesso, l'Offerente si riserva di integrare quanto sopra per tenere conto dell'eventuale disciplina attuativa che dovesse essere emanata dalla Consob, nonché degli eventuali orientamenti interpretativi, anche di diritto transitorio, che dovessero intervenire."</w:t>
      </w:r>
    </w:p>
    <w:p>
      <w:pPr>
        <w:pStyle w:val="Heading3"/>
      </w:pPr>
      <w:r>
        <w:t>2.4 Accordo Unipol (verbatim)</w:t>
      </w:r>
    </w:p>
    <w:p>
      <w:pPr>
        <w:pStyle w:val="IntenseQuote"/>
      </w:pPr>
      <w:r>
        <w:t xml:space="preserve">"L'Offerente ha stipulato, in data odierna, un accordo con Unipol Assicurazioni S.p.A. (l''Accordo Unipol'), la quale ha assunto l'impegno [...] di acquisire (a seguito del perfezionamento dell'Offerta e </w:t>
      </w:r>
      <w:r>
        <w:rPr>
          <w:b/>
        </w:rPr>
        <w:t>dell'adesione dell'Emittente all'Accordo Unipol</w:t>
      </w:r>
      <w:r>
        <w:t xml:space="preserve">, nonché subordinatamente all'ottenimento delle necessarie autorizzazioni) </w:t>
      </w:r>
      <w:r>
        <w:rPr>
          <w:b/>
        </w:rPr>
        <w:t>l'intero capitale di una entità giuridica bancaria, eventualmente identificata nello stesso Emittente</w:t>
      </w:r>
      <w:r>
        <w:t xml:space="preserve">, e comunque operante sotto il marchio e i segni distintivi di quest'ultimo, con un compendio aziendale costituito da un insieme di </w:t>
      </w:r>
      <w:r>
        <w:rPr>
          <w:b/>
        </w:rPr>
        <w:t>635 filiali</w:t>
      </w:r>
      <w:r>
        <w:t xml:space="preserve"> dell'Emittente (con gli elementi patrimoniali e i rapporti giuridici connessi), e gran parte delle strutture/attività centrali dell'Emittente (con relative attività e passività) necessarie per operare come banca in modo indipendente. L'Accordo Unipol è funzionale a gestire proattivamente le tematiche antitrust."</w:t>
      </w:r>
    </w:p>
    <w:p>
      <w:r>
        <w:t xml:space="preserve">Dati collegati: corrispettivo per cassa circa </w:t>
      </w:r>
      <w:r>
        <w:rPr>
          <w:b/>
        </w:rPr>
        <w:t>3-3,5 miliardi di euro</w:t>
      </w:r>
      <w:r>
        <w:t xml:space="preserve">; perfezionamento atteso nel </w:t>
      </w:r>
      <w:r>
        <w:rPr>
          <w:b/>
        </w:rPr>
        <w:t>secondo semestre 2027</w:t>
      </w:r>
      <w:r>
        <w:t xml:space="preserve">; delle 635 filiali, </w:t>
      </w:r>
      <w:r>
        <w:rPr>
          <w:b/>
        </w:rPr>
        <w:t>445 sono già identificate in via definitiva e 190 solo in via preliminare</w:t>
      </w:r>
      <w:r>
        <w:t xml:space="preserve"> e potranno essere sostituite. Unipol ha ottenuto dall'assemblea del 30 luglio 2026 una delega per un aumento di capitale fino a 2,5 miliardi. Il progetto dichiarato è la successiva combinazione con BPER, con ridenominazione in "Banca Monte dei Paschi".</w:t>
      </w:r>
    </w:p>
    <w:p>
      <w:pPr>
        <w:pStyle w:val="Heading2"/>
      </w:pPr>
      <w:r>
        <w:t>3. Azionariato MPS</w:t>
      </w:r>
    </w:p>
    <w:p>
      <w:r>
        <w:t xml:space="preserve">Capitale sociale: </w:t>
      </w:r>
      <w:r>
        <w:rPr>
          <w:b/>
        </w:rPr>
        <w:t>3.038.418.183 azioni ordinarie</w:t>
      </w:r>
      <w:r>
        <w:t xml:space="preserve"> prive di valore nominale, un voto ciascuna. </w:t>
      </w:r>
      <w:r>
        <w:rPr>
          <w:b/>
        </w:rPr>
        <w:t>Non esistono patti parasociali dichiarati né soggetti che esercitino il controllo ex art. 93 TUF.</w:t>
      </w:r>
      <w:r>
        <w:t xml:space="preserve"> Lo statuto non contiene </w:t>
      </w:r>
      <w:r>
        <w:rPr>
          <w:i/>
        </w:rPr>
        <w:t>voting cap</w:t>
      </w:r>
      <w:r>
        <w:t xml:space="preserve"> generali, azioni a voto plurimo o maggiorato, né clausole di gradimento; l'unica clausola limitativa (art. 14 c. 8) riguarda esclusivamente le fondazioni bancarie ed è priva di rilievo per ISP.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r>
              <w:rPr>
                <w:b/>
                <w:sz w:val="16"/>
              </w:rPr>
              <w:t>Azionista</w:t>
            </w:r>
          </w:p>
        </w:tc>
        <w:tc>
          <w:tcPr>
            <w:tcW w:type="dxa" w:w="2880"/>
          </w:tcPr>
          <w:p>
            <w:pPr>
              <w:spacing w:after="40"/>
            </w:pPr>
            <w:r>
              <w:rPr>
                <w:b/>
                <w:sz w:val="16"/>
              </w:rPr>
            </w:r>
            <w:r>
              <w:rPr>
                <w:b/>
                <w:sz w:val="16"/>
              </w:rPr>
              <w:t>Quota</w:t>
            </w:r>
          </w:p>
        </w:tc>
        <w:tc>
          <w:tcPr>
            <w:tcW w:type="dxa" w:w="2880"/>
          </w:tcPr>
          <w:p>
            <w:pPr>
              <w:spacing w:after="40"/>
            </w:pPr>
            <w:r>
              <w:rPr>
                <w:b/>
                <w:sz w:val="16"/>
              </w:rPr>
            </w:r>
            <w:r>
              <w:rPr>
                <w:b/>
                <w:sz w:val="16"/>
              </w:rPr>
              <w:t>Fonte e data</w:t>
            </w:r>
          </w:p>
        </w:tc>
      </w:tr>
      <w:tr>
        <w:tc>
          <w:tcPr>
            <w:tcW w:type="dxa" w:w="2880"/>
          </w:tcPr>
          <w:p>
            <w:pPr>
              <w:spacing w:after="40"/>
            </w:pPr>
            <w:r>
              <w:rPr>
                <w:sz w:val="16"/>
              </w:rPr>
            </w:r>
            <w:r>
              <w:rPr>
                <w:sz w:val="16"/>
              </w:rPr>
              <w:t>Delfin S.à r.l.</w:t>
            </w:r>
          </w:p>
        </w:tc>
        <w:tc>
          <w:tcPr>
            <w:tcW w:type="dxa" w:w="2880"/>
          </w:tcPr>
          <w:p>
            <w:pPr>
              <w:spacing w:after="40"/>
            </w:pPr>
            <w:r>
              <w:rPr>
                <w:sz w:val="16"/>
              </w:rPr>
            </w:r>
            <w:r>
              <w:rPr>
                <w:b/>
                <w:sz w:val="16"/>
              </w:rPr>
              <w:t>17,53%</w:t>
            </w:r>
          </w:p>
        </w:tc>
        <w:tc>
          <w:tcPr>
            <w:tcW w:type="dxa" w:w="2880"/>
          </w:tcPr>
          <w:p>
            <w:pPr>
              <w:spacing w:after="40"/>
            </w:pPr>
            <w:r>
              <w:rPr>
                <w:sz w:val="16"/>
              </w:rPr>
            </w:r>
            <w:r>
              <w:rPr>
                <w:sz w:val="16"/>
              </w:rPr>
              <w:t>Consob, data operazione 29 settembre 2025</w:t>
            </w:r>
          </w:p>
        </w:tc>
      </w:tr>
      <w:tr>
        <w:tc>
          <w:tcPr>
            <w:tcW w:type="dxa" w:w="2880"/>
          </w:tcPr>
          <w:p>
            <w:pPr>
              <w:spacing w:after="40"/>
            </w:pPr>
            <w:r>
              <w:rPr>
                <w:sz w:val="16"/>
              </w:rPr>
            </w:r>
            <w:r>
              <w:rPr>
                <w:sz w:val="16"/>
              </w:rPr>
              <w:t>Gruppo Francesco Gaetano Caltagirone</w:t>
            </w:r>
          </w:p>
        </w:tc>
        <w:tc>
          <w:tcPr>
            <w:tcW w:type="dxa" w:w="2880"/>
          </w:tcPr>
          <w:p>
            <w:pPr>
              <w:spacing w:after="40"/>
            </w:pPr>
            <w:r>
              <w:rPr>
                <w:sz w:val="16"/>
              </w:rPr>
            </w:r>
            <w:r>
              <w:rPr>
                <w:b/>
                <w:sz w:val="16"/>
              </w:rPr>
              <w:t>10,26%</w:t>
            </w:r>
            <w:r>
              <w:rPr>
                <w:sz w:val="16"/>
              </w:rPr>
              <w:t xml:space="preserve"> notificato / </w:t>
            </w:r>
            <w:r>
              <w:rPr>
                <w:b/>
                <w:sz w:val="16"/>
              </w:rPr>
              <w:t>13,49%</w:t>
            </w:r>
          </w:p>
        </w:tc>
        <w:tc>
          <w:tcPr>
            <w:tcW w:type="dxa" w:w="2880"/>
          </w:tcPr>
          <w:p>
            <w:pPr>
              <w:spacing w:after="40"/>
            </w:pPr>
            <w:r>
              <w:rPr>
                <w:sz w:val="16"/>
              </w:rPr>
            </w:r>
            <w:r>
              <w:rPr>
                <w:sz w:val="16"/>
              </w:rPr>
              <w:t xml:space="preserve">Consob (notifica 29 settembre 2025) / MPS al 20 maggio 2026. </w:t>
            </w:r>
            <w:r>
              <w:rPr>
                <w:b/>
                <w:sz w:val="16"/>
              </w:rPr>
              <w:t>Dato discordante: usare 13,49% come stima corrente e 10,26% come dato notificato</w:t>
            </w:r>
          </w:p>
        </w:tc>
      </w:tr>
      <w:tr>
        <w:tc>
          <w:tcPr>
            <w:tcW w:type="dxa" w:w="2880"/>
          </w:tcPr>
          <w:p>
            <w:pPr>
              <w:spacing w:after="40"/>
            </w:pPr>
            <w:r>
              <w:rPr>
                <w:sz w:val="16"/>
              </w:rPr>
            </w:r>
            <w:r>
              <w:rPr>
                <w:sz w:val="16"/>
              </w:rPr>
              <w:t>MEF</w:t>
            </w:r>
          </w:p>
        </w:tc>
        <w:tc>
          <w:tcPr>
            <w:tcW w:type="dxa" w:w="2880"/>
          </w:tcPr>
          <w:p>
            <w:pPr>
              <w:spacing w:after="40"/>
            </w:pPr>
            <w:r>
              <w:rPr>
                <w:sz w:val="16"/>
              </w:rPr>
            </w:r>
            <w:r>
              <w:rPr>
                <w:sz w:val="16"/>
              </w:rPr>
              <w:t>4,86%</w:t>
            </w:r>
          </w:p>
        </w:tc>
        <w:tc>
          <w:tcPr>
            <w:tcW w:type="dxa" w:w="2880"/>
          </w:tcPr>
          <w:p>
            <w:pPr>
              <w:spacing w:after="40"/>
            </w:pPr>
            <w:r>
              <w:rPr>
                <w:sz w:val="16"/>
              </w:rPr>
            </w:r>
            <w:r>
              <w:rPr>
                <w:sz w:val="16"/>
              </w:rPr>
              <w:t>Consob</w:t>
            </w:r>
          </w:p>
        </w:tc>
      </w:tr>
      <w:tr>
        <w:tc>
          <w:tcPr>
            <w:tcW w:type="dxa" w:w="2880"/>
          </w:tcPr>
          <w:p>
            <w:pPr>
              <w:spacing w:after="40"/>
            </w:pPr>
            <w:r>
              <w:rPr>
                <w:sz w:val="16"/>
              </w:rPr>
            </w:r>
            <w:r>
              <w:rPr>
                <w:sz w:val="16"/>
              </w:rPr>
              <w:t>BlackRock</w:t>
            </w:r>
          </w:p>
        </w:tc>
        <w:tc>
          <w:tcPr>
            <w:tcW w:type="dxa" w:w="2880"/>
          </w:tcPr>
          <w:p>
            <w:pPr>
              <w:spacing w:after="40"/>
            </w:pPr>
            <w:r>
              <w:rPr>
                <w:sz w:val="16"/>
              </w:rPr>
            </w:r>
            <w:r>
              <w:rPr>
                <w:sz w:val="16"/>
              </w:rPr>
              <w:t>4,97% aggregato (4,665% azioni + 0,302% posizioni lunghe)</w:t>
            </w:r>
          </w:p>
        </w:tc>
        <w:tc>
          <w:tcPr>
            <w:tcW w:type="dxa" w:w="2880"/>
          </w:tcPr>
          <w:p>
            <w:pPr>
              <w:spacing w:after="40"/>
            </w:pPr>
            <w:r>
              <w:rPr>
                <w:sz w:val="16"/>
              </w:rPr>
            </w:r>
            <w:r>
              <w:rPr>
                <w:sz w:val="16"/>
              </w:rPr>
              <w:t>Mod. 120B del 30 aprile 2026</w:t>
            </w:r>
          </w:p>
        </w:tc>
      </w:tr>
      <w:tr>
        <w:tc>
          <w:tcPr>
            <w:tcW w:type="dxa" w:w="2880"/>
          </w:tcPr>
          <w:p>
            <w:pPr>
              <w:spacing w:after="40"/>
            </w:pPr>
            <w:r>
              <w:rPr>
                <w:sz w:val="16"/>
              </w:rPr>
            </w:r>
            <w:r>
              <w:rPr>
                <w:sz w:val="16"/>
              </w:rPr>
              <w:t>Banco BPM (anche tramite Anima)</w:t>
            </w:r>
          </w:p>
        </w:tc>
        <w:tc>
          <w:tcPr>
            <w:tcW w:type="dxa" w:w="2880"/>
          </w:tcPr>
          <w:p>
            <w:pPr>
              <w:spacing w:after="40"/>
            </w:pPr>
            <w:r>
              <w:rPr>
                <w:sz w:val="16"/>
              </w:rPr>
            </w:r>
            <w:r>
              <w:rPr>
                <w:sz w:val="16"/>
              </w:rPr>
              <w:t>3,74% (2,07% azioni + 1,67% strumenti)</w:t>
            </w:r>
          </w:p>
        </w:tc>
        <w:tc>
          <w:tcPr>
            <w:tcW w:type="dxa" w:w="2880"/>
          </w:tcPr>
          <w:p>
            <w:pPr>
              <w:spacing w:after="40"/>
            </w:pPr>
            <w:r>
              <w:rPr>
                <w:sz w:val="16"/>
              </w:rPr>
            </w:r>
            <w:r>
              <w:rPr>
                <w:sz w:val="16"/>
              </w:rPr>
              <w:t>Consob</w:t>
            </w:r>
          </w:p>
        </w:tc>
      </w:tr>
      <w:tr>
        <w:tc>
          <w:tcPr>
            <w:tcW w:type="dxa" w:w="2880"/>
          </w:tcPr>
          <w:p>
            <w:pPr>
              <w:spacing w:after="40"/>
            </w:pPr>
            <w:r>
              <w:rPr>
                <w:sz w:val="16"/>
              </w:rPr>
            </w:r>
            <w:r>
              <w:rPr>
                <w:sz w:val="16"/>
              </w:rPr>
              <w:t>Norges Bank</w:t>
            </w:r>
          </w:p>
        </w:tc>
        <w:tc>
          <w:tcPr>
            <w:tcW w:type="dxa" w:w="2880"/>
          </w:tcPr>
          <w:p>
            <w:pPr>
              <w:spacing w:after="40"/>
            </w:pPr>
            <w:r>
              <w:rPr>
                <w:sz w:val="16"/>
              </w:rPr>
            </w:r>
            <w:r>
              <w:rPr>
                <w:sz w:val="16"/>
              </w:rPr>
              <w:t>~3,1%</w:t>
            </w:r>
          </w:p>
        </w:tc>
        <w:tc>
          <w:tcPr>
            <w:tcW w:type="dxa" w:w="2880"/>
          </w:tcPr>
          <w:p>
            <w:pPr>
              <w:spacing w:after="40"/>
            </w:pPr>
            <w:r>
              <w:rPr>
                <w:sz w:val="16"/>
              </w:rPr>
            </w:r>
            <w:r>
              <w:rPr>
                <w:sz w:val="16"/>
              </w:rPr>
              <w:t>Cronache assembleari</w:t>
            </w:r>
          </w:p>
        </w:tc>
      </w:tr>
      <w:tr>
        <w:tc>
          <w:tcPr>
            <w:tcW w:type="dxa" w:w="2880"/>
          </w:tcPr>
          <w:p>
            <w:pPr>
              <w:spacing w:after="40"/>
            </w:pPr>
            <w:r>
              <w:rPr>
                <w:sz w:val="16"/>
              </w:rPr>
            </w:r>
            <w:r>
              <w:rPr>
                <w:sz w:val="16"/>
              </w:rPr>
              <w:t>Vanguard</w:t>
            </w:r>
          </w:p>
        </w:tc>
        <w:tc>
          <w:tcPr>
            <w:tcW w:type="dxa" w:w="2880"/>
          </w:tcPr>
          <w:p>
            <w:pPr>
              <w:spacing w:after="40"/>
            </w:pPr>
            <w:r>
              <w:rPr>
                <w:sz w:val="16"/>
              </w:rPr>
            </w:r>
            <w:r>
              <w:rPr>
                <w:sz w:val="16"/>
              </w:rPr>
              <w:t>~2,6%</w:t>
            </w:r>
          </w:p>
        </w:tc>
        <w:tc>
          <w:tcPr>
            <w:tcW w:type="dxa" w:w="2880"/>
          </w:tcPr>
          <w:p>
            <w:pPr>
              <w:spacing w:after="40"/>
            </w:pPr>
            <w:r>
              <w:rPr>
                <w:sz w:val="16"/>
              </w:rPr>
            </w:r>
            <w:r>
              <w:rPr>
                <w:sz w:val="16"/>
              </w:rPr>
              <w:t>Cronache assembleari</w:t>
            </w:r>
          </w:p>
        </w:tc>
      </w:tr>
      <w:tr>
        <w:tc>
          <w:tcPr>
            <w:tcW w:type="dxa" w:w="2880"/>
          </w:tcPr>
          <w:p>
            <w:pPr>
              <w:spacing w:after="40"/>
            </w:pPr>
            <w:r>
              <w:rPr>
                <w:sz w:val="16"/>
              </w:rPr>
            </w:r>
            <w:r>
              <w:rPr>
                <w:sz w:val="16"/>
              </w:rPr>
              <w:t>ISP (pre-offerta)</w:t>
            </w:r>
          </w:p>
        </w:tc>
        <w:tc>
          <w:tcPr>
            <w:tcW w:type="dxa" w:w="2880"/>
          </w:tcPr>
          <w:p>
            <w:pPr>
              <w:spacing w:after="40"/>
            </w:pPr>
            <w:r>
              <w:rPr>
                <w:sz w:val="16"/>
              </w:rPr>
            </w:r>
            <w:r>
              <w:rPr>
                <w:sz w:val="16"/>
              </w:rPr>
              <w:t>0,075% (2.266.510 azioni)</w:t>
            </w:r>
          </w:p>
        </w:tc>
        <w:tc>
          <w:tcPr>
            <w:tcW w:type="dxa" w:w="2880"/>
          </w:tcPr>
          <w:p>
            <w:pPr>
              <w:spacing w:after="40"/>
            </w:pPr>
            <w:r>
              <w:rPr>
                <w:sz w:val="16"/>
              </w:rPr>
            </w:r>
            <w:r>
              <w:rPr>
                <w:sz w:val="16"/>
              </w:rPr>
              <w:t>Comunicato 102 dell'8 giugno 2026</w:t>
            </w:r>
          </w:p>
        </w:tc>
      </w:tr>
      <w:tr>
        <w:tc>
          <w:tcPr>
            <w:tcW w:type="dxa" w:w="2880"/>
          </w:tcPr>
          <w:p>
            <w:pPr>
              <w:spacing w:after="40"/>
            </w:pPr>
            <w:r>
              <w:rPr>
                <w:sz w:val="16"/>
              </w:rPr>
            </w:r>
            <w:r>
              <w:rPr>
                <w:sz w:val="16"/>
              </w:rPr>
              <w:t>Flottante residuo</w:t>
            </w:r>
          </w:p>
        </w:tc>
        <w:tc>
          <w:tcPr>
            <w:tcW w:type="dxa" w:w="2880"/>
          </w:tcPr>
          <w:p>
            <w:pPr>
              <w:spacing w:after="40"/>
            </w:pPr>
            <w:r>
              <w:rPr>
                <w:sz w:val="16"/>
              </w:rPr>
            </w:r>
            <w:r>
              <w:rPr>
                <w:sz w:val="16"/>
              </w:rPr>
              <w:t>~59%</w:t>
            </w:r>
          </w:p>
        </w:tc>
        <w:tc>
          <w:tcPr>
            <w:tcW w:type="dxa" w:w="2880"/>
          </w:tcPr>
          <w:p>
            <w:pPr>
              <w:spacing w:after="40"/>
            </w:pPr>
            <w:r>
              <w:rPr>
                <w:sz w:val="16"/>
              </w:rPr>
            </w:r>
            <w:r>
              <w:rPr>
                <w:sz w:val="16"/>
              </w:rPr>
              <w:t>—</w:t>
            </w:r>
          </w:p>
        </w:tc>
      </w:tr>
    </w:tbl>
    <w:p/>
    <w:p>
      <w:r>
        <w:rPr>
          <w:b/>
        </w:rPr>
        <w:t>Contenzioso rilevante</w:t>
      </w:r>
      <w:r>
        <w:t>: la Procura di Milano indaga per aggiotaggio e ostacolo alla vigilanza, ipotizzando un concerto non dichiarato fra Delfin, Caltagirone e i vertici MPS. In direzione opposta, un documento della Divisione Vigilanza Emittenti Consob del 15 settembre 2025 concludeva che "non sussiste il patto occulto" e "non sussiste il concerto". Indagine ancora aperta.</w:t>
      </w:r>
    </w:p>
    <w:p>
      <w:pPr>
        <w:pStyle w:val="Heading2"/>
      </w:pPr>
      <w:r>
        <w:t>4. Organi sociali MPS</w:t>
      </w:r>
    </w:p>
    <w:p>
      <w:pPr>
        <w:pStyle w:val="Heading3"/>
      </w:pPr>
      <w:r>
        <w:t>4.1 Consiglio di Amministrazione</w:t>
      </w:r>
    </w:p>
    <w:p>
      <w:r>
        <w:t xml:space="preserve">Nominato dall'assemblea del </w:t>
      </w:r>
      <w:r>
        <w:rPr>
          <w:b/>
        </w:rPr>
        <w:t>15 aprile 2026</w:t>
      </w:r>
      <w:r>
        <w:t xml:space="preserve"> per gli esercizi </w:t>
      </w:r>
      <w:r>
        <w:rPr>
          <w:b/>
        </w:rPr>
        <w:t>2026-2027-2028</w:t>
      </w:r>
      <w:r>
        <w:t xml:space="preserve">; scadenza con l'assemblea di approvazione del bilancio 2028, primavera </w:t>
      </w:r>
      <w:r>
        <w:rPr>
          <w:b/>
        </w:rPr>
        <w:t>2029</w:t>
      </w:r>
      <w:r>
        <w:t xml:space="preserve">. </w:t>
      </w:r>
      <w:r>
        <w:rPr>
          <w:b/>
        </w:rPr>
        <w:t>15 componenti.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r>
              <w:rPr>
                <w:b/>
                <w:sz w:val="16"/>
              </w:rPr>
              <w:t>Lista</w:t>
            </w:r>
          </w:p>
        </w:tc>
        <w:tc>
          <w:tcPr>
            <w:tcW w:type="dxa" w:w="2880"/>
          </w:tcPr>
          <w:p>
            <w:pPr>
              <w:spacing w:after="40"/>
            </w:pPr>
            <w:r>
              <w:rPr>
                <w:b/>
                <w:sz w:val="16"/>
              </w:rPr>
            </w:r>
            <w:r>
              <w:rPr>
                <w:b/>
                <w:sz w:val="16"/>
              </w:rPr>
              <w:t>Voti</w:t>
            </w:r>
          </w:p>
        </w:tc>
        <w:tc>
          <w:tcPr>
            <w:tcW w:type="dxa" w:w="2880"/>
          </w:tcPr>
          <w:p>
            <w:pPr>
              <w:spacing w:after="40"/>
            </w:pPr>
            <w:r>
              <w:rPr>
                <w:b/>
                <w:sz w:val="16"/>
              </w:rPr>
            </w:r>
            <w:r>
              <w:rPr>
                <w:b/>
                <w:sz w:val="16"/>
              </w:rPr>
              <w:t>Seggi</w:t>
            </w:r>
          </w:p>
        </w:tc>
      </w:tr>
      <w:tr>
        <w:tc>
          <w:tcPr>
            <w:tcW w:type="dxa" w:w="2880"/>
          </w:tcPr>
          <w:p>
            <w:pPr>
              <w:spacing w:after="40"/>
            </w:pPr>
            <w:r>
              <w:rPr>
                <w:sz w:val="16"/>
              </w:rPr>
            </w:r>
            <w:r>
              <w:rPr>
                <w:sz w:val="16"/>
              </w:rPr>
              <w:t>PLT Holding S.r.l. / PLT S.p.A. (1,0329% del capitale)</w:t>
            </w:r>
          </w:p>
        </w:tc>
        <w:tc>
          <w:tcPr>
            <w:tcW w:type="dxa" w:w="2880"/>
          </w:tcPr>
          <w:p>
            <w:pPr>
              <w:spacing w:after="40"/>
            </w:pPr>
            <w:r>
              <w:rPr>
                <w:sz w:val="16"/>
              </w:rPr>
            </w:r>
            <w:r>
              <w:rPr>
                <w:sz w:val="16"/>
              </w:rPr>
              <w:t>49,953%</w:t>
            </w:r>
          </w:p>
        </w:tc>
        <w:tc>
          <w:tcPr>
            <w:tcW w:type="dxa" w:w="2880"/>
          </w:tcPr>
          <w:p>
            <w:pPr>
              <w:spacing w:after="40"/>
            </w:pPr>
            <w:r>
              <w:rPr>
                <w:sz w:val="16"/>
              </w:rPr>
            </w:r>
            <w:r>
              <w:rPr>
                <w:b/>
                <w:sz w:val="16"/>
              </w:rPr>
              <w:t>8</w:t>
            </w:r>
          </w:p>
        </w:tc>
      </w:tr>
      <w:tr>
        <w:tc>
          <w:tcPr>
            <w:tcW w:type="dxa" w:w="2880"/>
          </w:tcPr>
          <w:p>
            <w:pPr>
              <w:spacing w:after="40"/>
            </w:pPr>
            <w:r>
              <w:rPr>
                <w:sz w:val="16"/>
              </w:rPr>
            </w:r>
            <w:r>
              <w:rPr>
                <w:sz w:val="16"/>
              </w:rPr>
              <w:t>Lista del CdA uscente (art. 147-ter.1 TUF)</w:t>
            </w:r>
          </w:p>
        </w:tc>
        <w:tc>
          <w:tcPr>
            <w:tcW w:type="dxa" w:w="2880"/>
          </w:tcPr>
          <w:p>
            <w:pPr>
              <w:spacing w:after="40"/>
            </w:pPr>
            <w:r>
              <w:rPr>
                <w:sz w:val="16"/>
              </w:rPr>
            </w:r>
            <w:r>
              <w:rPr>
                <w:sz w:val="16"/>
              </w:rPr>
              <w:t>38,795%</w:t>
            </w:r>
          </w:p>
        </w:tc>
        <w:tc>
          <w:tcPr>
            <w:tcW w:type="dxa" w:w="2880"/>
          </w:tcPr>
          <w:p>
            <w:pPr>
              <w:spacing w:after="40"/>
            </w:pPr>
            <w:r>
              <w:rPr>
                <w:sz w:val="16"/>
              </w:rPr>
            </w:r>
            <w:r>
              <w:rPr>
                <w:sz w:val="16"/>
              </w:rPr>
              <w:t>6</w:t>
            </w:r>
          </w:p>
        </w:tc>
      </w:tr>
      <w:tr>
        <w:tc>
          <w:tcPr>
            <w:tcW w:type="dxa" w:w="2880"/>
          </w:tcPr>
          <w:p>
            <w:pPr>
              <w:spacing w:after="40"/>
            </w:pPr>
            <w:r>
              <w:rPr>
                <w:sz w:val="16"/>
              </w:rPr>
            </w:r>
            <w:r>
              <w:rPr>
                <w:sz w:val="16"/>
              </w:rPr>
              <w:t>Assogestioni / investitori istituzionali (0,78%)</w:t>
            </w:r>
          </w:p>
        </w:tc>
        <w:tc>
          <w:tcPr>
            <w:tcW w:type="dxa" w:w="2880"/>
          </w:tcPr>
          <w:p>
            <w:pPr>
              <w:spacing w:after="40"/>
            </w:pPr>
            <w:r>
              <w:rPr>
                <w:sz w:val="16"/>
              </w:rPr>
            </w:r>
            <w:r>
              <w:rPr>
                <w:sz w:val="16"/>
              </w:rPr>
              <w:t>6,945%</w:t>
            </w:r>
          </w:p>
        </w:tc>
        <w:tc>
          <w:tcPr>
            <w:tcW w:type="dxa" w:w="2880"/>
          </w:tcPr>
          <w:p>
            <w:pPr>
              <w:spacing w:after="40"/>
            </w:pPr>
            <w:r>
              <w:rPr>
                <w:sz w:val="16"/>
              </w:rPr>
            </w:r>
            <w:r>
              <w:rPr>
                <w:sz w:val="16"/>
              </w:rPr>
              <w:t>1</w:t>
            </w:r>
          </w:p>
        </w:tc>
      </w:tr>
    </w:tbl>
    <w:p/>
    <w:p>
      <w:r>
        <w:t xml:space="preserve">Presidente </w:t>
      </w:r>
      <w:r>
        <w:rPr>
          <w:b/>
        </w:rPr>
        <w:t>Cesare Bisoni</w:t>
      </w:r>
      <w:r>
        <w:t xml:space="preserve">; vicepresidenti Flavia Mazzarella e Carlo Corradini; amministratore delegato e direttore generale </w:t>
      </w:r>
      <w:r>
        <w:rPr>
          <w:b/>
        </w:rPr>
        <w:t>Luigi Lovaglio</w:t>
      </w:r>
      <w:r>
        <w:t xml:space="preserve">. Tutte le nomine approvate con </w:t>
      </w:r>
      <w:r>
        <w:rPr>
          <w:b/>
        </w:rPr>
        <w:t>8 voti su 15</w:t>
      </w:r>
      <w:r>
        <w:t>, con 5 contrari e 2 astenuti.</w:t>
      </w:r>
    </w:p>
    <w:p>
      <w:r>
        <w:t>Fatti che documentano la frattura interna: il 25 marzo 2026 il consiglio allora in carica aveva revocato le deleghe a Lovaglio; il 20 agosto 2026 la delibera sulle due OPS difensive è passata a maggioranza e non all'unanimità; a inizio settembre 2026 sono stati cooptati Gianluca Brancadoro e Alessandro Caltagirone in sostituzione di Fabrizio Palermo e Carlo Vivaldi, attingendo ai primi non eletti della lista di minoranza come prescritto dall'art. 15 c. 10 lett. b) dello statuto.</w:t>
      </w:r>
    </w:p>
    <w:p>
      <w:pPr>
        <w:pStyle w:val="IntenseQuote"/>
      </w:pPr>
      <w:r>
        <w:rPr>
          <w:b/>
        </w:rPr>
        <w:t>Avvertenza per l'agente</w:t>
      </w:r>
      <w:r>
        <w:t xml:space="preserve">: le linee di frattura del consiglio </w:t>
      </w:r>
      <w:r>
        <w:rPr>
          <w:b/>
        </w:rPr>
        <w:t>non coincidono</w:t>
      </w:r>
      <w:r>
        <w:t xml:space="preserve"> con la linea pro/contro l'Offerta. Il conteggio dei consiglieri favorevoli o contrari va rifatto nominativamente e aggiornato, non dedotto dall'appartenenza alle liste dell'aprile 2026.</w:t>
      </w:r>
    </w:p>
    <w:p>
      <w:pPr>
        <w:pStyle w:val="Heading3"/>
      </w:pPr>
      <w:r>
        <w:t>4.2 Collegio Sindacale</w:t>
      </w:r>
    </w:p>
    <w:p>
      <w:r>
        <w:t xml:space="preserve">Nominato dalla stessa assemblea per gli esercizi 2026-2028. Presidente </w:t>
      </w:r>
      <w:r>
        <w:rPr>
          <w:b/>
        </w:rPr>
        <w:t>Pierluigi Pace</w:t>
      </w:r>
      <w:r>
        <w:t xml:space="preserve">, espresso dalla </w:t>
      </w:r>
      <w:r>
        <w:rPr>
          <w:b/>
        </w:rPr>
        <w:t>lista di minoranza</w:t>
      </w:r>
      <w:r>
        <w:t xml:space="preserve"> degli investitori istituzionali (33,391% dei presenti); sindaci effettivi Monica Vecchiati (lista PLT) e Lavinia Linguanti (nominata a maggioranza su proposta formulata in assemblea); supplenti Francesca Sandrolini e Alberto Sodini.</w:t>
      </w:r>
    </w:p>
    <w:p>
      <w:r>
        <w:rPr>
          <w:b/>
        </w:rPr>
        <w:t>I sindaci non sono revocabili ad nutum</w:t>
      </w:r>
      <w:r>
        <w:t>: serve giusta causa e l'approvazione con decreto del tribunale, sentito l'interessato (art. 2400 c. 2 c.c.; art. 25 c. 9 dello statuto). Il collegio resta quindi in carica in tutti gli scenari.</w:t>
      </w:r>
    </w:p>
    <w:p>
      <w:pPr>
        <w:pStyle w:val="Heading3"/>
      </w:pPr>
      <w:r>
        <w:t>4.3 Compensi (dato da riconciliare sulla Relazione ex art. 123-ter TUF)</w:t>
      </w:r>
    </w:p>
    <w:p>
      <w:r>
        <w:t xml:space="preserve">Compensi rivisti al rialzo dall'assemblea del 15 aprile 2026, secondo la stampa specializzata: presidente </w:t>
      </w:r>
      <w:r>
        <w:rPr>
          <w:b/>
        </w:rPr>
        <w:t>830.000 euro</w:t>
      </w:r>
      <w:r>
        <w:t xml:space="preserve">, consigliere </w:t>
      </w:r>
      <w:r>
        <w:rPr>
          <w:b/>
        </w:rPr>
        <w:t>120.000 euro</w:t>
      </w:r>
      <w:r>
        <w:t>, presidente del collegio 190.000 euro, sindaco effettivo 140.000 euro. La remunerazione dell'amministratore delegato ex art. 2389 c. 3 c.c. non è pubblicamente quantificata.</w:t>
      </w:r>
    </w:p>
    <w:p>
      <w:pPr>
        <w:pStyle w:val="Heading2"/>
      </w:pPr>
      <w:r>
        <w:t>5. Statuto MPS: clausole rilevanti</w:t>
      </w:r>
    </w:p>
    <w:p>
      <w:r>
        <w:t xml:space="preserve">Testo come modificato dall'assemblea straordinaria del 4 febbraio 2026, autorizzato dalla BCE il 4 marzo 2026 e iscritto il 5 marzo 2026. </w:t>
      </w:r>
      <w:r>
        <w:rPr>
          <w:b/>
        </w:rPr>
        <w:t>Il testo consolidato non è stato riscontrato documentalmente</w:t>
      </w:r>
      <w:r>
        <w:t xml:space="preserve"> (Parte III, punto 1).</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Articolo</w:t>
            </w:r>
          </w:p>
        </w:tc>
        <w:tc>
          <w:tcPr>
            <w:tcW w:type="dxa" w:w="4320"/>
          </w:tcPr>
          <w:p>
            <w:pPr>
              <w:spacing w:after="40"/>
            </w:pPr>
            <w:r>
              <w:rPr>
                <w:b/>
                <w:sz w:val="16"/>
              </w:rPr>
            </w:r>
            <w:r>
              <w:rPr>
                <w:b/>
                <w:sz w:val="16"/>
              </w:rPr>
              <w:t>Contenuto</w:t>
            </w:r>
          </w:p>
        </w:tc>
      </w:tr>
      <w:tr>
        <w:tc>
          <w:tcPr>
            <w:tcW w:type="dxa" w:w="4320"/>
          </w:tcPr>
          <w:p>
            <w:pPr>
              <w:spacing w:after="40"/>
            </w:pPr>
            <w:r>
              <w:rPr>
                <w:sz w:val="16"/>
              </w:rPr>
            </w:r>
            <w:r>
              <w:rPr>
                <w:sz w:val="16"/>
              </w:rPr>
              <w:t>Art. 12 c. 1</w:t>
            </w:r>
          </w:p>
        </w:tc>
        <w:tc>
          <w:tcPr>
            <w:tcW w:type="dxa" w:w="4320"/>
          </w:tcPr>
          <w:p>
            <w:pPr>
              <w:spacing w:after="40"/>
            </w:pPr>
            <w:r>
              <w:rPr>
                <w:sz w:val="16"/>
              </w:rPr>
            </w:r>
            <w:r>
              <w:rPr>
                <w:sz w:val="16"/>
              </w:rPr>
              <w:t>Convocazione deliberata dal CdA e curata dal Presidente, "</w:t>
            </w:r>
            <w:r>
              <w:rPr>
                <w:b/>
                <w:sz w:val="16"/>
              </w:rPr>
              <w:t>fermi i poteri di convocazione previsti da specifiche disposizioni di legge</w:t>
            </w:r>
            <w:r>
              <w:rPr>
                <w:sz w:val="16"/>
              </w:rPr>
              <w:t>" (salvaguarda collegio sindacale e tribunale)</w:t>
            </w:r>
          </w:p>
        </w:tc>
      </w:tr>
      <w:tr>
        <w:tc>
          <w:tcPr>
            <w:tcW w:type="dxa" w:w="4320"/>
          </w:tcPr>
          <w:p>
            <w:pPr>
              <w:spacing w:after="40"/>
            </w:pPr>
            <w:r>
              <w:rPr>
                <w:sz w:val="16"/>
              </w:rPr>
            </w:r>
            <w:r>
              <w:rPr>
                <w:sz w:val="16"/>
              </w:rPr>
              <w:t>Art. 12 c. 2</w:t>
            </w:r>
          </w:p>
        </w:tc>
        <w:tc>
          <w:tcPr>
            <w:tcW w:type="dxa" w:w="4320"/>
          </w:tcPr>
          <w:p>
            <w:pPr>
              <w:spacing w:after="40"/>
            </w:pPr>
            <w:r>
              <w:rPr>
                <w:sz w:val="16"/>
              </w:rPr>
            </w:r>
            <w:r>
              <w:rPr>
                <w:sz w:val="16"/>
              </w:rPr>
              <w:t xml:space="preserve">Assemblea in </w:t>
            </w:r>
            <w:r>
              <w:rPr>
                <w:b/>
                <w:sz w:val="16"/>
              </w:rPr>
              <w:t>unica convocazione</w:t>
            </w:r>
          </w:p>
        </w:tc>
      </w:tr>
      <w:tr>
        <w:tc>
          <w:tcPr>
            <w:tcW w:type="dxa" w:w="4320"/>
          </w:tcPr>
          <w:p>
            <w:pPr>
              <w:spacing w:after="40"/>
            </w:pPr>
            <w:r>
              <w:rPr>
                <w:sz w:val="16"/>
              </w:rPr>
            </w:r>
            <w:r>
              <w:rPr>
                <w:sz w:val="16"/>
              </w:rPr>
              <w:t>Art. 12 c. 4</w:t>
            </w:r>
          </w:p>
        </w:tc>
        <w:tc>
          <w:tcPr>
            <w:tcW w:type="dxa" w:w="4320"/>
          </w:tcPr>
          <w:p>
            <w:pPr>
              <w:spacing w:after="40"/>
            </w:pPr>
            <w:r>
              <w:rPr>
                <w:sz w:val="16"/>
              </w:rPr>
            </w:r>
            <w:r>
              <w:rPr>
                <w:sz w:val="16"/>
              </w:rPr>
              <w:t xml:space="preserve">L'assemblea è </w:t>
            </w:r>
            <w:r>
              <w:rPr>
                <w:b/>
                <w:sz w:val="16"/>
              </w:rPr>
              <w:t>presieduta dal Presidente del CdA</w:t>
            </w:r>
            <w:r>
              <w:rPr>
                <w:sz w:val="16"/>
              </w:rPr>
              <w:t xml:space="preserve"> o da chi lo sostituisce</w:t>
            </w:r>
          </w:p>
        </w:tc>
      </w:tr>
      <w:tr>
        <w:tc>
          <w:tcPr>
            <w:tcW w:type="dxa" w:w="4320"/>
          </w:tcPr>
          <w:p>
            <w:pPr>
              <w:spacing w:after="40"/>
            </w:pPr>
            <w:r>
              <w:rPr>
                <w:sz w:val="16"/>
              </w:rPr>
            </w:r>
            <w:r>
              <w:rPr>
                <w:sz w:val="16"/>
              </w:rPr>
              <w:t>Art. 12 c. 5</w:t>
            </w:r>
          </w:p>
        </w:tc>
        <w:tc>
          <w:tcPr>
            <w:tcW w:type="dxa" w:w="4320"/>
          </w:tcPr>
          <w:p>
            <w:pPr>
              <w:spacing w:after="40"/>
            </w:pPr>
            <w:r>
              <w:rPr>
                <w:sz w:val="16"/>
              </w:rPr>
            </w:r>
            <w:r>
              <w:rPr>
                <w:sz w:val="16"/>
              </w:rPr>
              <w:t>Il presidente accerta la legittimazione, regola la discussione, stabilisce le modalità di voto, proclama i risultati</w:t>
            </w:r>
          </w:p>
        </w:tc>
      </w:tr>
      <w:tr>
        <w:tc>
          <w:tcPr>
            <w:tcW w:type="dxa" w:w="4320"/>
          </w:tcPr>
          <w:p>
            <w:pPr>
              <w:spacing w:after="40"/>
            </w:pPr>
            <w:r>
              <w:rPr>
                <w:sz w:val="16"/>
              </w:rPr>
            </w:r>
            <w:r>
              <w:rPr>
                <w:sz w:val="16"/>
              </w:rPr>
              <w:t>Art. 14 c. 4-5</w:t>
            </w:r>
          </w:p>
        </w:tc>
        <w:tc>
          <w:tcPr>
            <w:tcW w:type="dxa" w:w="4320"/>
          </w:tcPr>
          <w:p>
            <w:pPr>
              <w:spacing w:after="40"/>
            </w:pPr>
            <w:r>
              <w:rPr>
                <w:sz w:val="16"/>
              </w:rPr>
            </w:r>
            <w:r>
              <w:rPr>
                <w:sz w:val="16"/>
              </w:rPr>
              <w:t>Assemblea ordinaria valida qualunque sia il capitale rappresentato; delibera a maggioranza assoluta dei votanti, salvo le nomine</w:t>
            </w:r>
          </w:p>
        </w:tc>
      </w:tr>
      <w:tr>
        <w:tc>
          <w:tcPr>
            <w:tcW w:type="dxa" w:w="4320"/>
          </w:tcPr>
          <w:p>
            <w:pPr>
              <w:spacing w:after="40"/>
            </w:pPr>
            <w:r>
              <w:rPr>
                <w:sz w:val="16"/>
              </w:rPr>
            </w:r>
            <w:r>
              <w:rPr>
                <w:sz w:val="16"/>
              </w:rPr>
              <w:t>Art. 15 c. 1</w:t>
            </w:r>
          </w:p>
        </w:tc>
        <w:tc>
          <w:tcPr>
            <w:tcW w:type="dxa" w:w="4320"/>
          </w:tcPr>
          <w:p>
            <w:pPr>
              <w:spacing w:after="40"/>
            </w:pPr>
            <w:r>
              <w:rPr>
                <w:sz w:val="16"/>
              </w:rPr>
            </w:r>
            <w:r>
              <w:rPr>
                <w:sz w:val="16"/>
              </w:rPr>
              <w:t xml:space="preserve">Da 9 a 15 amministratori, durata tre esercizi; divieto statutario di cariche in banche concorrenti non del gruppo, </w:t>
            </w:r>
            <w:r>
              <w:rPr>
                <w:b/>
                <w:sz w:val="16"/>
              </w:rPr>
              <w:t>a pena di decadenza immediata</w:t>
            </w:r>
          </w:p>
        </w:tc>
      </w:tr>
      <w:tr>
        <w:tc>
          <w:tcPr>
            <w:tcW w:type="dxa" w:w="4320"/>
          </w:tcPr>
          <w:p>
            <w:pPr>
              <w:spacing w:after="40"/>
            </w:pPr>
            <w:r>
              <w:rPr>
                <w:sz w:val="16"/>
              </w:rPr>
            </w:r>
            <w:r>
              <w:rPr>
                <w:sz w:val="16"/>
              </w:rPr>
              <w:t>Art. 15 c. 3</w:t>
            </w:r>
          </w:p>
        </w:tc>
        <w:tc>
          <w:tcPr>
            <w:tcW w:type="dxa" w:w="4320"/>
          </w:tcPr>
          <w:p>
            <w:pPr>
              <w:spacing w:after="40"/>
            </w:pPr>
            <w:r>
              <w:rPr>
                <w:sz w:val="16"/>
              </w:rPr>
            </w:r>
            <w:r>
              <w:rPr>
                <w:sz w:val="16"/>
              </w:rPr>
              <w:t xml:space="preserve">Liste dei soci depositate almeno </w:t>
            </w:r>
            <w:r>
              <w:rPr>
                <w:b/>
                <w:sz w:val="16"/>
              </w:rPr>
              <w:t>25 giorni</w:t>
            </w:r>
            <w:r>
              <w:rPr>
                <w:sz w:val="16"/>
              </w:rPr>
              <w:t xml:space="preserve"> prima; lista del CdA uscente almeno </w:t>
            </w:r>
            <w:r>
              <w:rPr>
                <w:b/>
                <w:sz w:val="16"/>
              </w:rPr>
              <w:t>40 giorni</w:t>
            </w:r>
            <w:r>
              <w:rPr>
                <w:sz w:val="16"/>
              </w:rPr>
              <w:t xml:space="preserve"> prima</w:t>
            </w:r>
          </w:p>
        </w:tc>
      </w:tr>
      <w:tr>
        <w:tc>
          <w:tcPr>
            <w:tcW w:type="dxa" w:w="4320"/>
          </w:tcPr>
          <w:p>
            <w:pPr>
              <w:spacing w:after="40"/>
            </w:pPr>
            <w:r>
              <w:rPr>
                <w:sz w:val="16"/>
              </w:rPr>
            </w:r>
            <w:r>
              <w:rPr>
                <w:sz w:val="16"/>
              </w:rPr>
              <w:t>Art. 15 c. 5</w:t>
            </w:r>
          </w:p>
        </w:tc>
        <w:tc>
          <w:tcPr>
            <w:tcW w:type="dxa" w:w="4320"/>
          </w:tcPr>
          <w:p>
            <w:pPr>
              <w:spacing w:after="40"/>
            </w:pPr>
            <w:r>
              <w:rPr>
                <w:sz w:val="16"/>
              </w:rPr>
            </w:r>
            <w:r>
              <w:rPr>
                <w:sz w:val="16"/>
              </w:rPr>
              <w:t xml:space="preserve">Soglia di presentazione delle liste: 1% "ovvero la diversa percentuale applicabile"; </w:t>
            </w:r>
            <w:r>
              <w:rPr>
                <w:b/>
                <w:sz w:val="16"/>
              </w:rPr>
              <w:t>per il 2026 la soglia Consob è lo 0,5%</w:t>
            </w:r>
            <w:r>
              <w:rPr>
                <w:sz w:val="16"/>
              </w:rPr>
              <w:t xml:space="preserve"> (determina dirigenziale n. 155 del 27 gennaio 2026)</w:t>
            </w:r>
          </w:p>
        </w:tc>
      </w:tr>
      <w:tr>
        <w:tc>
          <w:tcPr>
            <w:tcW w:type="dxa" w:w="4320"/>
          </w:tcPr>
          <w:p>
            <w:pPr>
              <w:spacing w:after="40"/>
            </w:pPr>
            <w:r>
              <w:rPr>
                <w:sz w:val="16"/>
              </w:rPr>
            </w:r>
            <w:r>
              <w:rPr>
                <w:sz w:val="16"/>
              </w:rPr>
              <w:t>Art. 15 c. 7.1</w:t>
            </w:r>
          </w:p>
        </w:tc>
        <w:tc>
          <w:tcPr>
            <w:tcW w:type="dxa" w:w="4320"/>
          </w:tcPr>
          <w:p>
            <w:pPr>
              <w:spacing w:after="40"/>
            </w:pPr>
            <w:r>
              <w:rPr>
                <w:sz w:val="16"/>
              </w:rPr>
            </w:r>
            <w:r>
              <w:rPr>
                <w:sz w:val="16"/>
              </w:rPr>
              <w:t xml:space="preserve">Metodo dei quozienti; alla lista prima per voti almeno la metà più uno dei seggi; </w:t>
            </w:r>
            <w:r>
              <w:rPr>
                <w:b/>
                <w:sz w:val="16"/>
              </w:rPr>
              <w:t>alle liste di minoranza almeno 2 consiglieri</w:t>
            </w:r>
          </w:p>
        </w:tc>
      </w:tr>
      <w:tr>
        <w:tc>
          <w:tcPr>
            <w:tcW w:type="dxa" w:w="4320"/>
          </w:tcPr>
          <w:p>
            <w:pPr>
              <w:spacing w:after="40"/>
            </w:pPr>
            <w:r>
              <w:rPr>
                <w:sz w:val="16"/>
              </w:rPr>
            </w:r>
            <w:r>
              <w:rPr>
                <w:sz w:val="16"/>
              </w:rPr>
              <w:t>Art. 15 c. 7.3</w:t>
            </w:r>
          </w:p>
        </w:tc>
        <w:tc>
          <w:tcPr>
            <w:tcW w:type="dxa" w:w="4320"/>
          </w:tcPr>
          <w:p>
            <w:pPr>
              <w:spacing w:after="40"/>
            </w:pPr>
            <w:r>
              <w:rPr>
                <w:sz w:val="16"/>
              </w:rPr>
            </w:r>
            <w:r>
              <w:rPr>
                <w:b/>
                <w:sz w:val="16"/>
              </w:rPr>
              <w:t>Almeno un amministratore</w:t>
            </w:r>
            <w:r>
              <w:rPr>
                <w:sz w:val="16"/>
              </w:rPr>
              <w:t xml:space="preserve"> dalla lista di minoranza non collegata</w:t>
            </w:r>
          </w:p>
        </w:tc>
      </w:tr>
      <w:tr>
        <w:tc>
          <w:tcPr>
            <w:tcW w:type="dxa" w:w="4320"/>
          </w:tcPr>
          <w:p>
            <w:pPr>
              <w:spacing w:after="40"/>
            </w:pPr>
            <w:r>
              <w:rPr>
                <w:sz w:val="16"/>
              </w:rPr>
            </w:r>
            <w:r>
              <w:rPr>
                <w:b/>
                <w:sz w:val="16"/>
              </w:rPr>
              <w:t>Art. 15 c. 10</w:t>
            </w:r>
          </w:p>
        </w:tc>
        <w:tc>
          <w:tcPr>
            <w:tcW w:type="dxa" w:w="4320"/>
          </w:tcPr>
          <w:p>
            <w:pPr>
              <w:spacing w:after="40"/>
            </w:pPr>
            <w:r>
              <w:rPr>
                <w:sz w:val="16"/>
              </w:rPr>
            </w:r>
            <w:r>
              <w:rPr>
                <w:sz w:val="16"/>
              </w:rPr>
              <w:t>"</w:t>
            </w:r>
            <w:r>
              <w:rPr>
                <w:b/>
                <w:sz w:val="16"/>
              </w:rPr>
              <w:t>Qualora venga a cessare la maggioranza degli amministratori, deve intendersi dimissionario l'intero Consiglio di Amministrazione con effetto dal momento della sua ricostituzione.</w:t>
            </w:r>
            <w:r>
              <w:rPr>
                <w:sz w:val="16"/>
              </w:rPr>
              <w:t xml:space="preserve"> Gli Amministratori possono essere revocati dall'Assemblea in qualunque momento, salvo il diritto dell'amministratore al risarcimento dei danni, se la revoca avviene senza giusta causa."</w:t>
            </w:r>
          </w:p>
        </w:tc>
      </w:tr>
      <w:tr>
        <w:tc>
          <w:tcPr>
            <w:tcW w:type="dxa" w:w="4320"/>
          </w:tcPr>
          <w:p>
            <w:pPr>
              <w:spacing w:after="40"/>
            </w:pPr>
            <w:r>
              <w:rPr>
                <w:sz w:val="16"/>
              </w:rPr>
            </w:r>
            <w:r>
              <w:rPr>
                <w:sz w:val="16"/>
              </w:rPr>
              <w:t>Art. 25</w:t>
            </w:r>
          </w:p>
        </w:tc>
        <w:tc>
          <w:tcPr>
            <w:tcW w:type="dxa" w:w="4320"/>
          </w:tcPr>
          <w:p>
            <w:pPr>
              <w:spacing w:after="40"/>
            </w:pPr>
            <w:r>
              <w:rPr>
                <w:sz w:val="16"/>
              </w:rPr>
            </w:r>
            <w:r>
              <w:rPr>
                <w:sz w:val="16"/>
              </w:rPr>
              <w:t>Collegio sindacale di 3 effettivi e 2 supplenti; presidenza alla seconda lista per voti non collegata; revoca solo per giusta causa con decreto del tribunale</w:t>
            </w:r>
          </w:p>
        </w:tc>
      </w:tr>
    </w:tbl>
    <w:p/>
    <w:p>
      <w:pPr>
        <w:pStyle w:val="Heading2"/>
      </w:pPr>
      <w:r>
        <w:t>6. Il quadro normativo vigente sulle soglie</w:t>
      </w:r>
    </w:p>
    <w:p>
      <w:pPr>
        <w:pStyle w:val="Heading3"/>
      </w:pPr>
      <w:r>
        <w:t>6.1 La riforma: D.Lgs. 27 marzo 2026 n. 47</w:t>
      </w:r>
    </w:p>
    <w:p>
      <w:r>
        <w:t xml:space="preserve">Pubblicato in GU n. 86 del 14 aprile 2026, </w:t>
      </w:r>
      <w:r>
        <w:rPr>
          <w:b/>
        </w:rPr>
        <w:t>in vigore dal 29 aprile 2026</w:t>
      </w:r>
      <w:r>
        <w:t xml:space="preserve">, attuativo della delega dell'art. 19 della L. 5 marzo 2024 n. 21. </w:t>
      </w:r>
      <w:r>
        <w:rPr>
          <w:b/>
        </w:rPr>
        <w:t>Non esistono norme transitorie per la materia OPA</w:t>
      </w:r>
      <w:r>
        <w:t>: gli artt. 106, 108, 111 modificati sono pienamente applicabili dal 29 aprile 2026.</w:t>
      </w:r>
    </w:p>
    <w:p>
      <w:r>
        <w:rPr>
          <w:b/>
        </w:rPr>
        <w:t>La Consob deve adottare la normativa secondaria di attuazione della Parte IV TUF entro il 29 gennaio 2027.</w:t>
      </w:r>
      <w:r>
        <w:t xml:space="preserve"> Consultazione aperta il 18 giugno 2026 e chiusa il 20 luglio 2026; al 16 settembre 2026 la delibera conclusiva </w:t>
      </w:r>
      <w:r>
        <w:rPr>
          <w:b/>
        </w:rPr>
        <w:t>non risulta pubblicata</w:t>
      </w:r>
      <w:r>
        <w:t>. Cade esattamente nella finestra del settlement.</w:t>
      </w:r>
    </w:p>
    <w:p>
      <w:pPr>
        <w:pStyle w:val="Heading3"/>
      </w:pPr>
      <w:r>
        <w:t>6.2 Art. 111 TUF, testo vigente (verbatim)</w:t>
      </w:r>
    </w:p>
    <w:p>
      <w:pPr>
        <w:pStyle w:val="IntenseQuote"/>
      </w:pPr>
      <w:r>
        <w:t>"</w:t>
      </w:r>
      <w:r>
        <w:rPr>
          <w:b/>
        </w:rPr>
        <w:t>1.</w:t>
      </w:r>
      <w:r>
        <w:t xml:space="preserve"> L'offerente che venga a detenere a seguito di offerta pubblica totalitaria </w:t>
      </w:r>
      <w:r>
        <w:rPr>
          <w:b/>
        </w:rPr>
        <w:t>o di acquisto ai sensi dell'articolo 108, comma 2</w:t>
      </w:r>
      <w:r>
        <w:t xml:space="preserve">, una partecipazione almeno pari al </w:t>
      </w:r>
      <w:r>
        <w:rPr>
          <w:b/>
        </w:rPr>
        <w:t>90 per cento</w:t>
      </w:r>
      <w:r>
        <w:t xml:space="preserve"> del capitale rappresentato da titoli in una società italiana quotata ha diritto di acquistare i titoli residui entro tre mesi dalla scadenza del termine per l'accettazione dell'offerta </w:t>
      </w:r>
      <w:r>
        <w:rPr>
          <w:b/>
        </w:rPr>
        <w:t>ovvero dall'acquisto ai sensi dell'articolo 108, comma 2</w:t>
      </w:r>
      <w:r>
        <w:t xml:space="preserve">, se ha dichiarato nel documento d'offerta l'intenzione di avvalersi di tale diritto. [...] </w:t>
      </w:r>
      <w:r>
        <w:rPr>
          <w:b/>
        </w:rPr>
        <w:t>1-bis.</w:t>
      </w:r>
      <w:r>
        <w:t xml:space="preserve"> Il comma 1 si applica anche nel caso in cui l'offerente, a seguito di offerta pubblica di acquisto totalitaria avente a oggetto strumenti finanziari diversi dai titoli, venga a detenere una percentuale almeno pari al 90 per cento di tali strumenti finanziari. </w:t>
      </w:r>
      <w:r>
        <w:rPr>
          <w:b/>
        </w:rPr>
        <w:t>2.</w:t>
      </w:r>
      <w:r>
        <w:t xml:space="preserve"> Il corrispettivo e la forma che esso deve assumere sono determinati ai sensi dell'articolo 108, commi 3, 4 e 5. </w:t>
      </w:r>
      <w:r>
        <w:rPr>
          <w:b/>
        </w:rPr>
        <w:t>3.</w:t>
      </w:r>
      <w:r>
        <w:t xml:space="preserve"> Il trasferimento ha efficacia dal momento della comunicazione dell'avvenuto deposito del prezzo di acquisto presso una banca alla società emittente [...]"</w:t>
      </w:r>
    </w:p>
    <w:p>
      <w:r>
        <w:t xml:space="preserve">Tre novità: soglia dal 95% al 90%; nuovo presupposto oggettivo (anche il 90% raggiunto tramite il sell-out); nuovo comma 1-bis per gli strumenti diversi dai titoli. </w:t>
      </w:r>
      <w:r>
        <w:rPr>
          <w:b/>
        </w:rPr>
        <w:t>La dichiarazione nel documento di offerta è condizione di esercizio, non un adempimento informativo</w:t>
      </w:r>
      <w:r>
        <w:t>: se manca, il diritto non è esercitabile a qualunque percentuale.</w:t>
      </w:r>
    </w:p>
    <w:p>
      <w:pPr>
        <w:pStyle w:val="Heading3"/>
      </w:pPr>
      <w:r>
        <w:t>6.3 Art. 108 TUF, commi rilevanti</w:t>
      </w:r>
    </w:p>
    <w:p>
      <w:pPr>
        <w:pStyle w:val="ListBullet"/>
      </w:pPr>
      <w:r>
        <w:rPr>
          <w:b/>
        </w:rPr>
        <w:t>c. 1</w:t>
      </w:r>
      <w:r>
        <w:t xml:space="preserve">: obbligo di acquisto a partire dal </w:t>
      </w:r>
      <w:r>
        <w:rPr>
          <w:b/>
        </w:rPr>
        <w:t>95%</w:t>
      </w:r>
      <w:r>
        <w:t xml:space="preserve"> raggiunto a seguito di offerta totalitaria (invariato).</w:t>
      </w:r>
    </w:p>
    <w:p>
      <w:pPr>
        <w:pStyle w:val="ListBullet"/>
      </w:pPr>
      <w:r>
        <w:rPr>
          <w:b/>
        </w:rPr>
        <w:t>c. 2</w:t>
      </w:r>
      <w:r>
        <w:t xml:space="preserve">: obbligo di acquisto per chi detiene </w:t>
      </w:r>
      <w:r>
        <w:rPr>
          <w:b/>
        </w:rPr>
        <w:t>oltre il 90%</w:t>
      </w:r>
      <w:r>
        <w:t xml:space="preserve"> "se non ripristina entro novanta giorni un flottante sufficiente ad assicurare il regolare andamento delle negoziazioni" (invariato).</w:t>
      </w:r>
    </w:p>
    <w:p>
      <w:pPr>
        <w:pStyle w:val="ListBullet"/>
      </w:pPr>
      <w:r>
        <w:rPr>
          <w:b/>
        </w:rPr>
        <w:t>c. 3</w:t>
      </w:r>
      <w:r>
        <w:t>: il corrispettivo è pari a quello dell'offerta se la soglia è raggiunta "</w:t>
      </w:r>
      <w:r>
        <w:rPr>
          <w:b/>
        </w:rPr>
        <w:t>esclusivamente a seguito di offerta pubblica totalitaria</w:t>
      </w:r>
      <w:r>
        <w:t xml:space="preserve">" e, per le offerte volontarie, se l'offerente ha acquistato titoli "non meno del </w:t>
      </w:r>
      <w:r>
        <w:rPr>
          <w:b/>
        </w:rPr>
        <w:t>novanta per cento del capitale con diritto di voto compreso nell'offerta</w:t>
      </w:r>
      <w:r>
        <w:t>" (invariato).</w:t>
      </w:r>
    </w:p>
    <w:p>
      <w:pPr>
        <w:pStyle w:val="ListBullet"/>
      </w:pPr>
      <w:r>
        <w:rPr>
          <w:b/>
        </w:rPr>
        <w:t>c. 4</w:t>
      </w:r>
      <w:r>
        <w:t xml:space="preserve">: negli altri casi il corrispettivo è </w:t>
      </w:r>
      <w:r>
        <w:rPr>
          <w:b/>
        </w:rPr>
        <w:t>determinato dalla Consob</w:t>
      </w:r>
      <w:r>
        <w:t xml:space="preserve"> (invariato).</w:t>
      </w:r>
    </w:p>
    <w:p>
      <w:pPr>
        <w:pStyle w:val="ListBullet"/>
      </w:pPr>
      <w:r>
        <w:rPr>
          <w:b/>
        </w:rPr>
        <w:t>c. 5</w:t>
      </w:r>
      <w:r>
        <w:t xml:space="preserve"> (</w:t>
      </w:r>
      <w:r>
        <w:rPr>
          <w:b/>
        </w:rPr>
        <w:t>modificato dalla riforma</w:t>
      </w:r>
      <w:r>
        <w:t xml:space="preserve">): il corrispettivo assume la stessa forma di quello dell'offerta; il diritto a esigere un corrispettivo integralmente in denaro sussiste solo "nel caso in cui in tale offerta siano offerti </w:t>
      </w:r>
      <w:r>
        <w:rPr>
          <w:b/>
        </w:rPr>
        <w:t>strumenti finanziari diversi da titoli ammessi alla negoziazione su un mercato regolamentato dell'Unione europea</w:t>
      </w:r>
      <w:r>
        <w:t>".</w:t>
      </w:r>
    </w:p>
    <w:p>
      <w:pPr>
        <w:pStyle w:val="IntenseQuote"/>
      </w:pPr>
      <w:r>
        <w:rPr>
          <w:b/>
        </w:rPr>
        <w:t>Conseguenza per il dossier</w:t>
      </w:r>
      <w:r>
        <w:t xml:space="preserve">: poiché il corrispettivo ISP comprende azioni quotate su Euronext Milan, </w:t>
      </w:r>
      <w:r>
        <w:rPr>
          <w:b/>
        </w:rPr>
        <w:t>gli oblati residui non possono pretendere l'uscita integralmente in denaro</w:t>
      </w:r>
      <w:r>
        <w:t>. Nel precedente Banca Ifis/illimity del settembre 2025, sotto il regime previgente, il 53,6% delle azioni residue oggetto di procedura congiunta era accompagnato da richieste con opzione per il corrispettivo in denaro.</w:t>
      </w:r>
    </w:p>
    <w:p>
      <w:pPr>
        <w:pStyle w:val="Heading3"/>
      </w:pPr>
      <w:r>
        <w:t>6.4 Art. 40-bis Reg. Emittenti (riapertura dei termini)</w:t>
      </w:r>
    </w:p>
    <w:p>
      <w:r>
        <w:t xml:space="preserve">Durata: </w:t>
      </w:r>
      <w:r>
        <w:rPr>
          <w:b/>
        </w:rPr>
        <w:t>5 giorni di borsa aperta</w:t>
      </w:r>
      <w:r>
        <w:t xml:space="preserve"> dal giorno successivo alla data di pagamento. Si applica obbligatoriamente solo alle offerte promosse dai soggetti dell'art. 39-bis c. 1 lett. a) ("offerte da insider": chi detiene già oltre il 30%, aderenti a patti, amministratori, concertisti). </w:t>
      </w:r>
      <w:r>
        <w:rPr>
          <w:b/>
        </w:rPr>
        <w:t>ISP non rientra</w:t>
      </w:r>
      <w:r>
        <w:t xml:space="preserve"> in quelle categorie. L'art. 40-bis c. 3 lett. b) esenta comunque l'offerente che al termine del periodo di adesione raggiunga la soglia dell'art. 108 c. 1 o c. 2 avendo dichiarato di non ripristinare il flottante.</w:t>
      </w:r>
    </w:p>
    <w:p>
      <w:r>
        <w:rPr>
          <w:b/>
        </w:rPr>
        <w:t>L'assoggettamento volontario è espressamente riconosciuto</w:t>
      </w:r>
      <w:r>
        <w:t xml:space="preserve"> dall'art. 50 c. 4 lett. c) Reg. Emittenti, che ancora il corrispettivo del sell-out al prezzo d'offerta per l'offerta "soggetta" o "volontariamente assoggettata", purché nella prima fase sia stato conferito almeno il 50% dei titoli oggetto dell'offerta.</w:t>
      </w:r>
    </w:p>
    <w:p>
      <w:pPr>
        <w:pStyle w:val="Heading3"/>
      </w:pPr>
      <w:r>
        <w:t>6.5 Procedura congiunta</w:t>
      </w:r>
    </w:p>
    <w:p>
      <w:r>
        <w:t xml:space="preserve">Base: art. 50-quinquies c. 1 Reg. Emittenti. Il periodo per le richieste di vendita è "concordata con il gestore del mercato tra un minimo di </w:t>
      </w:r>
      <w:r>
        <w:rPr>
          <w:b/>
        </w:rPr>
        <w:t>quindici</w:t>
      </w:r>
      <w:r>
        <w:t xml:space="preserve"> e un massimo di </w:t>
      </w:r>
      <w:r>
        <w:rPr>
          <w:b/>
        </w:rPr>
        <w:t>venticinque giorni</w:t>
      </w:r>
      <w:r>
        <w:t xml:space="preserve">" (giorni di borsa aperta); la procedura per l'esercizio congiunto è "concordata con la Consob e il gestore del mercato". </w:t>
      </w:r>
      <w:r>
        <w:rPr>
          <w:b/>
        </w:rPr>
        <w:t>Disallineamento transitorio</w:t>
      </w:r>
      <w:r>
        <w:t>: il testo vigente richiama ancora solo l'art. 108 c. 1; la Consob propone di estenderlo al c. 2 proprio per la nuova soglia del 90%.</w:t>
      </w:r>
    </w:p>
    <w:p>
      <w:r>
        <w:t>Delisting: art. 2.5.1 c. 6 del Regolamento dei Mercati di Borsa Italiana — i titoli sono revocati dalla quotazione "a decorrere dal giorno di borsa aperta successivo all'ultimo giorno di pagamento del corrispettivo".</w:t>
      </w:r>
    </w:p>
    <w:p>
      <w:pPr>
        <w:pStyle w:val="Heading2"/>
      </w:pPr>
      <w:r>
        <w:t>7. La timeline di pagina 4 del deck ("Ipotesi settlement al 2027")</w:t>
      </w:r>
    </w:p>
    <w:p>
      <w:r>
        <w:t xml:space="preserve">Il deck di riferimento è </w:t>
      </w:r>
      <w:r>
        <w:rPr>
          <w:rFonts w:ascii="Consolas" w:hAnsi="Consolas"/>
          <w:sz w:val="18"/>
        </w:rPr>
        <w:t>20260913_ISP_Prj_Stradebianche_scenari_settlement_v.DRAFT (004).pptx</w:t>
      </w:r>
      <w:r>
        <w:t>, 6 slide, datato settembre 2026, a uso interno. Pagina 3 rappresenta lo scenario di settlement 2026, pagina 4 quello di settlement 2027, pagine 5-6 le implicazioni contabili, regolamentari e operative a confronto fra i due scenari.</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Data</w:t>
            </w:r>
          </w:p>
        </w:tc>
        <w:tc>
          <w:tcPr>
            <w:tcW w:type="dxa" w:w="4320"/>
          </w:tcPr>
          <w:p>
            <w:pPr>
              <w:spacing w:after="40"/>
            </w:pPr>
            <w:r>
              <w:rPr>
                <w:b/>
                <w:sz w:val="16"/>
              </w:rPr>
            </w:r>
            <w:r>
              <w:rPr>
                <w:b/>
                <w:sz w:val="16"/>
              </w:rPr>
              <w:t>Evento (pag. 4)</w:t>
            </w:r>
          </w:p>
        </w:tc>
      </w:tr>
      <w:tr>
        <w:tc>
          <w:tcPr>
            <w:tcW w:type="dxa" w:w="4320"/>
          </w:tcPr>
          <w:p>
            <w:pPr>
              <w:spacing w:after="40"/>
            </w:pPr>
            <w:r>
              <w:rPr>
                <w:sz w:val="16"/>
              </w:rPr>
            </w:r>
            <w:r>
              <w:rPr>
                <w:sz w:val="16"/>
              </w:rPr>
              <w:t>9 nov 2026</w:t>
            </w:r>
          </w:p>
        </w:tc>
        <w:tc>
          <w:tcPr>
            <w:tcW w:type="dxa" w:w="4320"/>
          </w:tcPr>
          <w:p>
            <w:pPr>
              <w:spacing w:after="40"/>
            </w:pPr>
            <w:r>
              <w:rPr>
                <w:sz w:val="16"/>
              </w:rPr>
            </w:r>
            <w:r>
              <w:rPr>
                <w:sz w:val="16"/>
              </w:rPr>
              <w:t>Avvio periodo di offerta</w:t>
            </w:r>
          </w:p>
        </w:tc>
      </w:tr>
      <w:tr>
        <w:tc>
          <w:tcPr>
            <w:tcW w:type="dxa" w:w="4320"/>
          </w:tcPr>
          <w:p>
            <w:pPr>
              <w:spacing w:after="40"/>
            </w:pPr>
            <w:r>
              <w:rPr>
                <w:sz w:val="16"/>
              </w:rPr>
            </w:r>
            <w:r>
              <w:rPr>
                <w:sz w:val="16"/>
              </w:rPr>
              <w:t>9 nov – 4 gen</w:t>
            </w:r>
          </w:p>
        </w:tc>
        <w:tc>
          <w:tcPr>
            <w:tcW w:type="dxa" w:w="4320"/>
          </w:tcPr>
          <w:p>
            <w:pPr>
              <w:spacing w:after="40"/>
            </w:pPr>
            <w:r>
              <w:rPr>
                <w:sz w:val="16"/>
              </w:rPr>
            </w:r>
            <w:r>
              <w:rPr>
                <w:sz w:val="16"/>
              </w:rPr>
              <w:t>Periodo di adesione (</w:t>
            </w:r>
            <w:r>
              <w:rPr>
                <w:b/>
                <w:sz w:val="16"/>
              </w:rPr>
              <w:t>37 giorni di borsa aperta</w:t>
            </w:r>
            <w:r>
              <w:rPr>
                <w:sz w:val="16"/>
              </w:rPr>
              <w:t>)</w:t>
            </w:r>
          </w:p>
        </w:tc>
      </w:tr>
      <w:tr>
        <w:tc>
          <w:tcPr>
            <w:tcW w:type="dxa" w:w="4320"/>
          </w:tcPr>
          <w:p>
            <w:pPr>
              <w:spacing w:after="40"/>
            </w:pPr>
            <w:r>
              <w:rPr>
                <w:sz w:val="16"/>
              </w:rPr>
            </w:r>
            <w:r>
              <w:rPr>
                <w:sz w:val="16"/>
              </w:rPr>
              <w:t>4 gen 2027</w:t>
            </w:r>
          </w:p>
        </w:tc>
        <w:tc>
          <w:tcPr>
            <w:tcW w:type="dxa" w:w="4320"/>
          </w:tcPr>
          <w:p>
            <w:pPr>
              <w:spacing w:after="40"/>
            </w:pPr>
            <w:r>
              <w:rPr>
                <w:sz w:val="16"/>
              </w:rPr>
            </w:r>
            <w:r>
              <w:rPr>
                <w:sz w:val="16"/>
              </w:rPr>
              <w:t>Termine periodo di offerta</w:t>
            </w:r>
          </w:p>
        </w:tc>
      </w:tr>
      <w:tr>
        <w:tc>
          <w:tcPr>
            <w:tcW w:type="dxa" w:w="4320"/>
          </w:tcPr>
          <w:p>
            <w:pPr>
              <w:spacing w:after="40"/>
            </w:pPr>
            <w:r>
              <w:rPr>
                <w:sz w:val="16"/>
              </w:rPr>
            </w:r>
            <w:r>
              <w:rPr>
                <w:b/>
                <w:sz w:val="16"/>
              </w:rPr>
              <w:t>6 gen 2027</w:t>
            </w:r>
          </w:p>
        </w:tc>
        <w:tc>
          <w:tcPr>
            <w:tcW w:type="dxa" w:w="4320"/>
          </w:tcPr>
          <w:p>
            <w:pPr>
              <w:spacing w:after="40"/>
            </w:pPr>
            <w:r>
              <w:rPr>
                <w:sz w:val="16"/>
              </w:rPr>
            </w:r>
            <w:r>
              <w:rPr>
                <w:b/>
                <w:sz w:val="16"/>
              </w:rPr>
              <w:t>Settlement</w:t>
            </w:r>
            <w:r>
              <w:rPr>
                <w:sz w:val="16"/>
              </w:rPr>
              <w:t xml:space="preserve"> e istanza di trasferimento della partecipazione AG</w:t>
            </w:r>
          </w:p>
        </w:tc>
      </w:tr>
      <w:tr>
        <w:tc>
          <w:tcPr>
            <w:tcW w:type="dxa" w:w="4320"/>
          </w:tcPr>
          <w:p>
            <w:pPr>
              <w:spacing w:after="40"/>
            </w:pPr>
            <w:r>
              <w:rPr>
                <w:sz w:val="16"/>
              </w:rPr>
            </w:r>
            <w:r>
              <w:rPr>
                <w:sz w:val="16"/>
              </w:rPr>
              <w:t>13 gen (S+7)</w:t>
            </w:r>
          </w:p>
        </w:tc>
        <w:tc>
          <w:tcPr>
            <w:tcW w:type="dxa" w:w="4320"/>
          </w:tcPr>
          <w:p>
            <w:pPr>
              <w:spacing w:after="40"/>
            </w:pPr>
            <w:r>
              <w:rPr>
                <w:sz w:val="16"/>
              </w:rPr>
            </w:r>
            <w:r>
              <w:rPr>
                <w:sz w:val="16"/>
              </w:rPr>
              <w:t>Delibera di convocazione dell'assemblea MPS dopo eventuali dimissioni del CdA uscente</w:t>
            </w:r>
          </w:p>
        </w:tc>
      </w:tr>
      <w:tr>
        <w:tc>
          <w:tcPr>
            <w:tcW w:type="dxa" w:w="4320"/>
          </w:tcPr>
          <w:p>
            <w:pPr>
              <w:spacing w:after="40"/>
            </w:pPr>
            <w:r>
              <w:rPr>
                <w:sz w:val="16"/>
              </w:rPr>
            </w:r>
            <w:r>
              <w:rPr>
                <w:sz w:val="16"/>
              </w:rPr>
              <w:t>14 gen</w:t>
            </w:r>
          </w:p>
        </w:tc>
        <w:tc>
          <w:tcPr>
            <w:tcW w:type="dxa" w:w="4320"/>
          </w:tcPr>
          <w:p>
            <w:pPr>
              <w:spacing w:after="40"/>
            </w:pPr>
            <w:r>
              <w:rPr>
                <w:sz w:val="16"/>
              </w:rPr>
            </w:r>
            <w:r>
              <w:rPr>
                <w:sz w:val="16"/>
              </w:rPr>
              <w:t>Pubblicazione dell'avviso di convocazione</w:t>
            </w:r>
          </w:p>
        </w:tc>
      </w:tr>
      <w:tr>
        <w:tc>
          <w:tcPr>
            <w:tcW w:type="dxa" w:w="4320"/>
          </w:tcPr>
          <w:p>
            <w:pPr>
              <w:spacing w:after="40"/>
            </w:pPr>
            <w:r>
              <w:rPr>
                <w:sz w:val="16"/>
              </w:rPr>
            </w:r>
            <w:r>
              <w:rPr>
                <w:sz w:val="16"/>
              </w:rPr>
              <w:t>29 gen</w:t>
            </w:r>
          </w:p>
        </w:tc>
        <w:tc>
          <w:tcPr>
            <w:tcW w:type="dxa" w:w="4320"/>
          </w:tcPr>
          <w:p>
            <w:pPr>
              <w:spacing w:after="40"/>
            </w:pPr>
            <w:r>
              <w:rPr>
                <w:sz w:val="16"/>
              </w:rPr>
            </w:r>
            <w:r>
              <w:rPr>
                <w:sz w:val="16"/>
              </w:rPr>
              <w:t>Deposito delle liste dei soci</w:t>
            </w:r>
          </w:p>
        </w:tc>
      </w:tr>
      <w:tr>
        <w:tc>
          <w:tcPr>
            <w:tcW w:type="dxa" w:w="4320"/>
          </w:tcPr>
          <w:p>
            <w:pPr>
              <w:spacing w:after="40"/>
            </w:pPr>
            <w:r>
              <w:rPr>
                <w:sz w:val="16"/>
              </w:rPr>
            </w:r>
            <w:r>
              <w:rPr>
                <w:sz w:val="16"/>
              </w:rPr>
              <w:t>4 feb</w:t>
            </w:r>
          </w:p>
        </w:tc>
        <w:tc>
          <w:tcPr>
            <w:tcW w:type="dxa" w:w="4320"/>
          </w:tcPr>
          <w:p>
            <w:pPr>
              <w:spacing w:after="40"/>
            </w:pPr>
            <w:r>
              <w:rPr>
                <w:sz w:val="16"/>
              </w:rPr>
            </w:r>
            <w:r>
              <w:rPr>
                <w:sz w:val="16"/>
              </w:rPr>
              <w:t>Pubblicazione delle liste e documentazione pre-assembleare</w:t>
            </w:r>
          </w:p>
        </w:tc>
      </w:tr>
      <w:tr>
        <w:tc>
          <w:tcPr>
            <w:tcW w:type="dxa" w:w="4320"/>
          </w:tcPr>
          <w:p>
            <w:pPr>
              <w:spacing w:after="40"/>
            </w:pPr>
            <w:r>
              <w:rPr>
                <w:sz w:val="16"/>
              </w:rPr>
            </w:r>
            <w:r>
              <w:rPr>
                <w:sz w:val="16"/>
              </w:rPr>
              <w:t>5 feb</w:t>
            </w:r>
          </w:p>
        </w:tc>
        <w:tc>
          <w:tcPr>
            <w:tcW w:type="dxa" w:w="4320"/>
          </w:tcPr>
          <w:p>
            <w:pPr>
              <w:spacing w:after="40"/>
            </w:pPr>
            <w:r>
              <w:rPr>
                <w:sz w:val="16"/>
              </w:rPr>
            </w:r>
            <w:r>
              <w:rPr>
                <w:sz w:val="16"/>
              </w:rPr>
              <w:t xml:space="preserve">Approvazione schemi di bilancio MPS </w:t>
            </w:r>
            <w:r>
              <w:rPr>
                <w:b/>
                <w:sz w:val="16"/>
              </w:rPr>
              <w:t>da parte del CdA uscente</w:t>
            </w:r>
          </w:p>
        </w:tc>
      </w:tr>
      <w:tr>
        <w:tc>
          <w:tcPr>
            <w:tcW w:type="dxa" w:w="4320"/>
          </w:tcPr>
          <w:p>
            <w:pPr>
              <w:spacing w:after="40"/>
            </w:pPr>
            <w:r>
              <w:rPr>
                <w:sz w:val="16"/>
              </w:rPr>
            </w:r>
            <w:r>
              <w:rPr>
                <w:sz w:val="16"/>
              </w:rPr>
              <w:t>5–24 feb</w:t>
            </w:r>
          </w:p>
        </w:tc>
        <w:tc>
          <w:tcPr>
            <w:tcW w:type="dxa" w:w="4320"/>
          </w:tcPr>
          <w:p>
            <w:pPr>
              <w:spacing w:after="40"/>
            </w:pPr>
            <w:r>
              <w:rPr>
                <w:sz w:val="16"/>
              </w:rPr>
            </w:r>
            <w:r>
              <w:rPr>
                <w:sz w:val="16"/>
              </w:rPr>
              <w:t>Approvazione del bilancio MPS da parte dell'attuale CdA</w:t>
            </w:r>
          </w:p>
        </w:tc>
      </w:tr>
      <w:tr>
        <w:tc>
          <w:tcPr>
            <w:tcW w:type="dxa" w:w="4320"/>
          </w:tcPr>
          <w:p>
            <w:pPr>
              <w:spacing w:after="40"/>
            </w:pPr>
            <w:r>
              <w:rPr>
                <w:sz w:val="16"/>
              </w:rPr>
            </w:r>
            <w:r>
              <w:rPr>
                <w:sz w:val="16"/>
              </w:rPr>
              <w:t>7/8 feb</w:t>
            </w:r>
          </w:p>
        </w:tc>
        <w:tc>
          <w:tcPr>
            <w:tcW w:type="dxa" w:w="4320"/>
          </w:tcPr>
          <w:p>
            <w:pPr>
              <w:spacing w:after="40"/>
            </w:pPr>
            <w:r>
              <w:rPr>
                <w:sz w:val="16"/>
              </w:rPr>
            </w:r>
            <w:r>
              <w:rPr>
                <w:sz w:val="16"/>
              </w:rPr>
              <w:t>Approvazione bilancio ISP e invio richiesta BCE per il dividendo</w:t>
            </w:r>
          </w:p>
        </w:tc>
      </w:tr>
      <w:tr>
        <w:tc>
          <w:tcPr>
            <w:tcW w:type="dxa" w:w="4320"/>
          </w:tcPr>
          <w:p>
            <w:pPr>
              <w:spacing w:after="40"/>
            </w:pPr>
            <w:r>
              <w:rPr>
                <w:sz w:val="16"/>
              </w:rPr>
            </w:r>
            <w:r>
              <w:rPr>
                <w:b/>
                <w:sz w:val="16"/>
              </w:rPr>
              <w:t>25 feb 2027</w:t>
            </w:r>
          </w:p>
        </w:tc>
        <w:tc>
          <w:tcPr>
            <w:tcW w:type="dxa" w:w="4320"/>
          </w:tcPr>
          <w:p>
            <w:pPr>
              <w:spacing w:after="40"/>
            </w:pPr>
            <w:r>
              <w:rPr>
                <w:sz w:val="16"/>
              </w:rPr>
            </w:r>
            <w:r>
              <w:rPr>
                <w:b/>
                <w:sz w:val="16"/>
              </w:rPr>
              <w:t>Assemblea MPS e nomina del nuovo CdA</w:t>
            </w:r>
            <w:r>
              <w:rPr>
                <w:sz w:val="16"/>
              </w:rPr>
              <w:t xml:space="preserve"> (t+50)</w:t>
            </w:r>
          </w:p>
        </w:tc>
      </w:tr>
      <w:tr>
        <w:tc>
          <w:tcPr>
            <w:tcW w:type="dxa" w:w="4320"/>
          </w:tcPr>
          <w:p>
            <w:pPr>
              <w:spacing w:after="40"/>
            </w:pPr>
            <w:r>
              <w:rPr>
                <w:sz w:val="16"/>
              </w:rPr>
            </w:r>
            <w:r>
              <w:rPr>
                <w:sz w:val="16"/>
              </w:rPr>
              <w:t>entro apr–mag</w:t>
            </w:r>
          </w:p>
        </w:tc>
        <w:tc>
          <w:tcPr>
            <w:tcW w:type="dxa" w:w="4320"/>
          </w:tcPr>
          <w:p>
            <w:pPr>
              <w:spacing w:after="40"/>
            </w:pPr>
            <w:r>
              <w:rPr>
                <w:sz w:val="16"/>
              </w:rPr>
            </w:r>
            <w:r>
              <w:rPr>
                <w:sz w:val="16"/>
              </w:rPr>
              <w:t>Finalizzazione del carve-out</w:t>
            </w:r>
          </w:p>
        </w:tc>
      </w:tr>
      <w:tr>
        <w:tc>
          <w:tcPr>
            <w:tcW w:type="dxa" w:w="4320"/>
          </w:tcPr>
          <w:p>
            <w:pPr>
              <w:spacing w:after="40"/>
            </w:pPr>
            <w:r>
              <w:rPr>
                <w:sz w:val="16"/>
              </w:rPr>
            </w:r>
            <w:r>
              <w:rPr>
                <w:sz w:val="16"/>
              </w:rPr>
              <w:t>Q3–Q4 2027</w:t>
            </w:r>
          </w:p>
        </w:tc>
        <w:tc>
          <w:tcPr>
            <w:tcW w:type="dxa" w:w="4320"/>
          </w:tcPr>
          <w:p>
            <w:pPr>
              <w:spacing w:after="40"/>
            </w:pPr>
            <w:r>
              <w:rPr>
                <w:sz w:val="16"/>
              </w:rPr>
            </w:r>
            <w:r>
              <w:rPr>
                <w:sz w:val="16"/>
              </w:rPr>
              <w:t>Cessione dell'entità giuridica bancaria a Unipol</w:t>
            </w:r>
          </w:p>
        </w:tc>
      </w:tr>
    </w:tbl>
    <w:p/>
    <w:p>
      <w:r>
        <w:t>Note del deck rilevanti: la convocazione "è deliberata dal CdA e curata dal Presidente"; "in caso di totale inerzia, il Collegio Sindacale può convocare l'assemblea"; "</w:t>
      </w:r>
      <w:r>
        <w:rPr>
          <w:b/>
        </w:rPr>
        <w:t>in mancanza di dimissioni, sarà necessario procedere alla revoca in assemblea</w:t>
      </w:r>
      <w:r>
        <w:t>"; nello scenario 2027 il bilancio FY2026 è approvato dal CdA uscente e non è necessario il reporting package perché non c'è consolidamento; "possibilità di nomina nuovo CdA a +40 [...] tuttavia tale opzione non dipende da ISP".</w:t>
      </w:r>
    </w:p>
    <w:p>
      <w:pPr>
        <w:pStyle w:val="Heading2"/>
      </w:pPr>
      <w:r>
        <w:t>8. Precedenti di mercato</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after="40"/>
            </w:pPr>
            <w:r>
              <w:rPr>
                <w:b/>
                <w:sz w:val="16"/>
              </w:rPr>
            </w:r>
            <w:r>
              <w:rPr>
                <w:b/>
                <w:sz w:val="16"/>
              </w:rPr>
              <w:t>Operazione</w:t>
            </w:r>
          </w:p>
        </w:tc>
        <w:tc>
          <w:tcPr>
            <w:tcW w:type="dxa" w:w="1080"/>
          </w:tcPr>
          <w:p>
            <w:pPr>
              <w:spacing w:after="40"/>
            </w:pPr>
            <w:r>
              <w:rPr>
                <w:b/>
                <w:sz w:val="16"/>
              </w:rPr>
            </w:r>
            <w:r>
              <w:rPr>
                <w:b/>
                <w:sz w:val="16"/>
              </w:rPr>
              <w:t>Anno</w:t>
            </w:r>
          </w:p>
        </w:tc>
        <w:tc>
          <w:tcPr>
            <w:tcW w:type="dxa" w:w="1080"/>
          </w:tcPr>
          <w:p>
            <w:pPr>
              <w:spacing w:after="40"/>
            </w:pPr>
            <w:r>
              <w:rPr>
                <w:b/>
                <w:sz w:val="16"/>
              </w:rPr>
            </w:r>
            <w:r>
              <w:rPr>
                <w:b/>
                <w:sz w:val="16"/>
              </w:rPr>
              <w:t>% prima fase</w:t>
            </w:r>
          </w:p>
        </w:tc>
        <w:tc>
          <w:tcPr>
            <w:tcW w:type="dxa" w:w="1080"/>
          </w:tcPr>
          <w:p>
            <w:pPr>
              <w:spacing w:after="40"/>
            </w:pPr>
            <w:r>
              <w:rPr>
                <w:b/>
                <w:sz w:val="16"/>
              </w:rPr>
            </w:r>
            <w:r>
              <w:rPr>
                <w:b/>
                <w:sz w:val="16"/>
              </w:rPr>
              <w:t>% dopo riapertura</w:t>
            </w:r>
          </w:p>
        </w:tc>
        <w:tc>
          <w:tcPr>
            <w:tcW w:type="dxa" w:w="1080"/>
          </w:tcPr>
          <w:p>
            <w:pPr>
              <w:spacing w:after="40"/>
            </w:pPr>
            <w:r>
              <w:rPr>
                <w:b/>
                <w:sz w:val="16"/>
              </w:rPr>
            </w:r>
            <w:r>
              <w:rPr>
                <w:b/>
                <w:sz w:val="16"/>
              </w:rPr>
              <w:t>Esito</w:t>
            </w:r>
          </w:p>
        </w:tc>
        <w:tc>
          <w:tcPr>
            <w:tcW w:type="dxa" w:w="1080"/>
          </w:tcPr>
          <w:p>
            <w:pPr>
              <w:spacing w:after="40"/>
            </w:pPr>
            <w:r>
              <w:rPr>
                <w:b/>
                <w:sz w:val="16"/>
              </w:rPr>
            </w:r>
            <w:r>
              <w:rPr>
                <w:b/>
                <w:sz w:val="16"/>
              </w:rPr>
              <w:t>Delisting</w:t>
            </w:r>
          </w:p>
        </w:tc>
        <w:tc>
          <w:tcPr>
            <w:tcW w:type="dxa" w:w="1080"/>
          </w:tcPr>
          <w:p>
            <w:pPr>
              <w:spacing w:after="40"/>
            </w:pPr>
            <w:r>
              <w:rPr>
                <w:b/>
                <w:sz w:val="16"/>
              </w:rPr>
            </w:r>
            <w:r>
              <w:rPr>
                <w:b/>
                <w:sz w:val="16"/>
              </w:rPr>
              <w:t>Mesi settlement → delisting</w:t>
            </w:r>
          </w:p>
        </w:tc>
        <w:tc>
          <w:tcPr>
            <w:tcW w:type="dxa" w:w="1080"/>
          </w:tcPr>
          <w:p>
            <w:pPr>
              <w:spacing w:after="40"/>
            </w:pPr>
            <w:r>
              <w:rPr>
                <w:b/>
                <w:sz w:val="16"/>
              </w:rPr>
            </w:r>
            <w:r>
              <w:rPr>
                <w:b/>
                <w:sz w:val="16"/>
              </w:rPr>
              <w:t>Settlement → nuovo board</w:t>
            </w:r>
          </w:p>
        </w:tc>
      </w:tr>
      <w:tr>
        <w:tc>
          <w:tcPr>
            <w:tcW w:type="dxa" w:w="1080"/>
          </w:tcPr>
          <w:p>
            <w:pPr>
              <w:spacing w:after="40"/>
            </w:pPr>
            <w:r>
              <w:rPr>
                <w:sz w:val="16"/>
              </w:rPr>
            </w:r>
            <w:r>
              <w:rPr>
                <w:sz w:val="16"/>
              </w:rPr>
              <w:t>ISP / UBI Banca</w:t>
            </w:r>
          </w:p>
        </w:tc>
        <w:tc>
          <w:tcPr>
            <w:tcW w:type="dxa" w:w="1080"/>
          </w:tcPr>
          <w:p>
            <w:pPr>
              <w:spacing w:after="40"/>
            </w:pPr>
            <w:r>
              <w:rPr>
                <w:sz w:val="16"/>
              </w:rPr>
            </w:r>
            <w:r>
              <w:rPr>
                <w:sz w:val="16"/>
              </w:rPr>
              <w:t>2020-21</w:t>
            </w:r>
          </w:p>
        </w:tc>
        <w:tc>
          <w:tcPr>
            <w:tcW w:type="dxa" w:w="1080"/>
          </w:tcPr>
          <w:p>
            <w:pPr>
              <w:spacing w:after="40"/>
            </w:pPr>
            <w:r>
              <w:rPr>
                <w:sz w:val="16"/>
              </w:rPr>
            </w:r>
            <w:r>
              <w:rPr>
                <w:sz w:val="16"/>
              </w:rPr>
              <w:t>90,2%</w:t>
            </w:r>
          </w:p>
        </w:tc>
        <w:tc>
          <w:tcPr>
            <w:tcW w:type="dxa" w:w="1080"/>
          </w:tcPr>
          <w:p>
            <w:pPr>
              <w:spacing w:after="40"/>
            </w:pPr>
            <w:r>
              <w:rPr>
                <w:sz w:val="16"/>
              </w:rPr>
            </w:r>
            <w:r>
              <w:rPr>
                <w:sz w:val="16"/>
              </w:rPr>
              <w:t>nessuna riapertura (esenzione 40-bis c. 3 lett. b)</w:t>
            </w:r>
          </w:p>
        </w:tc>
        <w:tc>
          <w:tcPr>
            <w:tcW w:type="dxa" w:w="1080"/>
          </w:tcPr>
          <w:p>
            <w:pPr>
              <w:spacing w:after="40"/>
            </w:pPr>
            <w:r>
              <w:rPr>
                <w:sz w:val="16"/>
              </w:rPr>
            </w:r>
            <w:r>
              <w:rPr>
                <w:sz w:val="16"/>
              </w:rPr>
              <w:t>sell-out → 98,9%; procedura congiunta → 100%</w:t>
            </w:r>
          </w:p>
        </w:tc>
        <w:tc>
          <w:tcPr>
            <w:tcW w:type="dxa" w:w="1080"/>
          </w:tcPr>
          <w:p>
            <w:pPr>
              <w:spacing w:after="40"/>
            </w:pPr>
            <w:r>
              <w:rPr>
                <w:sz w:val="16"/>
              </w:rPr>
            </w:r>
            <w:r>
              <w:rPr>
                <w:sz w:val="16"/>
              </w:rPr>
              <w:t>5 ott 2020</w:t>
            </w:r>
          </w:p>
        </w:tc>
        <w:tc>
          <w:tcPr>
            <w:tcW w:type="dxa" w:w="1080"/>
          </w:tcPr>
          <w:p>
            <w:pPr>
              <w:spacing w:after="40"/>
            </w:pPr>
            <w:r>
              <w:rPr>
                <w:sz w:val="16"/>
              </w:rPr>
            </w:r>
            <w:r>
              <w:rPr>
                <w:sz w:val="16"/>
              </w:rPr>
              <w:t>2,0</w:t>
            </w:r>
          </w:p>
        </w:tc>
        <w:tc>
          <w:tcPr>
            <w:tcW w:type="dxa" w:w="1080"/>
          </w:tcPr>
          <w:p>
            <w:pPr>
              <w:spacing w:after="40"/>
            </w:pPr>
            <w:r>
              <w:rPr>
                <w:sz w:val="16"/>
              </w:rPr>
            </w:r>
            <w:r>
              <w:rPr>
                <w:sz w:val="16"/>
              </w:rPr>
              <w:t>~71 giorni</w:t>
            </w:r>
          </w:p>
        </w:tc>
      </w:tr>
      <w:tr>
        <w:tc>
          <w:tcPr>
            <w:tcW w:type="dxa" w:w="1080"/>
          </w:tcPr>
          <w:p>
            <w:pPr>
              <w:spacing w:after="40"/>
            </w:pPr>
            <w:r>
              <w:rPr>
                <w:sz w:val="16"/>
              </w:rPr>
            </w:r>
            <w:r>
              <w:rPr>
                <w:sz w:val="16"/>
              </w:rPr>
              <w:t>CA Italia / Creval</w:t>
            </w:r>
          </w:p>
        </w:tc>
        <w:tc>
          <w:tcPr>
            <w:tcW w:type="dxa" w:w="1080"/>
          </w:tcPr>
          <w:p>
            <w:pPr>
              <w:spacing w:after="40"/>
            </w:pPr>
            <w:r>
              <w:rPr>
                <w:sz w:val="16"/>
              </w:rPr>
            </w:r>
            <w:r>
              <w:rPr>
                <w:sz w:val="16"/>
              </w:rPr>
              <w:t>2021</w:t>
            </w:r>
          </w:p>
        </w:tc>
        <w:tc>
          <w:tcPr>
            <w:tcW w:type="dxa" w:w="1080"/>
          </w:tcPr>
          <w:p>
            <w:pPr>
              <w:spacing w:after="40"/>
            </w:pPr>
            <w:r>
              <w:rPr>
                <w:sz w:val="16"/>
              </w:rPr>
            </w:r>
            <w:r>
              <w:rPr>
                <w:sz w:val="16"/>
              </w:rPr>
              <w:t>91,167%</w:t>
            </w:r>
          </w:p>
        </w:tc>
        <w:tc>
          <w:tcPr>
            <w:tcW w:type="dxa" w:w="1080"/>
          </w:tcPr>
          <w:p>
            <w:pPr>
              <w:spacing w:after="40"/>
            </w:pPr>
            <w:r>
              <w:rPr>
                <w:sz w:val="16"/>
              </w:rPr>
            </w:r>
            <w:r>
              <w:rPr>
                <w:sz w:val="16"/>
              </w:rPr>
              <w:t>—</w:t>
            </w:r>
          </w:p>
        </w:tc>
        <w:tc>
          <w:tcPr>
            <w:tcW w:type="dxa" w:w="1080"/>
          </w:tcPr>
          <w:p>
            <w:pPr>
              <w:spacing w:after="40"/>
            </w:pPr>
            <w:r>
              <w:rPr>
                <w:sz w:val="16"/>
              </w:rPr>
            </w:r>
            <w:r>
              <w:rPr>
                <w:sz w:val="16"/>
              </w:rPr>
              <w:t>sell-out → 97,2%; procedura congiunta</w:t>
            </w:r>
          </w:p>
        </w:tc>
        <w:tc>
          <w:tcPr>
            <w:tcW w:type="dxa" w:w="1080"/>
          </w:tcPr>
          <w:p>
            <w:pPr>
              <w:spacing w:after="40"/>
            </w:pPr>
            <w:r>
              <w:rPr>
                <w:sz w:val="16"/>
              </w:rPr>
            </w:r>
            <w:r>
              <w:rPr>
                <w:sz w:val="16"/>
              </w:rPr>
              <w:t>4 giu 2021</w:t>
            </w:r>
          </w:p>
        </w:tc>
        <w:tc>
          <w:tcPr>
            <w:tcW w:type="dxa" w:w="1080"/>
          </w:tcPr>
          <w:p>
            <w:pPr>
              <w:spacing w:after="40"/>
            </w:pPr>
            <w:r>
              <w:rPr>
                <w:sz w:val="16"/>
              </w:rPr>
            </w:r>
            <w:r>
              <w:rPr>
                <w:sz w:val="16"/>
              </w:rPr>
              <w:t>~1</w:t>
            </w:r>
          </w:p>
        </w:tc>
        <w:tc>
          <w:tcPr>
            <w:tcW w:type="dxa" w:w="1080"/>
          </w:tcPr>
          <w:p>
            <w:pPr>
              <w:spacing w:after="40"/>
            </w:pPr>
            <w:r>
              <w:rPr>
                <w:sz w:val="16"/>
              </w:rPr>
            </w:r>
            <w:r>
              <w:rPr>
                <w:sz w:val="16"/>
              </w:rPr>
              <w:t>—</w:t>
            </w:r>
          </w:p>
        </w:tc>
      </w:tr>
      <w:tr>
        <w:tc>
          <w:tcPr>
            <w:tcW w:type="dxa" w:w="1080"/>
          </w:tcPr>
          <w:p>
            <w:pPr>
              <w:spacing w:after="40"/>
            </w:pPr>
            <w:r>
              <w:rPr>
                <w:sz w:val="16"/>
              </w:rPr>
            </w:r>
            <w:r>
              <w:rPr>
                <w:sz w:val="16"/>
              </w:rPr>
              <w:t>BPER / Carige</w:t>
            </w:r>
          </w:p>
        </w:tc>
        <w:tc>
          <w:tcPr>
            <w:tcW w:type="dxa" w:w="1080"/>
          </w:tcPr>
          <w:p>
            <w:pPr>
              <w:spacing w:after="40"/>
            </w:pPr>
            <w:r>
              <w:rPr>
                <w:sz w:val="16"/>
              </w:rPr>
            </w:r>
            <w:r>
              <w:rPr>
                <w:sz w:val="16"/>
              </w:rPr>
              <w:t>2022</w:t>
            </w:r>
          </w:p>
        </w:tc>
        <w:tc>
          <w:tcPr>
            <w:tcW w:type="dxa" w:w="1080"/>
          </w:tcPr>
          <w:p>
            <w:pPr>
              <w:spacing w:after="40"/>
            </w:pPr>
            <w:r>
              <w:rPr>
                <w:sz w:val="16"/>
              </w:rPr>
            </w:r>
            <w:r>
              <w:rPr>
                <w:sz w:val="16"/>
              </w:rPr>
              <w:t>~80% (acquisto negoziato)</w:t>
            </w:r>
          </w:p>
        </w:tc>
        <w:tc>
          <w:tcPr>
            <w:tcW w:type="dxa" w:w="1080"/>
          </w:tcPr>
          <w:p>
            <w:pPr>
              <w:spacing w:after="40"/>
            </w:pPr>
            <w:r>
              <w:rPr>
                <w:sz w:val="16"/>
              </w:rPr>
            </w:r>
            <w:r>
              <w:rPr>
                <w:sz w:val="16"/>
              </w:rPr>
              <w:t>—</w:t>
            </w:r>
          </w:p>
        </w:tc>
        <w:tc>
          <w:tcPr>
            <w:tcW w:type="dxa" w:w="1080"/>
          </w:tcPr>
          <w:p>
            <w:pPr>
              <w:spacing w:after="40"/>
            </w:pPr>
            <w:r>
              <w:rPr>
                <w:sz w:val="16"/>
              </w:rPr>
            </w:r>
            <w:r>
              <w:rPr>
                <w:sz w:val="16"/>
              </w:rPr>
              <w:t>OPA obbligatoria e fusione</w:t>
            </w:r>
          </w:p>
        </w:tc>
        <w:tc>
          <w:tcPr>
            <w:tcW w:type="dxa" w:w="1080"/>
          </w:tcPr>
          <w:p>
            <w:pPr>
              <w:spacing w:after="40"/>
            </w:pPr>
            <w:r>
              <w:rPr>
                <w:sz w:val="16"/>
              </w:rPr>
            </w:r>
            <w:r>
              <w:rPr>
                <w:sz w:val="16"/>
              </w:rPr>
              <w:t>2022</w:t>
            </w:r>
          </w:p>
        </w:tc>
        <w:tc>
          <w:tcPr>
            <w:tcW w:type="dxa" w:w="1080"/>
          </w:tcPr>
          <w:p>
            <w:pPr>
              <w:spacing w:after="40"/>
            </w:pPr>
            <w:r>
              <w:rPr>
                <w:sz w:val="16"/>
              </w:rPr>
            </w:r>
            <w:r>
              <w:rPr>
                <w:sz w:val="16"/>
              </w:rPr>
              <w:t>—</w:t>
            </w:r>
          </w:p>
        </w:tc>
        <w:tc>
          <w:tcPr>
            <w:tcW w:type="dxa" w:w="1080"/>
          </w:tcPr>
          <w:p>
            <w:pPr>
              <w:spacing w:after="40"/>
            </w:pPr>
            <w:r>
              <w:rPr>
                <w:sz w:val="16"/>
              </w:rPr>
            </w:r>
            <w:r>
              <w:rPr>
                <w:b/>
                <w:sz w:val="16"/>
              </w:rPr>
              <w:t>12 giorni</w:t>
            </w:r>
          </w:p>
        </w:tc>
      </w:tr>
      <w:tr>
        <w:tc>
          <w:tcPr>
            <w:tcW w:type="dxa" w:w="1080"/>
          </w:tcPr>
          <w:p>
            <w:pPr>
              <w:spacing w:after="40"/>
            </w:pPr>
            <w:r>
              <w:rPr>
                <w:sz w:val="16"/>
              </w:rPr>
            </w:r>
            <w:r>
              <w:rPr>
                <w:sz w:val="16"/>
              </w:rPr>
              <w:t>Unipol / UnipolSai</w:t>
            </w:r>
          </w:p>
        </w:tc>
        <w:tc>
          <w:tcPr>
            <w:tcW w:type="dxa" w:w="1080"/>
          </w:tcPr>
          <w:p>
            <w:pPr>
              <w:spacing w:after="40"/>
            </w:pPr>
            <w:r>
              <w:rPr>
                <w:sz w:val="16"/>
              </w:rPr>
            </w:r>
            <w:r>
              <w:rPr>
                <w:sz w:val="16"/>
              </w:rPr>
              <w:t>2024</w:t>
            </w:r>
          </w:p>
        </w:tc>
        <w:tc>
          <w:tcPr>
            <w:tcW w:type="dxa" w:w="1080"/>
          </w:tcPr>
          <w:p>
            <w:pPr>
              <w:spacing w:after="40"/>
            </w:pPr>
            <w:r>
              <w:rPr>
                <w:sz w:val="16"/>
              </w:rPr>
            </w:r>
            <w:r>
              <w:rPr>
                <w:sz w:val="16"/>
              </w:rPr>
              <w:t>94,916%</w:t>
            </w:r>
          </w:p>
        </w:tc>
        <w:tc>
          <w:tcPr>
            <w:tcW w:type="dxa" w:w="1080"/>
          </w:tcPr>
          <w:p>
            <w:pPr>
              <w:spacing w:after="40"/>
            </w:pPr>
            <w:r>
              <w:rPr>
                <w:sz w:val="16"/>
              </w:rPr>
            </w:r>
            <w:r>
              <w:rPr>
                <w:sz w:val="16"/>
              </w:rPr>
              <w:t>—</w:t>
            </w:r>
          </w:p>
        </w:tc>
        <w:tc>
          <w:tcPr>
            <w:tcW w:type="dxa" w:w="1080"/>
          </w:tcPr>
          <w:p>
            <w:pPr>
              <w:spacing w:after="40"/>
            </w:pPr>
            <w:r>
              <w:rPr>
                <w:sz w:val="16"/>
              </w:rPr>
            </w:r>
            <w:r>
              <w:rPr>
                <w:sz w:val="16"/>
              </w:rPr>
              <w:t>sell-out → 96,9%; procedura congiunta → 100%</w:t>
            </w:r>
          </w:p>
        </w:tc>
        <w:tc>
          <w:tcPr>
            <w:tcW w:type="dxa" w:w="1080"/>
          </w:tcPr>
          <w:p>
            <w:pPr>
              <w:spacing w:after="40"/>
            </w:pPr>
            <w:r>
              <w:rPr>
                <w:sz w:val="16"/>
              </w:rPr>
            </w:r>
            <w:r>
              <w:rPr>
                <w:sz w:val="16"/>
              </w:rPr>
              <w:t>3 lug 2024</w:t>
            </w:r>
          </w:p>
        </w:tc>
        <w:tc>
          <w:tcPr>
            <w:tcW w:type="dxa" w:w="1080"/>
          </w:tcPr>
          <w:p>
            <w:pPr>
              <w:spacing w:after="40"/>
            </w:pPr>
            <w:r>
              <w:rPr>
                <w:sz w:val="16"/>
              </w:rPr>
            </w:r>
            <w:r>
              <w:rPr>
                <w:sz w:val="16"/>
              </w:rPr>
              <w:t>2,0</w:t>
            </w:r>
          </w:p>
        </w:tc>
        <w:tc>
          <w:tcPr>
            <w:tcW w:type="dxa" w:w="1080"/>
          </w:tcPr>
          <w:p>
            <w:pPr>
              <w:spacing w:after="40"/>
            </w:pPr>
            <w:r>
              <w:rPr>
                <w:sz w:val="16"/>
              </w:rPr>
            </w:r>
            <w:r>
              <w:rPr>
                <w:sz w:val="16"/>
              </w:rPr>
              <w:t>—</w:t>
            </w:r>
          </w:p>
        </w:tc>
      </w:tr>
      <w:tr>
        <w:tc>
          <w:tcPr>
            <w:tcW w:type="dxa" w:w="1080"/>
          </w:tcPr>
          <w:p>
            <w:pPr>
              <w:spacing w:after="40"/>
            </w:pPr>
            <w:r>
              <w:rPr>
                <w:sz w:val="16"/>
              </w:rPr>
            </w:r>
            <w:r>
              <w:rPr>
                <w:sz w:val="16"/>
              </w:rPr>
              <w:t>Banco BPM Vita / Anima</w:t>
            </w:r>
          </w:p>
        </w:tc>
        <w:tc>
          <w:tcPr>
            <w:tcW w:type="dxa" w:w="1080"/>
          </w:tcPr>
          <w:p>
            <w:pPr>
              <w:spacing w:after="40"/>
            </w:pPr>
            <w:r>
              <w:rPr>
                <w:sz w:val="16"/>
              </w:rPr>
            </w:r>
            <w:r>
              <w:rPr>
                <w:sz w:val="16"/>
              </w:rPr>
              <w:t>2025</w:t>
            </w:r>
          </w:p>
        </w:tc>
        <w:tc>
          <w:tcPr>
            <w:tcW w:type="dxa" w:w="1080"/>
          </w:tcPr>
          <w:p>
            <w:pPr>
              <w:spacing w:after="40"/>
            </w:pPr>
            <w:r>
              <w:rPr>
                <w:sz w:val="16"/>
              </w:rPr>
            </w:r>
            <w:r>
              <w:rPr>
                <w:b/>
                <w:sz w:val="16"/>
              </w:rPr>
              <w:t>89,949%</w:t>
            </w:r>
          </w:p>
        </w:tc>
        <w:tc>
          <w:tcPr>
            <w:tcW w:type="dxa" w:w="1080"/>
          </w:tcPr>
          <w:p>
            <w:pPr>
              <w:spacing w:after="40"/>
            </w:pPr>
            <w:r>
              <w:rPr>
                <w:sz w:val="16"/>
              </w:rPr>
            </w:r>
            <w:r>
              <w:rPr>
                <w:sz w:val="16"/>
              </w:rPr>
              <w:t>nessuna</w:t>
            </w:r>
          </w:p>
        </w:tc>
        <w:tc>
          <w:tcPr>
            <w:tcW w:type="dxa" w:w="1080"/>
          </w:tcPr>
          <w:p>
            <w:pPr>
              <w:spacing w:after="40"/>
            </w:pPr>
            <w:r>
              <w:rPr>
                <w:sz w:val="16"/>
              </w:rPr>
            </w:r>
            <w:r>
              <w:rPr>
                <w:sz w:val="16"/>
              </w:rPr>
              <w:t>nessuna soglia raggiunta; nessuna fusione deliberata</w:t>
            </w:r>
          </w:p>
        </w:tc>
        <w:tc>
          <w:tcPr>
            <w:tcW w:type="dxa" w:w="1080"/>
          </w:tcPr>
          <w:p>
            <w:pPr>
              <w:spacing w:after="40"/>
            </w:pPr>
            <w:r>
              <w:rPr>
                <w:sz w:val="16"/>
              </w:rPr>
            </w:r>
            <w:r>
              <w:rPr>
                <w:b/>
                <w:sz w:val="16"/>
              </w:rPr>
              <w:t>non delistata</w:t>
            </w:r>
          </w:p>
        </w:tc>
        <w:tc>
          <w:tcPr>
            <w:tcW w:type="dxa" w:w="1080"/>
          </w:tcPr>
          <w:p>
            <w:pPr>
              <w:spacing w:after="40"/>
            </w:pPr>
            <w:r>
              <w:rPr>
                <w:sz w:val="16"/>
              </w:rPr>
            </w:r>
            <w:r>
              <w:rPr>
                <w:sz w:val="16"/>
              </w:rPr>
              <w:t>≥17</w:t>
            </w:r>
          </w:p>
        </w:tc>
        <w:tc>
          <w:tcPr>
            <w:tcW w:type="dxa" w:w="1080"/>
          </w:tcPr>
          <w:p>
            <w:pPr>
              <w:spacing w:after="40"/>
            </w:pPr>
            <w:r>
              <w:rPr>
                <w:sz w:val="16"/>
              </w:rPr>
            </w:r>
            <w:r>
              <w:rPr>
                <w:sz w:val="16"/>
              </w:rPr>
              <w:t>—</w:t>
            </w:r>
          </w:p>
        </w:tc>
      </w:tr>
      <w:tr>
        <w:tc>
          <w:tcPr>
            <w:tcW w:type="dxa" w:w="1080"/>
          </w:tcPr>
          <w:p>
            <w:pPr>
              <w:spacing w:after="40"/>
            </w:pPr>
            <w:r>
              <w:rPr>
                <w:sz w:val="16"/>
              </w:rPr>
            </w:r>
            <w:r>
              <w:rPr>
                <w:sz w:val="16"/>
              </w:rPr>
              <w:t>Banca Ifis / illimity</w:t>
            </w:r>
          </w:p>
        </w:tc>
        <w:tc>
          <w:tcPr>
            <w:tcW w:type="dxa" w:w="1080"/>
          </w:tcPr>
          <w:p>
            <w:pPr>
              <w:spacing w:after="40"/>
            </w:pPr>
            <w:r>
              <w:rPr>
                <w:sz w:val="16"/>
              </w:rPr>
            </w:r>
            <w:r>
              <w:rPr>
                <w:sz w:val="16"/>
              </w:rPr>
              <w:t>2025</w:t>
            </w:r>
          </w:p>
        </w:tc>
        <w:tc>
          <w:tcPr>
            <w:tcW w:type="dxa" w:w="1080"/>
          </w:tcPr>
          <w:p>
            <w:pPr>
              <w:spacing w:after="40"/>
            </w:pPr>
            <w:r>
              <w:rPr>
                <w:sz w:val="16"/>
              </w:rPr>
            </w:r>
            <w:r>
              <w:rPr>
                <w:sz w:val="16"/>
              </w:rPr>
              <w:t>&gt;92%</w:t>
            </w:r>
          </w:p>
        </w:tc>
        <w:tc>
          <w:tcPr>
            <w:tcW w:type="dxa" w:w="1080"/>
          </w:tcPr>
          <w:p>
            <w:pPr>
              <w:spacing w:after="40"/>
            </w:pPr>
            <w:r>
              <w:rPr>
                <w:sz w:val="16"/>
              </w:rPr>
            </w:r>
            <w:r>
              <w:rPr>
                <w:sz w:val="16"/>
              </w:rPr>
              <w:t>—</w:t>
            </w:r>
          </w:p>
        </w:tc>
        <w:tc>
          <w:tcPr>
            <w:tcW w:type="dxa" w:w="1080"/>
          </w:tcPr>
          <w:p>
            <w:pPr>
              <w:spacing w:after="40"/>
            </w:pPr>
            <w:r>
              <w:rPr>
                <w:sz w:val="16"/>
              </w:rPr>
            </w:r>
            <w:r>
              <w:rPr>
                <w:sz w:val="16"/>
              </w:rPr>
              <w:t>sell-out → 95,4%; procedura congiunta → 100%</w:t>
            </w:r>
          </w:p>
        </w:tc>
        <w:tc>
          <w:tcPr>
            <w:tcW w:type="dxa" w:w="1080"/>
          </w:tcPr>
          <w:p>
            <w:pPr>
              <w:spacing w:after="40"/>
            </w:pPr>
            <w:r>
              <w:rPr>
                <w:sz w:val="16"/>
              </w:rPr>
            </w:r>
            <w:r>
              <w:rPr>
                <w:sz w:val="16"/>
              </w:rPr>
              <w:t>19 set 2025</w:t>
            </w:r>
          </w:p>
        </w:tc>
        <w:tc>
          <w:tcPr>
            <w:tcW w:type="dxa" w:w="1080"/>
          </w:tcPr>
          <w:p>
            <w:pPr>
              <w:spacing w:after="40"/>
            </w:pPr>
            <w:r>
              <w:rPr>
                <w:sz w:val="16"/>
              </w:rPr>
            </w:r>
            <w:r>
              <w:rPr>
                <w:sz w:val="16"/>
              </w:rPr>
              <w:t>~2,5</w:t>
            </w:r>
          </w:p>
        </w:tc>
        <w:tc>
          <w:tcPr>
            <w:tcW w:type="dxa" w:w="1080"/>
          </w:tcPr>
          <w:p>
            <w:pPr>
              <w:spacing w:after="40"/>
            </w:pPr>
            <w:r>
              <w:rPr>
                <w:sz w:val="16"/>
              </w:rPr>
            </w:r>
            <w:r>
              <w:rPr>
                <w:sz w:val="16"/>
              </w:rPr>
              <w:t>83 giorni</w:t>
            </w:r>
          </w:p>
        </w:tc>
      </w:tr>
      <w:tr>
        <w:tc>
          <w:tcPr>
            <w:tcW w:type="dxa" w:w="1080"/>
          </w:tcPr>
          <w:p>
            <w:pPr>
              <w:spacing w:after="40"/>
            </w:pPr>
            <w:r>
              <w:rPr>
                <w:sz w:val="16"/>
              </w:rPr>
            </w:r>
            <w:r>
              <w:rPr>
                <w:sz w:val="16"/>
              </w:rPr>
              <w:t>BPER / Banca Popolare di Sondrio</w:t>
            </w:r>
          </w:p>
        </w:tc>
        <w:tc>
          <w:tcPr>
            <w:tcW w:type="dxa" w:w="1080"/>
          </w:tcPr>
          <w:p>
            <w:pPr>
              <w:spacing w:after="40"/>
            </w:pPr>
            <w:r>
              <w:rPr>
                <w:sz w:val="16"/>
              </w:rPr>
            </w:r>
            <w:r>
              <w:rPr>
                <w:sz w:val="16"/>
              </w:rPr>
              <w:t>2025-26</w:t>
            </w:r>
          </w:p>
        </w:tc>
        <w:tc>
          <w:tcPr>
            <w:tcW w:type="dxa" w:w="1080"/>
          </w:tcPr>
          <w:p>
            <w:pPr>
              <w:spacing w:after="40"/>
            </w:pPr>
            <w:r>
              <w:rPr>
                <w:sz w:val="16"/>
              </w:rPr>
            </w:r>
            <w:r>
              <w:rPr>
                <w:sz w:val="16"/>
              </w:rPr>
              <w:t>58,49%</w:t>
            </w:r>
          </w:p>
        </w:tc>
        <w:tc>
          <w:tcPr>
            <w:tcW w:type="dxa" w:w="1080"/>
          </w:tcPr>
          <w:p>
            <w:pPr>
              <w:spacing w:after="40"/>
            </w:pPr>
            <w:r>
              <w:rPr>
                <w:sz w:val="16"/>
              </w:rPr>
            </w:r>
            <w:r>
              <w:rPr>
                <w:b/>
                <w:sz w:val="16"/>
              </w:rPr>
              <w:t>80,69%</w:t>
            </w:r>
            <w:r>
              <w:rPr>
                <w:sz w:val="16"/>
              </w:rPr>
              <w:t xml:space="preserve"> (+22,20 pp)</w:t>
            </w:r>
          </w:p>
        </w:tc>
        <w:tc>
          <w:tcPr>
            <w:tcW w:type="dxa" w:w="1080"/>
          </w:tcPr>
          <w:p>
            <w:pPr>
              <w:spacing w:after="40"/>
            </w:pPr>
            <w:r>
              <w:rPr>
                <w:sz w:val="16"/>
              </w:rPr>
            </w:r>
            <w:r>
              <w:rPr>
                <w:sz w:val="16"/>
              </w:rPr>
              <w:t>fusione in BPER</w:t>
            </w:r>
          </w:p>
        </w:tc>
        <w:tc>
          <w:tcPr>
            <w:tcW w:type="dxa" w:w="1080"/>
          </w:tcPr>
          <w:p>
            <w:pPr>
              <w:spacing w:after="40"/>
            </w:pPr>
            <w:r>
              <w:rPr>
                <w:sz w:val="16"/>
              </w:rPr>
            </w:r>
            <w:r>
              <w:rPr>
                <w:sz w:val="16"/>
              </w:rPr>
              <w:t>20 apr 2026</w:t>
            </w:r>
          </w:p>
        </w:tc>
        <w:tc>
          <w:tcPr>
            <w:tcW w:type="dxa" w:w="1080"/>
          </w:tcPr>
          <w:p>
            <w:pPr>
              <w:spacing w:after="40"/>
            </w:pPr>
            <w:r>
              <w:rPr>
                <w:sz w:val="16"/>
              </w:rPr>
            </w:r>
            <w:r>
              <w:rPr>
                <w:sz w:val="16"/>
              </w:rPr>
              <w:t>8,6</w:t>
            </w:r>
          </w:p>
        </w:tc>
        <w:tc>
          <w:tcPr>
            <w:tcW w:type="dxa" w:w="1080"/>
          </w:tcPr>
          <w:p>
            <w:pPr>
              <w:spacing w:after="40"/>
            </w:pPr>
            <w:r>
              <w:rPr>
                <w:sz w:val="16"/>
              </w:rPr>
            </w:r>
            <w:r>
              <w:rPr>
                <w:sz w:val="16"/>
              </w:rPr>
              <w:t xml:space="preserve">~47 giorni, con </w:t>
            </w:r>
            <w:r>
              <w:rPr>
                <w:b/>
                <w:sz w:val="16"/>
              </w:rPr>
              <w:t>revoca in assemblea</w:t>
            </w:r>
            <w:r>
              <w:rPr>
                <w:sz w:val="16"/>
              </w:rPr>
              <w:t xml:space="preserve"> del consigliere che non si era dimesso, senza ritardi</w:t>
            </w:r>
          </w:p>
        </w:tc>
      </w:tr>
      <w:tr>
        <w:tc>
          <w:tcPr>
            <w:tcW w:type="dxa" w:w="1080"/>
          </w:tcPr>
          <w:p>
            <w:pPr>
              <w:spacing w:after="40"/>
            </w:pPr>
            <w:r>
              <w:rPr>
                <w:sz w:val="16"/>
              </w:rPr>
            </w:r>
            <w:r>
              <w:rPr>
                <w:sz w:val="16"/>
              </w:rPr>
              <w:t>MPS / Mediobanca</w:t>
            </w:r>
          </w:p>
        </w:tc>
        <w:tc>
          <w:tcPr>
            <w:tcW w:type="dxa" w:w="1080"/>
          </w:tcPr>
          <w:p>
            <w:pPr>
              <w:spacing w:after="40"/>
            </w:pPr>
            <w:r>
              <w:rPr>
                <w:sz w:val="16"/>
              </w:rPr>
            </w:r>
            <w:r>
              <w:rPr>
                <w:sz w:val="16"/>
              </w:rPr>
              <w:t>2025-26</w:t>
            </w:r>
          </w:p>
        </w:tc>
        <w:tc>
          <w:tcPr>
            <w:tcW w:type="dxa" w:w="1080"/>
          </w:tcPr>
          <w:p>
            <w:pPr>
              <w:spacing w:after="40"/>
            </w:pPr>
            <w:r>
              <w:rPr>
                <w:sz w:val="16"/>
              </w:rPr>
            </w:r>
            <w:r>
              <w:rPr>
                <w:sz w:val="16"/>
              </w:rPr>
              <w:t>62,3%</w:t>
            </w:r>
          </w:p>
        </w:tc>
        <w:tc>
          <w:tcPr>
            <w:tcW w:type="dxa" w:w="1080"/>
          </w:tcPr>
          <w:p>
            <w:pPr>
              <w:spacing w:after="40"/>
            </w:pPr>
            <w:r>
              <w:rPr>
                <w:sz w:val="16"/>
              </w:rPr>
            </w:r>
            <w:r>
              <w:rPr>
                <w:b/>
                <w:sz w:val="16"/>
              </w:rPr>
              <w:t>86,348%</w:t>
            </w:r>
            <w:r>
              <w:rPr>
                <w:sz w:val="16"/>
              </w:rPr>
              <w:t xml:space="preserve"> (+24,0 pp)</w:t>
            </w:r>
          </w:p>
        </w:tc>
        <w:tc>
          <w:tcPr>
            <w:tcW w:type="dxa" w:w="1080"/>
          </w:tcPr>
          <w:p>
            <w:pPr>
              <w:spacing w:after="40"/>
            </w:pPr>
            <w:r>
              <w:rPr>
                <w:sz w:val="16"/>
              </w:rPr>
            </w:r>
            <w:r>
              <w:rPr>
                <w:sz w:val="16"/>
              </w:rPr>
              <w:t>fusione in MPS, BCE 3 set 2026, assemblea 29 ott 2026</w:t>
            </w:r>
          </w:p>
        </w:tc>
        <w:tc>
          <w:tcPr>
            <w:tcW w:type="dxa" w:w="1080"/>
          </w:tcPr>
          <w:p>
            <w:pPr>
              <w:spacing w:after="40"/>
            </w:pPr>
            <w:r>
              <w:rPr>
                <w:sz w:val="16"/>
              </w:rPr>
            </w:r>
            <w:r>
              <w:rPr>
                <w:b/>
                <w:sz w:val="16"/>
              </w:rPr>
              <w:t>non delistata</w:t>
            </w:r>
          </w:p>
        </w:tc>
        <w:tc>
          <w:tcPr>
            <w:tcW w:type="dxa" w:w="1080"/>
          </w:tcPr>
          <w:p>
            <w:pPr>
              <w:spacing w:after="40"/>
            </w:pPr>
            <w:r>
              <w:rPr>
                <w:sz w:val="16"/>
              </w:rPr>
            </w:r>
            <w:r>
              <w:rPr>
                <w:sz w:val="16"/>
              </w:rPr>
              <w:t>≥11,5 (attesa ~15)</w:t>
            </w:r>
          </w:p>
        </w:tc>
        <w:tc>
          <w:tcPr>
            <w:tcW w:type="dxa" w:w="1080"/>
          </w:tcPr>
          <w:p>
            <w:pPr>
              <w:spacing w:after="40"/>
            </w:pPr>
            <w:r>
              <w:rPr>
                <w:sz w:val="16"/>
              </w:rPr>
            </w:r>
            <w:r>
              <w:rPr>
                <w:sz w:val="16"/>
              </w:rPr>
              <w:t>42 giorni</w:t>
            </w:r>
          </w:p>
        </w:tc>
      </w:tr>
      <w:tr>
        <w:tc>
          <w:tcPr>
            <w:tcW w:type="dxa" w:w="1080"/>
          </w:tcPr>
          <w:p>
            <w:pPr>
              <w:spacing w:after="40"/>
            </w:pPr>
            <w:r>
              <w:rPr>
                <w:sz w:val="16"/>
              </w:rPr>
            </w:r>
            <w:r>
              <w:rPr>
                <w:sz w:val="16"/>
              </w:rPr>
              <w:t>TIM / Elliott / Vivendi</w:t>
            </w:r>
          </w:p>
        </w:tc>
        <w:tc>
          <w:tcPr>
            <w:tcW w:type="dxa" w:w="1080"/>
          </w:tcPr>
          <w:p>
            <w:pPr>
              <w:spacing w:after="40"/>
            </w:pPr>
            <w:r>
              <w:rPr>
                <w:sz w:val="16"/>
              </w:rPr>
            </w:r>
            <w:r>
              <w:rPr>
                <w:sz w:val="16"/>
              </w:rPr>
              <w:t>2018</w:t>
            </w:r>
          </w:p>
        </w:tc>
        <w:tc>
          <w:tcPr>
            <w:tcW w:type="dxa" w:w="1080"/>
          </w:tcPr>
          <w:p>
            <w:pPr>
              <w:spacing w:after="40"/>
            </w:pPr>
            <w:r>
              <w:rPr>
                <w:sz w:val="16"/>
              </w:rPr>
            </w:r>
            <w:r>
              <w:rPr>
                <w:sz w:val="16"/>
              </w:rPr>
              <w:t>n/a</w:t>
            </w:r>
          </w:p>
        </w:tc>
        <w:tc>
          <w:tcPr>
            <w:tcW w:type="dxa" w:w="1080"/>
          </w:tcPr>
          <w:p>
            <w:pPr>
              <w:spacing w:after="40"/>
            </w:pPr>
            <w:r>
              <w:rPr>
                <w:sz w:val="16"/>
              </w:rPr>
            </w:r>
            <w:r>
              <w:rPr>
                <w:sz w:val="16"/>
              </w:rPr>
              <w:t>n/a</w:t>
            </w:r>
          </w:p>
        </w:tc>
        <w:tc>
          <w:tcPr>
            <w:tcW w:type="dxa" w:w="1080"/>
          </w:tcPr>
          <w:p>
            <w:pPr>
              <w:spacing w:after="40"/>
            </w:pPr>
            <w:r>
              <w:rPr>
                <w:sz w:val="16"/>
              </w:rPr>
            </w:r>
            <w:r>
              <w:rPr>
                <w:sz w:val="16"/>
              </w:rPr>
              <w:t>conflitto assembleare; il Tribunale di Milano sospende la delibera del collegio sindacale</w:t>
            </w:r>
          </w:p>
        </w:tc>
        <w:tc>
          <w:tcPr>
            <w:tcW w:type="dxa" w:w="1080"/>
          </w:tcPr>
          <w:p>
            <w:pPr>
              <w:spacing w:after="40"/>
            </w:pPr>
            <w:r>
              <w:rPr>
                <w:sz w:val="16"/>
              </w:rPr>
            </w:r>
            <w:r>
              <w:rPr>
                <w:sz w:val="16"/>
              </w:rPr>
              <w:t>n/a</w:t>
            </w:r>
          </w:p>
        </w:tc>
        <w:tc>
          <w:tcPr>
            <w:tcW w:type="dxa" w:w="1080"/>
          </w:tcPr>
          <w:p>
            <w:pPr>
              <w:spacing w:after="40"/>
            </w:pPr>
            <w:r>
              <w:rPr>
                <w:sz w:val="16"/>
              </w:rPr>
            </w:r>
            <w:r>
              <w:rPr>
                <w:sz w:val="16"/>
              </w:rPr>
              <w:t>n/a</w:t>
            </w:r>
          </w:p>
        </w:tc>
        <w:tc>
          <w:tcPr>
            <w:tcW w:type="dxa" w:w="1080"/>
          </w:tcPr>
          <w:p>
            <w:pPr>
              <w:spacing w:after="40"/>
            </w:pPr>
            <w:r>
              <w:rPr>
                <w:sz w:val="16"/>
              </w:rPr>
            </w:r>
            <w:r>
              <w:rPr>
                <w:sz w:val="16"/>
              </w:rPr>
              <w:t>~10 giorni di ritardo sul percorso contestato</w:t>
            </w:r>
          </w:p>
        </w:tc>
      </w:tr>
    </w:tbl>
    <w:p/>
    <w:p>
      <w:r>
        <w:t xml:space="preserve">Tre letture che emergono dall'insieme: la riapertura dei termini muove molto (+22/+24 punti) ma raramente abbasta; il vero discriminante è la percentuale della </w:t>
      </w:r>
      <w:r>
        <w:rPr>
          <w:b/>
        </w:rPr>
        <w:t>prima fase</w:t>
      </w:r>
      <w:r>
        <w:t xml:space="preserve"> (nei casi con delisting rapido era già ≥90%); </w:t>
      </w:r>
      <w:r>
        <w:rPr>
          <w:b/>
        </w:rPr>
        <w:t>non esiste un precedente italiano in cui una prima fase sotto il 70% sia poi arrivata al 90%</w:t>
      </w:r>
      <w:r>
        <w:t>.</w:t>
      </w:r>
    </w:p>
    <w:p>
      <w:r>
        <w:br w:type="page"/>
      </w:r>
    </w:p>
    <w:p>
      <w:pPr>
        <w:pStyle w:val="Heading1"/>
      </w:pPr>
      <w:r>
        <w:t>PARTE II — ANALISI E CONCLUSIONI</w:t>
      </w:r>
    </w:p>
    <w:p>
      <w:pPr>
        <w:pStyle w:val="IntenseQuote"/>
      </w:pPr>
      <w:r>
        <w:t>Quanto segue è il prodotto di ragionamento sui fatti della Parte I. È difendibile ma non è fatto accertato. Presentalo come analisi.</w:t>
      </w:r>
    </w:p>
    <w:p>
      <w:pPr>
        <w:pStyle w:val="Heading2"/>
      </w:pPr>
      <w:r>
        <w:t>9. Nodo A — Le soglie di adesione</w:t>
      </w:r>
    </w:p>
    <w:p>
      <w:pPr>
        <w:pStyle w:val="Heading3"/>
      </w:pPr>
      <w:r>
        <w:t>9.1 L'aritmetica del libro soci: il 90% dipende da due azionisti</w:t>
      </w:r>
    </w:p>
    <w:p>
      <w:r>
        <w:t>Partendo da un capitale di 100 e da ISP allo 0,075%:</w:t>
      </w:r>
    </w:p>
    <w:p>
      <w:pPr>
        <w:pStyle w:val="ListBullet"/>
      </w:pPr>
      <w:r>
        <w:t xml:space="preserve">Delfin (17,53%) + Caltagirone (13,49%) = </w:t>
      </w:r>
      <w:r>
        <w:rPr>
          <w:b/>
        </w:rPr>
        <w:t>31,02%</w:t>
      </w:r>
      <w:r>
        <w:t xml:space="preserve">. Se nessuno dei due aderisce, il massimo teorico è </w:t>
      </w:r>
      <w:r>
        <w:rPr>
          <w:b/>
        </w:rPr>
        <w:t>68,98%</w:t>
      </w:r>
      <w:r>
        <w:t xml:space="preserve">; aggiungendo Banco BPM (3,74%), </w:t>
      </w:r>
      <w:r>
        <w:rPr>
          <w:b/>
        </w:rPr>
        <w:t>65,24%</w:t>
      </w:r>
      <w:r>
        <w:t>.</w:t>
      </w:r>
    </w:p>
    <w:p>
      <w:pPr>
        <w:pStyle w:val="ListBullet"/>
      </w:pPr>
      <w:r>
        <w:t xml:space="preserve">Con l'adesione del solo Delfin il massimo è </w:t>
      </w:r>
      <w:r>
        <w:rPr>
          <w:b/>
        </w:rPr>
        <w:t>86,5%</w:t>
      </w:r>
      <w:r>
        <w:t xml:space="preserve">; con il solo Caltagirone, </w:t>
      </w:r>
      <w:r>
        <w:rPr>
          <w:b/>
        </w:rPr>
        <w:t>82,5%</w:t>
      </w:r>
      <w:r>
        <w:t xml:space="preserve">. In entrambi i casi </w:t>
      </w:r>
      <w:r>
        <w:rPr>
          <w:b/>
        </w:rPr>
        <w:t>il 90% è aritmeticamente inaccessibile</w:t>
      </w:r>
      <w:r>
        <w:t>.</w:t>
      </w:r>
    </w:p>
    <w:p>
      <w:pPr>
        <w:pStyle w:val="ListBullet"/>
      </w:pPr>
      <w:r>
        <w:t xml:space="preserve">Con l'adesione di entrambi restano da raccogliere 58,9 punti sui 68,9 detenuti da tutti gli altri soci, cioè </w:t>
      </w:r>
      <w:r>
        <w:rPr>
          <w:b/>
        </w:rPr>
        <w:t>l'85,5% del resto del capitale</w:t>
      </w:r>
      <w:r>
        <w:t>. Il margine per il residuo inerte (retail, tracker, dormienti) è di 14,5 punti di quel bucket, e i soli fondi indicizzati (BlackRock, Vanguard, Norges) ne pesano circa 15.</w:t>
      </w:r>
    </w:p>
    <w:p>
      <w:pPr>
        <w:pStyle w:val="ListBullet"/>
      </w:pPr>
      <w:r>
        <w:t xml:space="preserve">Anche il </w:t>
      </w:r>
      <w:r>
        <w:rPr>
          <w:b/>
        </w:rPr>
        <w:t>66,67%</w:t>
      </w:r>
      <w:r>
        <w:t xml:space="preserve"> non è scontato senza i due: richiederebbe il 96,7% di tutto il resto.</w:t>
      </w:r>
    </w:p>
    <w:p>
      <w:r>
        <w:rPr>
          <w:b/>
        </w:rPr>
        <w:t>Conclusione</w:t>
      </w:r>
      <w:r>
        <w:t xml:space="preserve">: il ramo sotto-90% non è una coda di distribuzione, è </w:t>
      </w:r>
      <w:r>
        <w:rPr>
          <w:b/>
        </w:rPr>
        <w:t>lo scenario centrale da pianificare</w:t>
      </w:r>
      <w:r>
        <w:t>; il 90% va trattato come upside da massimizzare. Il caso Banco BPM Vita/Anima, fermatosi a 89,949% (5 punti base sotto la soglia) con l'emittente ancora quotato 17 mesi dopo, misura quanto sia discontinua la soglia.</w:t>
      </w:r>
    </w:p>
    <w:p>
      <w:pPr>
        <w:pStyle w:val="Heading3"/>
      </w:pPr>
      <w:r>
        <w:t>9.2 Il sotto-90% non è uno stallo: è un binario lento</w:t>
      </w:r>
    </w:p>
    <w:p>
      <w:r>
        <w:rPr>
          <w:b/>
        </w:rPr>
        <w:t>Ciò che ISP ottiene al settlement non dipende dal 90%.</w:t>
      </w:r>
      <w:r>
        <w:t xml:space="preserve"> Alla Data di Pagamento, anche solo al 67%, ISP acquisisce il controllo di diritto e la maggioranza dell'assemblea ordinaria, </w:t>
      </w:r>
      <w:r>
        <w:rPr>
          <w:b/>
        </w:rPr>
        <w:t>consolida</w:t>
      </w:r>
      <w:r>
        <w:t xml:space="preserve"> MPS dalla data di acquisizione (IFRS 10.B35: rileva il </w:t>
      </w:r>
      <w:r>
        <w:rPr>
          <w:i/>
        </w:rPr>
        <w:t>potere</w:t>
      </w:r>
      <w:r>
        <w:t xml:space="preserve"> di nominare la maggioranza dell'organo, non il fatto che il rinnovo sia già avvenuto — nel precedente MPS/Mediobanca il controllo è stato riconosciuto dal 15 settembre 2025 con il nuovo consiglio nominato il 28 ottobre), nomina il nuovo CdA e, se sopra il 66,67%, dispone della maggioranza qualificata per deliberare la fusione.</w:t>
      </w:r>
    </w:p>
    <w:p>
      <w:r>
        <w:rPr>
          <w:b/>
        </w:rPr>
        <w:t>Ciò che non ottiene sono due cose sole</w:t>
      </w:r>
      <w:r>
        <w:t>: le azioni residue e il delisting. Sotto il 90% non esiste alcuno strumento coattivo: né l'art. 108 c. 2 né l'art. 111 sono azionabili, e il socio che non ha aderito ha il diritto di restare.</w:t>
      </w:r>
    </w:p>
    <w:p>
      <w:r>
        <w:rPr>
          <w:b/>
        </w:rPr>
        <w:t>Lo strumento che elimina le minoranze senza il loro consenso è la fusione.</w:t>
      </w:r>
      <w:r>
        <w:t xml:space="preserve"> Con l'efficacia della fusione le azioni MPS sono annullate e concambiate in azioni ISP per effetto di legge. Non serve il consenso delle minoranze; </w:t>
      </w:r>
      <w:r>
        <w:rPr>
          <w:b/>
        </w:rPr>
        <w:t>non spetta loro il diritto di recesso</w:t>
      </w:r>
      <w:r>
        <w:t>, perché riceverebbero azioni ISP quotate su Euronext Milan e quindi non opera l'art. 2437-quinquies c.c.; una volta iscritto l'atto di fusione l'invalidità non è più pronunciabile (art. 2504-quater c.c.) e il contenzioso si sposta dal piano dell'impugnativa a quello risarcitorio.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p>
        </w:tc>
        <w:tc>
          <w:tcPr>
            <w:tcW w:type="dxa" w:w="2880"/>
          </w:tcPr>
          <w:p>
            <w:pPr>
              <w:spacing w:after="40"/>
            </w:pPr>
            <w:r>
              <w:rPr>
                <w:b/>
                <w:sz w:val="16"/>
              </w:rPr>
            </w:r>
            <w:r>
              <w:rPr>
                <w:b/>
                <w:sz w:val="16"/>
              </w:rPr>
              <w:t>≥90%</w:t>
            </w:r>
          </w:p>
        </w:tc>
        <w:tc>
          <w:tcPr>
            <w:tcW w:type="dxa" w:w="2880"/>
          </w:tcPr>
          <w:p>
            <w:pPr>
              <w:spacing w:after="40"/>
            </w:pPr>
            <w:r>
              <w:rPr>
                <w:b/>
                <w:sz w:val="16"/>
              </w:rPr>
            </w:r>
            <w:r>
              <w:rPr>
                <w:b/>
                <w:sz w:val="16"/>
              </w:rPr>
              <w:t>67-89%</w:t>
            </w:r>
          </w:p>
        </w:tc>
      </w:tr>
      <w:tr>
        <w:tc>
          <w:tcPr>
            <w:tcW w:type="dxa" w:w="2880"/>
          </w:tcPr>
          <w:p>
            <w:pPr>
              <w:spacing w:after="40"/>
            </w:pPr>
            <w:r>
              <w:rPr>
                <w:sz w:val="16"/>
              </w:rPr>
            </w:r>
            <w:r>
              <w:rPr>
                <w:sz w:val="16"/>
              </w:rPr>
              <w:t>Controllo e consolidamento</w:t>
            </w:r>
          </w:p>
        </w:tc>
        <w:tc>
          <w:tcPr>
            <w:tcW w:type="dxa" w:w="2880"/>
          </w:tcPr>
          <w:p>
            <w:pPr>
              <w:spacing w:after="40"/>
            </w:pPr>
            <w:r>
              <w:rPr>
                <w:sz w:val="16"/>
              </w:rPr>
            </w:r>
            <w:r>
              <w:rPr>
                <w:sz w:val="16"/>
              </w:rPr>
              <w:t>dal settlement</w:t>
            </w:r>
          </w:p>
        </w:tc>
        <w:tc>
          <w:tcPr>
            <w:tcW w:type="dxa" w:w="2880"/>
          </w:tcPr>
          <w:p>
            <w:pPr>
              <w:spacing w:after="40"/>
            </w:pPr>
            <w:r>
              <w:rPr>
                <w:sz w:val="16"/>
              </w:rPr>
            </w:r>
            <w:r>
              <w:rPr>
                <w:b/>
                <w:sz w:val="16"/>
              </w:rPr>
              <w:t>dal settlement, identico</w:t>
            </w:r>
          </w:p>
        </w:tc>
      </w:tr>
      <w:tr>
        <w:tc>
          <w:tcPr>
            <w:tcW w:type="dxa" w:w="2880"/>
          </w:tcPr>
          <w:p>
            <w:pPr>
              <w:spacing w:after="40"/>
            </w:pPr>
            <w:r>
              <w:rPr>
                <w:sz w:val="16"/>
              </w:rPr>
            </w:r>
            <w:r>
              <w:rPr>
                <w:sz w:val="16"/>
              </w:rPr>
              <w:t>Nomina del nuovo CdA</w:t>
            </w:r>
          </w:p>
        </w:tc>
        <w:tc>
          <w:tcPr>
            <w:tcW w:type="dxa" w:w="2880"/>
          </w:tcPr>
          <w:p>
            <w:pPr>
              <w:spacing w:after="40"/>
            </w:pPr>
            <w:r>
              <w:rPr>
                <w:sz w:val="16"/>
              </w:rPr>
            </w:r>
            <w:r>
              <w:rPr>
                <w:sz w:val="16"/>
              </w:rPr>
              <w:t>sì</w:t>
            </w:r>
          </w:p>
        </w:tc>
        <w:tc>
          <w:tcPr>
            <w:tcW w:type="dxa" w:w="2880"/>
          </w:tcPr>
          <w:p>
            <w:pPr>
              <w:spacing w:after="40"/>
            </w:pPr>
            <w:r>
              <w:rPr>
                <w:sz w:val="16"/>
              </w:rPr>
            </w:r>
            <w:r>
              <w:rPr>
                <w:b/>
                <w:sz w:val="16"/>
              </w:rPr>
              <w:t>sì, identico</w:t>
            </w:r>
          </w:p>
        </w:tc>
      </w:tr>
      <w:tr>
        <w:tc>
          <w:tcPr>
            <w:tcW w:type="dxa" w:w="2880"/>
          </w:tcPr>
          <w:p>
            <w:pPr>
              <w:spacing w:after="40"/>
            </w:pPr>
            <w:r>
              <w:rPr>
                <w:sz w:val="16"/>
              </w:rPr>
            </w:r>
            <w:r>
              <w:rPr>
                <w:sz w:val="16"/>
              </w:rPr>
              <w:t>Passaggio al 100%</w:t>
            </w:r>
          </w:p>
        </w:tc>
        <w:tc>
          <w:tcPr>
            <w:tcW w:type="dxa" w:w="2880"/>
          </w:tcPr>
          <w:p>
            <w:pPr>
              <w:spacing w:after="40"/>
            </w:pPr>
            <w:r>
              <w:rPr>
                <w:sz w:val="16"/>
              </w:rPr>
            </w:r>
            <w:r>
              <w:rPr>
                <w:sz w:val="16"/>
              </w:rPr>
              <w:t>procedura congiunta, 4-8 settimane</w:t>
            </w:r>
          </w:p>
        </w:tc>
        <w:tc>
          <w:tcPr>
            <w:tcW w:type="dxa" w:w="2880"/>
          </w:tcPr>
          <w:p>
            <w:pPr>
              <w:spacing w:after="40"/>
            </w:pPr>
            <w:r>
              <w:rPr>
                <w:sz w:val="16"/>
              </w:rPr>
            </w:r>
            <w:r>
              <w:rPr>
                <w:sz w:val="16"/>
              </w:rPr>
              <w:t>fusione, 8-15 mesi</w:t>
            </w:r>
          </w:p>
        </w:tc>
      </w:tr>
      <w:tr>
        <w:tc>
          <w:tcPr>
            <w:tcW w:type="dxa" w:w="2880"/>
          </w:tcPr>
          <w:p>
            <w:pPr>
              <w:spacing w:after="40"/>
            </w:pPr>
            <w:r>
              <w:rPr>
                <w:sz w:val="16"/>
              </w:rPr>
            </w:r>
            <w:r>
              <w:rPr>
                <w:sz w:val="16"/>
              </w:rPr>
              <w:t>Delisting</w:t>
            </w:r>
          </w:p>
        </w:tc>
        <w:tc>
          <w:tcPr>
            <w:tcW w:type="dxa" w:w="2880"/>
          </w:tcPr>
          <w:p>
            <w:pPr>
              <w:spacing w:after="40"/>
            </w:pPr>
            <w:r>
              <w:rPr>
                <w:sz w:val="16"/>
              </w:rPr>
            </w:r>
            <w:r>
              <w:rPr>
                <w:sz w:val="16"/>
              </w:rPr>
              <w:t>feb–mar 2027</w:t>
            </w:r>
          </w:p>
        </w:tc>
        <w:tc>
          <w:tcPr>
            <w:tcW w:type="dxa" w:w="2880"/>
          </w:tcPr>
          <w:p>
            <w:pPr>
              <w:spacing w:after="40"/>
            </w:pPr>
            <w:r>
              <w:rPr>
                <w:sz w:val="16"/>
              </w:rPr>
            </w:r>
            <w:r>
              <w:rPr>
                <w:sz w:val="16"/>
              </w:rPr>
              <w:t>set 2027 – mar 2028</w:t>
            </w:r>
          </w:p>
        </w:tc>
      </w:tr>
      <w:tr>
        <w:tc>
          <w:tcPr>
            <w:tcW w:type="dxa" w:w="2880"/>
          </w:tcPr>
          <w:p>
            <w:pPr>
              <w:spacing w:after="40"/>
            </w:pPr>
            <w:r>
              <w:rPr>
                <w:sz w:val="16"/>
              </w:rPr>
            </w:r>
            <w:r>
              <w:rPr>
                <w:sz w:val="16"/>
              </w:rPr>
              <w:t>Strumento</w:t>
            </w:r>
          </w:p>
        </w:tc>
        <w:tc>
          <w:tcPr>
            <w:tcW w:type="dxa" w:w="2880"/>
          </w:tcPr>
          <w:p>
            <w:pPr>
              <w:spacing w:after="40"/>
            </w:pPr>
            <w:r>
              <w:rPr>
                <w:sz w:val="16"/>
              </w:rPr>
            </w:r>
            <w:r>
              <w:rPr>
                <w:sz w:val="16"/>
              </w:rPr>
              <w:t>artt. 111 e 108 TUF</w:t>
            </w:r>
          </w:p>
        </w:tc>
        <w:tc>
          <w:tcPr>
            <w:tcW w:type="dxa" w:w="2880"/>
          </w:tcPr>
          <w:p>
            <w:pPr>
              <w:spacing w:after="40"/>
            </w:pPr>
            <w:r>
              <w:rPr>
                <w:sz w:val="16"/>
              </w:rPr>
            </w:r>
            <w:r>
              <w:rPr>
                <w:sz w:val="16"/>
              </w:rPr>
              <w:t>artt. 2501 e ss. c.c. + art. 57 TUB</w:t>
            </w:r>
          </w:p>
        </w:tc>
      </w:tr>
      <w:tr>
        <w:tc>
          <w:tcPr>
            <w:tcW w:type="dxa" w:w="2880"/>
          </w:tcPr>
          <w:p>
            <w:pPr>
              <w:spacing w:after="40"/>
            </w:pPr>
            <w:r>
              <w:rPr>
                <w:sz w:val="16"/>
              </w:rPr>
            </w:r>
            <w:r>
              <w:rPr>
                <w:sz w:val="16"/>
              </w:rPr>
              <w:t>Consenso delle minoranze</w:t>
            </w:r>
          </w:p>
        </w:tc>
        <w:tc>
          <w:tcPr>
            <w:tcW w:type="dxa" w:w="2880"/>
          </w:tcPr>
          <w:p>
            <w:pPr>
              <w:spacing w:after="40"/>
            </w:pPr>
            <w:r>
              <w:rPr>
                <w:sz w:val="16"/>
              </w:rPr>
            </w:r>
            <w:r>
              <w:rPr>
                <w:sz w:val="16"/>
              </w:rPr>
              <w:t>non richiesto</w:t>
            </w:r>
          </w:p>
        </w:tc>
        <w:tc>
          <w:tcPr>
            <w:tcW w:type="dxa" w:w="2880"/>
          </w:tcPr>
          <w:p>
            <w:pPr>
              <w:spacing w:after="40"/>
            </w:pPr>
            <w:r>
              <w:rPr>
                <w:sz w:val="16"/>
              </w:rPr>
            </w:r>
            <w:r>
              <w:rPr>
                <w:sz w:val="16"/>
              </w:rPr>
              <w:t>non richiesto</w:t>
            </w:r>
          </w:p>
        </w:tc>
      </w:tr>
      <w:tr>
        <w:tc>
          <w:tcPr>
            <w:tcW w:type="dxa" w:w="2880"/>
          </w:tcPr>
          <w:p>
            <w:pPr>
              <w:spacing w:after="40"/>
            </w:pPr>
            <w:r>
              <w:rPr>
                <w:sz w:val="16"/>
              </w:rPr>
            </w:r>
            <w:r>
              <w:rPr>
                <w:sz w:val="16"/>
              </w:rPr>
              <w:t>Esborso di cassa aggiuntivo</w:t>
            </w:r>
          </w:p>
        </w:tc>
        <w:tc>
          <w:tcPr>
            <w:tcW w:type="dxa" w:w="2880"/>
          </w:tcPr>
          <w:p>
            <w:pPr>
              <w:spacing w:after="40"/>
            </w:pPr>
            <w:r>
              <w:rPr>
                <w:sz w:val="16"/>
              </w:rPr>
            </w:r>
            <w:r>
              <w:rPr>
                <w:sz w:val="16"/>
              </w:rPr>
              <w:t xml:space="preserve">corrispettivo in azioni + 1 euro, nessuna </w:t>
            </w:r>
            <w:r>
              <w:rPr>
                <w:i/>
                <w:sz w:val="16"/>
              </w:rPr>
              <w:t>cash alternative</w:t>
            </w:r>
          </w:p>
        </w:tc>
        <w:tc>
          <w:tcPr>
            <w:tcW w:type="dxa" w:w="2880"/>
          </w:tcPr>
          <w:p>
            <w:pPr>
              <w:spacing w:after="40"/>
            </w:pPr>
            <w:r>
              <w:rPr>
                <w:sz w:val="16"/>
              </w:rPr>
            </w:r>
            <w:r>
              <w:rPr>
                <w:sz w:val="16"/>
              </w:rPr>
              <w:t>nessuno, nessun recesso</w:t>
            </w:r>
          </w:p>
        </w:tc>
      </w:tr>
    </w:tbl>
    <w:p/>
    <w:p>
      <w:pPr>
        <w:pStyle w:val="Heading3"/>
      </w:pPr>
      <w:r>
        <w:t>9.3 La cascata degli esiti</w:t>
      </w:r>
    </w:p>
    <w:p>
      <w:r>
        <w:rPr>
          <w:b/>
        </w:rPr>
        <w:t>Ramo A1 — ≥90% alla chiusura.</w:t>
      </w:r>
      <w:r>
        <w:t xml:space="preserve"> Scattano insieme sell-out e squeeze-out; la riapertura non si applicherebbe comunque per l'esenzione dell'art. 40-bis c. 3 lett. b). Sequenza: comunicato risultati definitivi; settlement; 1-2 settimane per l'accordo con Consob e Borsa e i comunicati; 15-25 giorni di borsa aperta di periodo per le richieste di vendita; regolamento, deposito del prezzo, trasferimento ex art. 111 c. 3, sospensione e revoca dalla quotazione. </w:t>
      </w:r>
      <w:r>
        <w:rPr>
          <w:b/>
        </w:rPr>
        <w:t>Stima 4-8 settimane dal settlement</w:t>
      </w:r>
      <w:r>
        <w:t>, quindi delisting fra la seconda metà di febbraio e la prima metà di marzo 2027. I precedenti (ISP/UBI 2 mesi, Unipol/UnipolSai 2 mesi, Ifis/illimity 2,5 mesi) erano tutti sotto il vecchio regime a due gradini: il nuovo art. 111 consente di saltare il sell-out intermedio.</w:t>
      </w:r>
    </w:p>
    <w:p>
      <w:pPr>
        <w:pStyle w:val="IntenseQuote"/>
      </w:pPr>
      <w:r>
        <w:rPr>
          <w:b/>
        </w:rPr>
        <w:t>Due trappole di pricing.</w:t>
      </w:r>
      <w:r>
        <w:t xml:space="preserve"> (1) Se il superamento del 90% dipende in parte da </w:t>
      </w:r>
      <w:r>
        <w:rPr>
          <w:b/>
        </w:rPr>
        <w:t>acquisti successivi al settlement</w:t>
      </w:r>
      <w:r>
        <w:t xml:space="preserve">, viene meno il requisito "esclusivamente a seguito di offerta pubblica totalitaria" e il corrispettivo passa alla determinazione Consob ex art. 108 c. 4, in via ordinaria in forma </w:t>
      </w:r>
      <w:r>
        <w:rPr>
          <w:b/>
        </w:rPr>
        <w:t>monetaria</w:t>
      </w:r>
      <w:r>
        <w:t xml:space="preserve">: su un residuo del 10% significa un'uscita di cassa non pianificata nell'ordine di </w:t>
      </w:r>
      <w:r>
        <w:rPr>
          <w:b/>
        </w:rPr>
        <w:t>3 miliardi</w:t>
      </w:r>
      <w:r>
        <w:t xml:space="preserve"> e 4-6 settimane di ritardo. Gli acquisti effettuati </w:t>
      </w:r>
      <w:r>
        <w:rPr>
          <w:b/>
        </w:rPr>
        <w:t>durante</w:t>
      </w:r>
      <w:r>
        <w:t xml:space="preserve"> il periodo di adesione sono invece computati nelle adesioni (art. 50 c. 9 lett. a) n. ii Reg. Emittenti): se si compra, si compra prima della chiusura. (2) Se il 90% si raggiunge grazie al criterio dichiarato sulle </w:t>
      </w:r>
      <w:r>
        <w:rPr>
          <w:b/>
        </w:rPr>
        <w:t>azioni proprie</w:t>
      </w:r>
      <w:r>
        <w:t xml:space="preserve">, il test dell'art. 108 c. 3 (≥90% del capitale </w:t>
      </w:r>
      <w:r>
        <w:rPr>
          <w:i/>
        </w:rPr>
        <w:t>compreso nell'offerta</w:t>
      </w:r>
      <w:r>
        <w:t>) può non essere soddisfatto, con lo stesso effetto. Entrambi i punti vanno riconciliati numericamente prima della chiusura.</w:t>
      </w:r>
    </w:p>
    <w:p>
      <w:r>
        <w:rPr>
          <w:b/>
        </w:rPr>
        <w:t>Ramo A2 — 85-89,9%.</w:t>
      </w:r>
      <w:r>
        <w:t xml:space="preserve"> Nessun delisting automatico. Leve residue in ordine di preferenza: riapertura volontaria dei termini (+22/+24 punti nei precedenti); proroga del periodo di adesione (residuano ~3 giorni entro il tetto di 40); acquisti sul mercato post-settlement, con le trappole di pricing viste sopra e con l'esercitabilità dell'art. 111 su un 90% raggiunto per soli acquisti di mercato non testualmente pacifica; seconda OPA volontaria, con l'avvertenza del </w:t>
      </w:r>
      <w:r>
        <w:rPr>
          <w:i/>
        </w:rPr>
        <w:t>put up or shut up</w:t>
      </w:r>
      <w:r>
        <w:t xml:space="preserve"> dell'art. 102 c. 8 TUF (silenzio o diniego dopo un termine fissato da Consob comporta il divieto di offerte per dodici mesi).</w:t>
      </w:r>
    </w:p>
    <w:p>
      <w:r>
        <w:rPr>
          <w:b/>
        </w:rPr>
        <w:t>Ramo A3 — 66,67-84,9% (ramo probabile).</w:t>
      </w:r>
      <w:r>
        <w:t xml:space="preserve"> Delisting solo via fusione: progetto approvato dai due CdA; autorizzazione BCE ex art. 57 TUB (6-13 settimane; per MPS/MB richiesta a metà luglio 2026 e autorizzazione il 3 settembre 2026); deposito del progetto almeno 30 giorni prima dell'assemblea; relazione dell'esperto ex art. 2501-sexies; doppio documento informativo OPC; assemblee straordinarie con i due terzi del capitale rappresentato; opposizione dei creditori </w:t>
      </w:r>
      <w:r>
        <w:rPr>
          <w:b/>
        </w:rPr>
        <w:t>ridotta a 15 giorni</w:t>
      </w:r>
      <w:r>
        <w:t xml:space="preserve"> per le banche ex art. 57 TUB; consultazioni sindacali ex art. 47 L. 428/1990. </w:t>
      </w:r>
      <w:r>
        <w:rPr>
          <w:b/>
        </w:rPr>
        <w:t>Durata 8-15 mesi</w:t>
      </w:r>
      <w:r>
        <w:t>: delisting fra settembre 2027 e marzo 2028.</w:t>
      </w:r>
    </w:p>
    <w:p>
      <w:pPr>
        <w:pStyle w:val="IntenseQuote"/>
      </w:pPr>
      <w:r>
        <w:rPr>
          <w:b/>
        </w:rPr>
        <w:t>Aritmetica dei due terzi, ed è la ragione d'essere della Condizione Soglia.</w:t>
      </w:r>
      <w:r>
        <w:t xml:space="preserve"> Se ISP detiene almeno il 66,67% del capitale, la maggioranza dei due terzi del capitale </w:t>
      </w:r>
      <w:r>
        <w:rPr>
          <w:i/>
        </w:rPr>
        <w:t>rappresentato</w:t>
      </w:r>
      <w:r>
        <w:t xml:space="preserve"> in assemblea straordinaria è </w:t>
      </w:r>
      <w:r>
        <w:rPr>
          <w:b/>
        </w:rPr>
        <w:t>garantita qualunque sia l'affluenza</w:t>
      </w:r>
      <w:r>
        <w:t>, perché gli altri soci non possono rappresentare più del 33,33%. È per questo che la soglia è fissata lì e non al 50% più un'azione. Sotto il 66,67% la fusione diventa una funzione dell'affluenza: il break-even è la quota ISP divisa per 0,6667 (ISP al 60% → 90% di affluenza; ISP al 55% → 82,5%). All'assemblea MPS del 15 aprile 2026 l'affluenza è stata di circa il 65% del capitale, ma un'assemblea di fusione contestata mobiliterebbe molto di più.</w:t>
      </w:r>
    </w:p>
    <w:p>
      <w:r>
        <w:rPr>
          <w:b/>
        </w:rPr>
        <w:t>Ramo A4 — sotto il 66,67%.</w:t>
      </w:r>
      <w:r>
        <w:t xml:space="preserve"> Solo se ISP rinuncia alla Condizione Soglia. Controllo ordinario sì, maggioranza straordinaria non garantita, nessuna via certa al delisting, struttura con minoranze del 40%+ potenzialmente a tempo indeterminato, remedy Unipol da ridisegnare integralmente. </w:t>
      </w:r>
      <w:r>
        <w:rPr>
          <w:b/>
        </w:rPr>
        <w:t>È qui che si colloca il rischio di stallo vero.</w:t>
      </w:r>
      <w:r>
        <w:t xml:space="preserve"> L'OPA da consolidamento (art. 106 c. 3 lett. b), ora al 10%) non scatta, perché presuppone che il soggetto non abbia la maggioranza in assemblea ordinaria.</w:t>
      </w:r>
    </w:p>
    <w:p>
      <w:r>
        <w:rPr>
          <w:b/>
        </w:rPr>
        <w:t>Strumenti non disponibili nella finestra temporale</w:t>
      </w:r>
      <w:r>
        <w:t>: l'acquisto totalitario ex art. 112-bis TUF (attuazione Consob attesa entro il 29 aprile 2027 e comunque soggetto a un whitewash che consegna un veto alle minoranze) e il down-listing su MTF ex art. 133 c. 1-bis TUF (stessa attuazione, preavviso di due mesi e diritto di recesso ex art. 2437-quinquies c.c.).</w:t>
      </w:r>
    </w:p>
    <w:p>
      <w:pPr>
        <w:pStyle w:val="Heading3"/>
      </w:pPr>
      <w:r>
        <w:t>9.4 Su cosa variano gli scenari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pPr>
            <w:r>
              <w:rPr>
                <w:b/>
                <w:sz w:val="16"/>
              </w:rPr>
            </w:r>
            <w:r>
              <w:rPr>
                <w:b/>
                <w:sz w:val="16"/>
              </w:rPr>
              <w:t>#</w:t>
            </w:r>
          </w:p>
        </w:tc>
        <w:tc>
          <w:tcPr>
            <w:tcW w:type="dxa" w:w="2160"/>
          </w:tcPr>
          <w:p>
            <w:pPr>
              <w:spacing w:after="40"/>
            </w:pPr>
            <w:r>
              <w:rPr>
                <w:b/>
                <w:sz w:val="16"/>
              </w:rPr>
            </w:r>
            <w:r>
              <w:rPr>
                <w:b/>
                <w:sz w:val="16"/>
              </w:rPr>
              <w:t>Dimensione</w:t>
            </w:r>
          </w:p>
        </w:tc>
        <w:tc>
          <w:tcPr>
            <w:tcW w:type="dxa" w:w="2160"/>
          </w:tcPr>
          <w:p>
            <w:pPr>
              <w:spacing w:after="40"/>
            </w:pPr>
            <w:r>
              <w:rPr>
                <w:b/>
                <w:sz w:val="16"/>
              </w:rPr>
            </w:r>
            <w:r>
              <w:rPr>
                <w:b/>
                <w:sz w:val="16"/>
              </w:rPr>
              <w:t>≥90%</w:t>
            </w:r>
          </w:p>
        </w:tc>
        <w:tc>
          <w:tcPr>
            <w:tcW w:type="dxa" w:w="2160"/>
          </w:tcPr>
          <w:p>
            <w:pPr>
              <w:spacing w:after="40"/>
            </w:pPr>
            <w:r>
              <w:rPr>
                <w:b/>
                <w:sz w:val="16"/>
              </w:rPr>
            </w:r>
            <w:r>
              <w:rPr>
                <w:b/>
                <w:sz w:val="16"/>
              </w:rPr>
              <w:t>Sotto il 90%</w:t>
            </w:r>
          </w:p>
        </w:tc>
      </w:tr>
      <w:tr>
        <w:tc>
          <w:tcPr>
            <w:tcW w:type="dxa" w:w="2160"/>
          </w:tcPr>
          <w:p>
            <w:pPr>
              <w:spacing w:after="40"/>
            </w:pPr>
            <w:r>
              <w:rPr>
                <w:sz w:val="16"/>
              </w:rPr>
            </w:r>
            <w:r>
              <w:rPr>
                <w:sz w:val="16"/>
              </w:rPr>
              <w:t>1</w:t>
            </w:r>
          </w:p>
        </w:tc>
        <w:tc>
          <w:tcPr>
            <w:tcW w:type="dxa" w:w="2160"/>
          </w:tcPr>
          <w:p>
            <w:pPr>
              <w:spacing w:after="40"/>
            </w:pPr>
            <w:r>
              <w:rPr>
                <w:sz w:val="16"/>
              </w:rPr>
            </w:r>
            <w:r>
              <w:rPr>
                <w:sz w:val="16"/>
              </w:rPr>
              <w:t>Delisting</w:t>
            </w:r>
          </w:p>
        </w:tc>
        <w:tc>
          <w:tcPr>
            <w:tcW w:type="dxa" w:w="2160"/>
          </w:tcPr>
          <w:p>
            <w:pPr>
              <w:spacing w:after="40"/>
            </w:pPr>
            <w:r>
              <w:rPr>
                <w:sz w:val="16"/>
              </w:rPr>
            </w:r>
            <w:r>
              <w:rPr>
                <w:sz w:val="16"/>
              </w:rPr>
              <w:t>feb–mar 2027</w:t>
            </w:r>
          </w:p>
        </w:tc>
        <w:tc>
          <w:tcPr>
            <w:tcW w:type="dxa" w:w="2160"/>
          </w:tcPr>
          <w:p>
            <w:pPr>
              <w:spacing w:after="40"/>
            </w:pPr>
            <w:r>
              <w:rPr>
                <w:sz w:val="16"/>
              </w:rPr>
            </w:r>
            <w:r>
              <w:rPr>
                <w:sz w:val="16"/>
              </w:rPr>
              <w:t>set 2027 – mar 2028, solo via fusione</w:t>
            </w:r>
          </w:p>
        </w:tc>
      </w:tr>
      <w:tr>
        <w:tc>
          <w:tcPr>
            <w:tcW w:type="dxa" w:w="2160"/>
          </w:tcPr>
          <w:p>
            <w:pPr>
              <w:spacing w:after="40"/>
            </w:pPr>
            <w:r>
              <w:rPr>
                <w:sz w:val="16"/>
              </w:rPr>
            </w:r>
            <w:r>
              <w:rPr>
                <w:sz w:val="16"/>
              </w:rPr>
              <w:t>2</w:t>
            </w:r>
          </w:p>
        </w:tc>
        <w:tc>
          <w:tcPr>
            <w:tcW w:type="dxa" w:w="2160"/>
          </w:tcPr>
          <w:p>
            <w:pPr>
              <w:spacing w:after="40"/>
            </w:pPr>
            <w:r>
              <w:rPr>
                <w:sz w:val="16"/>
              </w:rPr>
            </w:r>
            <w:r>
              <w:rPr>
                <w:sz w:val="16"/>
              </w:rPr>
              <w:t>Partecipazione finale</w:t>
            </w:r>
          </w:p>
        </w:tc>
        <w:tc>
          <w:tcPr>
            <w:tcW w:type="dxa" w:w="2160"/>
          </w:tcPr>
          <w:p>
            <w:pPr>
              <w:spacing w:after="40"/>
            </w:pPr>
            <w:r>
              <w:rPr>
                <w:sz w:val="16"/>
              </w:rPr>
            </w:r>
            <w:r>
              <w:rPr>
                <w:sz w:val="16"/>
              </w:rPr>
              <w:t>100%</w:t>
            </w:r>
          </w:p>
        </w:tc>
        <w:tc>
          <w:tcPr>
            <w:tcW w:type="dxa" w:w="2160"/>
          </w:tcPr>
          <w:p>
            <w:pPr>
              <w:spacing w:after="40"/>
            </w:pPr>
            <w:r>
              <w:rPr>
                <w:sz w:val="16"/>
              </w:rPr>
            </w:r>
            <w:r>
              <w:rPr>
                <w:sz w:val="16"/>
              </w:rPr>
              <w:t>67-89%, minoranze 11-33%</w:t>
            </w:r>
          </w:p>
        </w:tc>
      </w:tr>
      <w:tr>
        <w:tc>
          <w:tcPr>
            <w:tcW w:type="dxa" w:w="2160"/>
          </w:tcPr>
          <w:p>
            <w:pPr>
              <w:spacing w:after="40"/>
            </w:pPr>
            <w:r>
              <w:rPr>
                <w:sz w:val="16"/>
              </w:rPr>
            </w:r>
            <w:r>
              <w:rPr>
                <w:sz w:val="16"/>
              </w:rPr>
              <w:t>3</w:t>
            </w:r>
          </w:p>
        </w:tc>
        <w:tc>
          <w:tcPr>
            <w:tcW w:type="dxa" w:w="2160"/>
          </w:tcPr>
          <w:p>
            <w:pPr>
              <w:spacing w:after="40"/>
            </w:pPr>
            <w:r>
              <w:rPr>
                <w:sz w:val="16"/>
              </w:rPr>
            </w:r>
            <w:r>
              <w:rPr>
                <w:sz w:val="16"/>
              </w:rPr>
              <w:t>CET1 consolidato</w:t>
            </w:r>
          </w:p>
        </w:tc>
        <w:tc>
          <w:tcPr>
            <w:tcW w:type="dxa" w:w="2160"/>
          </w:tcPr>
          <w:p>
            <w:pPr>
              <w:spacing w:after="40"/>
            </w:pPr>
            <w:r>
              <w:rPr>
                <w:sz w:val="16"/>
              </w:rPr>
            </w:r>
            <w:r>
              <w:rPr>
                <w:sz w:val="16"/>
              </w:rPr>
              <w:t>nessuna minoranza</w:t>
            </w:r>
          </w:p>
        </w:tc>
        <w:tc>
          <w:tcPr>
            <w:tcW w:type="dxa" w:w="2160"/>
          </w:tcPr>
          <w:p>
            <w:pPr>
              <w:spacing w:after="40"/>
            </w:pPr>
            <w:r>
              <w:rPr>
                <w:sz w:val="16"/>
              </w:rPr>
            </w:r>
            <w:r>
              <w:rPr>
                <w:sz w:val="16"/>
              </w:rPr>
              <w:t xml:space="preserve">minority interests riconosciuti </w:t>
            </w:r>
            <w:r>
              <w:rPr>
                <w:b/>
                <w:sz w:val="16"/>
              </w:rPr>
              <w:t>solo entro il cap dell'art. 84 CRR</w:t>
            </w:r>
            <w:r>
              <w:rPr>
                <w:sz w:val="16"/>
              </w:rPr>
              <w:t>, RWA consolidati al 100%, avviamento dedotto al 100%</w:t>
            </w:r>
          </w:p>
        </w:tc>
      </w:tr>
      <w:tr>
        <w:tc>
          <w:tcPr>
            <w:tcW w:type="dxa" w:w="2160"/>
          </w:tcPr>
          <w:p>
            <w:pPr>
              <w:spacing w:after="40"/>
            </w:pPr>
            <w:r>
              <w:rPr>
                <w:sz w:val="16"/>
              </w:rPr>
            </w:r>
            <w:r>
              <w:rPr>
                <w:sz w:val="16"/>
              </w:rPr>
              <w:t>4</w:t>
            </w:r>
          </w:p>
        </w:tc>
        <w:tc>
          <w:tcPr>
            <w:tcW w:type="dxa" w:w="2160"/>
          </w:tcPr>
          <w:p>
            <w:pPr>
              <w:spacing w:after="40"/>
            </w:pPr>
            <w:r>
              <w:rPr>
                <w:sz w:val="16"/>
              </w:rPr>
            </w:r>
            <w:r>
              <w:rPr>
                <w:sz w:val="16"/>
              </w:rPr>
              <w:t>Danish Compromise su AG</w:t>
            </w:r>
          </w:p>
        </w:tc>
        <w:tc>
          <w:tcPr>
            <w:tcW w:type="dxa" w:w="2160"/>
          </w:tcPr>
          <w:p>
            <w:pPr>
              <w:spacing w:after="40"/>
            </w:pPr>
            <w:r>
              <w:rPr>
                <w:sz w:val="16"/>
              </w:rPr>
            </w:r>
            <w:r>
              <w:rPr>
                <w:sz w:val="16"/>
              </w:rPr>
              <w:t>catena pulita</w:t>
            </w:r>
          </w:p>
        </w:tc>
        <w:tc>
          <w:tcPr>
            <w:tcW w:type="dxa" w:w="2160"/>
          </w:tcPr>
          <w:p>
            <w:pPr>
              <w:spacing w:after="40"/>
            </w:pPr>
            <w:r>
              <w:rPr>
                <w:sz w:val="16"/>
              </w:rPr>
            </w:r>
            <w:r>
              <w:rPr>
                <w:sz w:val="16"/>
              </w:rPr>
              <w:t xml:space="preserve">condizione dell'art. 49(1)(e)(v) CRR soddisfatta (serve l'inclusione nel perimetro di consolidamento, non il 100%), ma </w:t>
            </w:r>
            <w:r>
              <w:rPr>
                <w:b/>
                <w:sz w:val="16"/>
              </w:rPr>
              <w:t>beneficio in bps diluito</w:t>
            </w:r>
            <w:r>
              <w:rPr>
                <w:sz w:val="16"/>
              </w:rPr>
              <w:t xml:space="preserve">. </w:t>
            </w:r>
            <w:r>
              <w:rPr>
                <w:i/>
                <w:sz w:val="16"/>
              </w:rPr>
              <w:t>Inferenza, v. Parte III</w:t>
            </w:r>
          </w:p>
        </w:tc>
      </w:tr>
      <w:tr>
        <w:tc>
          <w:tcPr>
            <w:tcW w:type="dxa" w:w="2160"/>
          </w:tcPr>
          <w:p>
            <w:pPr>
              <w:spacing w:after="40"/>
            </w:pPr>
            <w:r>
              <w:rPr>
                <w:sz w:val="16"/>
              </w:rPr>
            </w:r>
            <w:r>
              <w:rPr>
                <w:sz w:val="16"/>
              </w:rPr>
              <w:t>5</w:t>
            </w:r>
          </w:p>
        </w:tc>
        <w:tc>
          <w:tcPr>
            <w:tcW w:type="dxa" w:w="2160"/>
          </w:tcPr>
          <w:p>
            <w:pPr>
              <w:spacing w:after="40"/>
            </w:pPr>
            <w:r>
              <w:rPr>
                <w:sz w:val="16"/>
              </w:rPr>
            </w:r>
            <w:r>
              <w:rPr>
                <w:sz w:val="16"/>
              </w:rPr>
              <w:t>Trasferimento quota AG a ISP Assicurazioni</w:t>
            </w:r>
          </w:p>
        </w:tc>
        <w:tc>
          <w:tcPr>
            <w:tcW w:type="dxa" w:w="2160"/>
          </w:tcPr>
          <w:p>
            <w:pPr>
              <w:spacing w:after="40"/>
            </w:pPr>
            <w:r>
              <w:rPr>
                <w:sz w:val="16"/>
              </w:rPr>
            </w:r>
            <w:r>
              <w:rPr>
                <w:sz w:val="16"/>
              </w:rPr>
              <w:t>atto infragruppo</w:t>
            </w:r>
          </w:p>
        </w:tc>
        <w:tc>
          <w:tcPr>
            <w:tcW w:type="dxa" w:w="2160"/>
          </w:tcPr>
          <w:p>
            <w:pPr>
              <w:spacing w:after="40"/>
            </w:pPr>
            <w:r>
              <w:rPr>
                <w:sz w:val="16"/>
              </w:rPr>
            </w:r>
            <w:r>
              <w:rPr>
                <w:b/>
                <w:sz w:val="16"/>
              </w:rPr>
              <w:t>OPC di maggiore rilevanza con soglia al 2,5%</w:t>
            </w:r>
            <w:r>
              <w:rPr>
                <w:sz w:val="16"/>
              </w:rPr>
              <w:t xml:space="preserve"> (All. 3 § 1.2 Reg. 17221/2010, perché la controparte è la controllante quotata); parere favorevole necessario di un comitato di soli indipendenti; l'esenzione infragruppo dell'art. 14 c. 2 </w:t>
            </w:r>
            <w:r>
              <w:rPr>
                <w:b/>
                <w:sz w:val="16"/>
              </w:rPr>
              <w:t>non è disponibile alla target</w:t>
            </w:r>
            <w:r>
              <w:rPr>
                <w:sz w:val="16"/>
              </w:rPr>
              <w:t xml:space="preserve">; prassi consigliata: eseguire dopo la fusione, il che </w:t>
            </w:r>
            <w:r>
              <w:rPr>
                <w:b/>
                <w:sz w:val="16"/>
              </w:rPr>
              <w:t>posticipa ulteriormente il beneficio Danish</w:t>
            </w:r>
          </w:p>
        </w:tc>
      </w:tr>
      <w:tr>
        <w:tc>
          <w:tcPr>
            <w:tcW w:type="dxa" w:w="2160"/>
          </w:tcPr>
          <w:p>
            <w:pPr>
              <w:spacing w:after="40"/>
            </w:pPr>
            <w:r>
              <w:rPr>
                <w:sz w:val="16"/>
              </w:rPr>
            </w:r>
            <w:r>
              <w:rPr>
                <w:sz w:val="16"/>
              </w:rPr>
              <w:t>6</w:t>
            </w:r>
          </w:p>
        </w:tc>
        <w:tc>
          <w:tcPr>
            <w:tcW w:type="dxa" w:w="2160"/>
          </w:tcPr>
          <w:p>
            <w:pPr>
              <w:spacing w:after="40"/>
            </w:pPr>
            <w:r>
              <w:rPr>
                <w:sz w:val="16"/>
              </w:rPr>
            </w:r>
            <w:r>
              <w:rPr>
                <w:sz w:val="16"/>
              </w:rPr>
              <w:t>Remedy Unipol</w:t>
            </w:r>
          </w:p>
        </w:tc>
        <w:tc>
          <w:tcPr>
            <w:tcW w:type="dxa" w:w="2160"/>
          </w:tcPr>
          <w:p>
            <w:pPr>
              <w:spacing w:after="40"/>
            </w:pPr>
            <w:r>
              <w:rPr>
                <w:sz w:val="16"/>
              </w:rPr>
            </w:r>
            <w:r>
              <w:rPr>
                <w:sz w:val="16"/>
              </w:rPr>
              <w:t>eseguibile come disegnato</w:t>
            </w:r>
          </w:p>
        </w:tc>
        <w:tc>
          <w:tcPr>
            <w:tcW w:type="dxa" w:w="2160"/>
          </w:tcPr>
          <w:p>
            <w:pPr>
              <w:spacing w:after="40"/>
            </w:pPr>
            <w:r>
              <w:rPr>
                <w:sz w:val="16"/>
              </w:rPr>
            </w:r>
            <w:r>
              <w:rPr>
                <w:sz w:val="16"/>
              </w:rPr>
              <w:t>da ridisegnare (§ 11)</w:t>
            </w:r>
          </w:p>
        </w:tc>
      </w:tr>
      <w:tr>
        <w:tc>
          <w:tcPr>
            <w:tcW w:type="dxa" w:w="2160"/>
          </w:tcPr>
          <w:p>
            <w:pPr>
              <w:spacing w:after="40"/>
            </w:pPr>
            <w:r>
              <w:rPr>
                <w:sz w:val="16"/>
              </w:rPr>
            </w:r>
            <w:r>
              <w:rPr>
                <w:sz w:val="16"/>
              </w:rPr>
              <w:t>7</w:t>
            </w:r>
          </w:p>
        </w:tc>
        <w:tc>
          <w:tcPr>
            <w:tcW w:type="dxa" w:w="2160"/>
          </w:tcPr>
          <w:p>
            <w:pPr>
              <w:spacing w:after="40"/>
            </w:pPr>
            <w:r>
              <w:rPr>
                <w:sz w:val="16"/>
              </w:rPr>
            </w:r>
            <w:r>
              <w:rPr>
                <w:sz w:val="16"/>
              </w:rPr>
              <w:t>Composizione del nuovo CdA</w:t>
            </w:r>
          </w:p>
        </w:tc>
        <w:tc>
          <w:tcPr>
            <w:tcW w:type="dxa" w:w="2160"/>
          </w:tcPr>
          <w:p>
            <w:pPr>
              <w:spacing w:after="40"/>
            </w:pPr>
            <w:r>
              <w:rPr>
                <w:sz w:val="16"/>
              </w:rPr>
            </w:r>
            <w:r>
              <w:rPr>
                <w:sz w:val="16"/>
              </w:rPr>
              <w:t>lista unica ISP</w:t>
            </w:r>
          </w:p>
        </w:tc>
        <w:tc>
          <w:tcPr>
            <w:tcW w:type="dxa" w:w="2160"/>
          </w:tcPr>
          <w:p>
            <w:pPr>
              <w:spacing w:after="40"/>
            </w:pPr>
            <w:r>
              <w:rPr>
                <w:sz w:val="16"/>
              </w:rPr>
            </w:r>
            <w:r>
              <w:rPr>
                <w:b/>
                <w:sz w:val="16"/>
              </w:rPr>
              <w:t>almeno 2 consiglieri</w:t>
            </w:r>
            <w:r>
              <w:rPr>
                <w:sz w:val="16"/>
              </w:rPr>
              <w:t xml:space="preserve"> alle liste di minoranza (art. 15 c. 7.1) e </w:t>
            </w:r>
            <w:r>
              <w:rPr>
                <w:b/>
                <w:sz w:val="16"/>
              </w:rPr>
              <w:t>almeno 1</w:t>
            </w:r>
            <w:r>
              <w:rPr>
                <w:sz w:val="16"/>
              </w:rPr>
              <w:t xml:space="preserve"> alla minoranza non collegata (c. 7.3); soglia di presentazione 0,5%</w:t>
            </w:r>
          </w:p>
        </w:tc>
      </w:tr>
      <w:tr>
        <w:tc>
          <w:tcPr>
            <w:tcW w:type="dxa" w:w="2160"/>
          </w:tcPr>
          <w:p>
            <w:pPr>
              <w:spacing w:after="40"/>
            </w:pPr>
            <w:r>
              <w:rPr>
                <w:sz w:val="16"/>
              </w:rPr>
            </w:r>
            <w:r>
              <w:rPr>
                <w:sz w:val="16"/>
              </w:rPr>
              <w:t>8</w:t>
            </w:r>
          </w:p>
        </w:tc>
        <w:tc>
          <w:tcPr>
            <w:tcW w:type="dxa" w:w="2160"/>
          </w:tcPr>
          <w:p>
            <w:pPr>
              <w:spacing w:after="40"/>
            </w:pPr>
            <w:r>
              <w:rPr>
                <w:sz w:val="16"/>
              </w:rPr>
            </w:r>
            <w:r>
              <w:rPr>
                <w:sz w:val="16"/>
              </w:rPr>
              <w:t>Collegio Sindacale</w:t>
            </w:r>
          </w:p>
        </w:tc>
        <w:tc>
          <w:tcPr>
            <w:tcW w:type="dxa" w:w="2160"/>
          </w:tcPr>
          <w:p>
            <w:pPr>
              <w:spacing w:after="40"/>
            </w:pPr>
            <w:r>
              <w:rPr>
                <w:sz w:val="16"/>
              </w:rPr>
            </w:r>
            <w:r>
              <w:rPr>
                <w:sz w:val="16"/>
              </w:rPr>
              <w:t>cessa con la fusione</w:t>
            </w:r>
          </w:p>
        </w:tc>
        <w:tc>
          <w:tcPr>
            <w:tcW w:type="dxa" w:w="2160"/>
          </w:tcPr>
          <w:p>
            <w:pPr>
              <w:spacing w:after="40"/>
            </w:pPr>
            <w:r>
              <w:rPr>
                <w:sz w:val="16"/>
              </w:rPr>
            </w:r>
            <w:r>
              <w:rPr>
                <w:b/>
                <w:sz w:val="16"/>
              </w:rPr>
              <w:t>non sostituibile</w:t>
            </w:r>
            <w:r>
              <w:rPr>
                <w:sz w:val="16"/>
              </w:rPr>
              <w:t xml:space="preserve"> in nessuno scenario</w:t>
            </w:r>
          </w:p>
        </w:tc>
      </w:tr>
      <w:tr>
        <w:tc>
          <w:tcPr>
            <w:tcW w:type="dxa" w:w="2160"/>
          </w:tcPr>
          <w:p>
            <w:pPr>
              <w:spacing w:after="40"/>
            </w:pPr>
            <w:r>
              <w:rPr>
                <w:sz w:val="16"/>
              </w:rPr>
            </w:r>
            <w:r>
              <w:rPr>
                <w:sz w:val="16"/>
              </w:rPr>
              <w:t>9</w:t>
            </w:r>
          </w:p>
        </w:tc>
        <w:tc>
          <w:tcPr>
            <w:tcW w:type="dxa" w:w="2160"/>
          </w:tcPr>
          <w:p>
            <w:pPr>
              <w:spacing w:after="40"/>
            </w:pPr>
            <w:r>
              <w:rPr>
                <w:sz w:val="16"/>
              </w:rPr>
            </w:r>
            <w:r>
              <w:rPr>
                <w:sz w:val="16"/>
              </w:rPr>
              <w:t>Revisori</w:t>
            </w:r>
          </w:p>
        </w:tc>
        <w:tc>
          <w:tcPr>
            <w:tcW w:type="dxa" w:w="2160"/>
          </w:tcPr>
          <w:p>
            <w:pPr>
              <w:spacing w:after="40"/>
            </w:pPr>
            <w:r>
              <w:rPr>
                <w:sz w:val="16"/>
              </w:rPr>
            </w:r>
            <w:r>
              <w:rPr>
                <w:sz w:val="16"/>
              </w:rPr>
              <w:t>allineamento deciso dal socio unico</w:t>
            </w:r>
          </w:p>
        </w:tc>
        <w:tc>
          <w:tcPr>
            <w:tcW w:type="dxa" w:w="2160"/>
          </w:tcPr>
          <w:p>
            <w:pPr>
              <w:spacing w:after="40"/>
            </w:pPr>
            <w:r>
              <w:rPr>
                <w:sz w:val="16"/>
              </w:rPr>
            </w:r>
            <w:r>
              <w:rPr>
                <w:sz w:val="16"/>
              </w:rPr>
              <w:t>delibera dell'assemblea MPS su proposta motivata del collegio sindacale, con le minoranze che votano</w:t>
            </w:r>
          </w:p>
        </w:tc>
      </w:tr>
      <w:tr>
        <w:tc>
          <w:tcPr>
            <w:tcW w:type="dxa" w:w="2160"/>
          </w:tcPr>
          <w:p>
            <w:pPr>
              <w:spacing w:after="40"/>
            </w:pPr>
            <w:r>
              <w:rPr>
                <w:sz w:val="16"/>
              </w:rPr>
            </w:r>
            <w:r>
              <w:rPr>
                <w:sz w:val="16"/>
              </w:rPr>
              <w:t>10</w:t>
            </w:r>
          </w:p>
        </w:tc>
        <w:tc>
          <w:tcPr>
            <w:tcW w:type="dxa" w:w="2160"/>
          </w:tcPr>
          <w:p>
            <w:pPr>
              <w:spacing w:after="40"/>
            </w:pPr>
            <w:r>
              <w:rPr>
                <w:sz w:val="16"/>
              </w:rPr>
            </w:r>
            <w:r>
              <w:rPr>
                <w:sz w:val="16"/>
              </w:rPr>
              <w:t>Consolidato fiscale e DTA</w:t>
            </w:r>
          </w:p>
        </w:tc>
        <w:tc>
          <w:tcPr>
            <w:tcW w:type="dxa" w:w="2160"/>
          </w:tcPr>
          <w:p>
            <w:pPr>
              <w:spacing w:after="40"/>
            </w:pPr>
            <w:r>
              <w:rPr>
                <w:sz w:val="16"/>
              </w:rPr>
            </w:r>
            <w:r>
              <w:rPr>
                <w:sz w:val="16"/>
              </w:rPr>
              <w:t>da FY2028 in entrambi i casi</w:t>
            </w:r>
          </w:p>
        </w:tc>
        <w:tc>
          <w:tcPr>
            <w:tcW w:type="dxa" w:w="2160"/>
          </w:tcPr>
          <w:p>
            <w:pPr>
              <w:spacing w:after="40"/>
            </w:pPr>
            <w:r>
              <w:rPr>
                <w:sz w:val="16"/>
              </w:rPr>
            </w:r>
            <w:r>
              <w:rPr>
                <w:sz w:val="16"/>
              </w:rPr>
              <w:t>in più: l'accordo di consolidamento diventa un'OPC</w:t>
            </w:r>
          </w:p>
        </w:tc>
      </w:tr>
      <w:tr>
        <w:tc>
          <w:tcPr>
            <w:tcW w:type="dxa" w:w="2160"/>
          </w:tcPr>
          <w:p>
            <w:pPr>
              <w:spacing w:after="40"/>
            </w:pPr>
            <w:r>
              <w:rPr>
                <w:sz w:val="16"/>
              </w:rPr>
            </w:r>
            <w:r>
              <w:rPr>
                <w:sz w:val="16"/>
              </w:rPr>
              <w:t>11</w:t>
            </w:r>
          </w:p>
        </w:tc>
        <w:tc>
          <w:tcPr>
            <w:tcW w:type="dxa" w:w="2160"/>
          </w:tcPr>
          <w:p>
            <w:pPr>
              <w:spacing w:after="40"/>
            </w:pPr>
            <w:r>
              <w:rPr>
                <w:sz w:val="16"/>
              </w:rPr>
            </w:r>
            <w:r>
              <w:rPr>
                <w:sz w:val="16"/>
              </w:rPr>
              <w:t>MREL</w:t>
            </w:r>
          </w:p>
        </w:tc>
        <w:tc>
          <w:tcPr>
            <w:tcW w:type="dxa" w:w="2160"/>
          </w:tcPr>
          <w:p>
            <w:pPr>
              <w:spacing w:after="40"/>
            </w:pPr>
            <w:r>
              <w:rPr>
                <w:sz w:val="16"/>
              </w:rPr>
            </w:r>
            <w:r>
              <w:rPr>
                <w:sz w:val="16"/>
              </w:rPr>
              <w:t>semplificazione con la fusione</w:t>
            </w:r>
          </w:p>
        </w:tc>
        <w:tc>
          <w:tcPr>
            <w:tcW w:type="dxa" w:w="2160"/>
          </w:tcPr>
          <w:p>
            <w:pPr>
              <w:spacing w:after="40"/>
            </w:pPr>
            <w:r>
              <w:rPr>
                <w:sz w:val="16"/>
              </w:rPr>
            </w:r>
            <w:r>
              <w:rPr>
                <w:sz w:val="16"/>
              </w:rPr>
              <w:t xml:space="preserve">MPS entità </w:t>
            </w:r>
            <w:r>
              <w:rPr>
                <w:b/>
                <w:sz w:val="16"/>
              </w:rPr>
              <w:t>non</w:t>
            </w:r>
            <w:r>
              <w:rPr>
                <w:sz w:val="16"/>
              </w:rPr>
              <w:t xml:space="preserve"> di risoluzione con internal MREL; strumenti già sul mercato di norma non idonei</w:t>
            </w:r>
          </w:p>
        </w:tc>
      </w:tr>
      <w:tr>
        <w:tc>
          <w:tcPr>
            <w:tcW w:type="dxa" w:w="2160"/>
          </w:tcPr>
          <w:p>
            <w:pPr>
              <w:spacing w:after="40"/>
            </w:pPr>
            <w:r>
              <w:rPr>
                <w:sz w:val="16"/>
              </w:rPr>
            </w:r>
            <w:r>
              <w:rPr>
                <w:sz w:val="16"/>
              </w:rPr>
              <w:t>12</w:t>
            </w:r>
          </w:p>
        </w:tc>
        <w:tc>
          <w:tcPr>
            <w:tcW w:type="dxa" w:w="2160"/>
          </w:tcPr>
          <w:p>
            <w:pPr>
              <w:spacing w:after="40"/>
            </w:pPr>
            <w:r>
              <w:rPr>
                <w:sz w:val="16"/>
              </w:rPr>
            </w:r>
            <w:r>
              <w:rPr>
                <w:sz w:val="16"/>
              </w:rPr>
              <w:t>Dividendi</w:t>
            </w:r>
          </w:p>
        </w:tc>
        <w:tc>
          <w:tcPr>
            <w:tcW w:type="dxa" w:w="2160"/>
          </w:tcPr>
          <w:p>
            <w:pPr>
              <w:spacing w:after="40"/>
            </w:pPr>
            <w:r>
              <w:rPr>
                <w:sz w:val="16"/>
              </w:rPr>
            </w:r>
            <w:r>
              <w:rPr>
                <w:sz w:val="16"/>
              </w:rPr>
              <w:t>piena fungibilità</w:t>
            </w:r>
          </w:p>
        </w:tc>
        <w:tc>
          <w:tcPr>
            <w:tcW w:type="dxa" w:w="2160"/>
          </w:tcPr>
          <w:p>
            <w:pPr>
              <w:spacing w:after="40"/>
            </w:pPr>
            <w:r>
              <w:rPr>
                <w:sz w:val="16"/>
              </w:rPr>
            </w:r>
            <w:r>
              <w:rPr>
                <w:sz w:val="16"/>
              </w:rPr>
              <w:t>il 25-30% di ogni distribuzione esce dal gruppo</w:t>
            </w:r>
          </w:p>
        </w:tc>
      </w:tr>
      <w:tr>
        <w:tc>
          <w:tcPr>
            <w:tcW w:type="dxa" w:w="2160"/>
          </w:tcPr>
          <w:p>
            <w:pPr>
              <w:spacing w:after="40"/>
            </w:pPr>
            <w:r>
              <w:rPr>
                <w:sz w:val="16"/>
              </w:rPr>
            </w:r>
            <w:r>
              <w:rPr>
                <w:sz w:val="16"/>
              </w:rPr>
              <w:t>13</w:t>
            </w:r>
          </w:p>
        </w:tc>
        <w:tc>
          <w:tcPr>
            <w:tcW w:type="dxa" w:w="2160"/>
          </w:tcPr>
          <w:p>
            <w:pPr>
              <w:spacing w:after="40"/>
            </w:pPr>
            <w:r>
              <w:rPr>
                <w:sz w:val="16"/>
              </w:rPr>
            </w:r>
            <w:r>
              <w:rPr>
                <w:sz w:val="16"/>
              </w:rPr>
              <w:t>Costi di quotazione e MAR</w:t>
            </w:r>
          </w:p>
        </w:tc>
        <w:tc>
          <w:tcPr>
            <w:tcW w:type="dxa" w:w="2160"/>
          </w:tcPr>
          <w:p>
            <w:pPr>
              <w:spacing w:after="40"/>
            </w:pPr>
            <w:r>
              <w:rPr>
                <w:sz w:val="16"/>
              </w:rPr>
            </w:r>
            <w:r>
              <w:rPr>
                <w:sz w:val="16"/>
              </w:rPr>
              <w:t>cessano</w:t>
            </w:r>
          </w:p>
        </w:tc>
        <w:tc>
          <w:tcPr>
            <w:tcW w:type="dxa" w:w="2160"/>
          </w:tcPr>
          <w:p>
            <w:pPr>
              <w:spacing w:after="40"/>
            </w:pPr>
            <w:r>
              <w:rPr>
                <w:sz w:val="16"/>
              </w:rPr>
            </w:r>
            <w:r>
              <w:rPr>
                <w:sz w:val="16"/>
              </w:rPr>
              <w:t>doppio perimetro MAR, protocollo di disclosure congiunta, registri insider coordinati</w:t>
            </w:r>
          </w:p>
        </w:tc>
      </w:tr>
      <w:tr>
        <w:tc>
          <w:tcPr>
            <w:tcW w:type="dxa" w:w="2160"/>
          </w:tcPr>
          <w:p>
            <w:pPr>
              <w:spacing w:after="40"/>
            </w:pPr>
            <w:r>
              <w:rPr>
                <w:sz w:val="16"/>
              </w:rPr>
            </w:r>
            <w:r>
              <w:rPr>
                <w:sz w:val="16"/>
              </w:rPr>
              <w:t>14</w:t>
            </w:r>
          </w:p>
        </w:tc>
        <w:tc>
          <w:tcPr>
            <w:tcW w:type="dxa" w:w="2160"/>
          </w:tcPr>
          <w:p>
            <w:pPr>
              <w:spacing w:after="40"/>
            </w:pPr>
            <w:r>
              <w:rPr>
                <w:sz w:val="16"/>
              </w:rPr>
            </w:r>
            <w:r>
              <w:rPr>
                <w:sz w:val="16"/>
              </w:rPr>
              <w:t>Contenzioso minoranze</w:t>
            </w:r>
          </w:p>
        </w:tc>
        <w:tc>
          <w:tcPr>
            <w:tcW w:type="dxa" w:w="2160"/>
          </w:tcPr>
          <w:p>
            <w:pPr>
              <w:spacing w:after="40"/>
            </w:pPr>
            <w:r>
              <w:rPr>
                <w:sz w:val="16"/>
              </w:rPr>
            </w:r>
            <w:r>
              <w:rPr>
                <w:sz w:val="16"/>
              </w:rPr>
              <w:t>assente</w:t>
            </w:r>
          </w:p>
        </w:tc>
        <w:tc>
          <w:tcPr>
            <w:tcW w:type="dxa" w:w="2160"/>
          </w:tcPr>
          <w:p>
            <w:pPr>
              <w:spacing w:after="40"/>
            </w:pPr>
            <w:r>
              <w:rPr>
                <w:sz w:val="16"/>
              </w:rPr>
            </w:r>
            <w:r>
              <w:rPr>
                <w:b/>
                <w:sz w:val="16"/>
              </w:rPr>
              <w:t>art. 2393-bis c.c. attivabile con il 2,5%</w:t>
            </w:r>
            <w:r>
              <w:rPr>
                <w:sz w:val="16"/>
              </w:rPr>
              <w:t>; art. 2373; art. 2497 con onere di provare vantaggi compensativi concreti, certi e quantificabili (Cass. 16707/2004)</w:t>
            </w:r>
          </w:p>
        </w:tc>
      </w:tr>
    </w:tbl>
    <w:p/>
    <w:p>
      <w:pPr>
        <w:pStyle w:val="Heading2"/>
      </w:pPr>
      <w:r>
        <w:t>10. Nodo B — Il CdA MPS non si dimette</w:t>
      </w:r>
    </w:p>
    <w:p>
      <w:pPr>
        <w:pStyle w:val="Heading3"/>
      </w:pPr>
      <w:r>
        <w:t>10.1 La clausola statutaria governa tutto</w:t>
      </w:r>
    </w:p>
    <w:p>
      <w:r>
        <w:t xml:space="preserve">L'art. 15 c. 10 dello statuto è una </w:t>
      </w:r>
      <w:r>
        <w:rPr>
          <w:i/>
        </w:rPr>
        <w:t>simul stabunt simul cadent</w:t>
      </w:r>
      <w:r>
        <w:t xml:space="preserve"> </w:t>
      </w:r>
      <w:r>
        <w:rPr>
          <w:b/>
        </w:rPr>
        <w:t>attenuata e a effetto differito</w:t>
      </w:r>
      <w:r>
        <w:t>:</w:t>
      </w:r>
    </w:p>
    <w:p>
      <w:pPr>
        <w:pStyle w:val="ListBullet"/>
      </w:pPr>
      <w:r>
        <w:rPr>
          <w:b/>
        </w:rPr>
        <w:t>presupposto</w:t>
      </w:r>
      <w:r>
        <w:t xml:space="preserve">: cessazione di </w:t>
      </w:r>
      <w:r>
        <w:rPr>
          <w:b/>
        </w:rPr>
        <w:t>8 amministratori su 15</w:t>
      </w:r>
      <w:r>
        <w:t>, per qualunque causa;</w:t>
      </w:r>
    </w:p>
    <w:p>
      <w:pPr>
        <w:pStyle w:val="ListBullet"/>
      </w:pPr>
      <w:r>
        <w:rPr>
          <w:b/>
        </w:rPr>
        <w:t>effetto</w:t>
      </w:r>
      <w:r>
        <w:t>: l'intero consiglio è dimissionario con effetto dalla ricostituzione, quindi nessun vuoto gestorio;</w:t>
      </w:r>
    </w:p>
    <w:p>
      <w:pPr>
        <w:pStyle w:val="ListBullet"/>
      </w:pPr>
      <w:r>
        <w:rPr>
          <w:b/>
        </w:rPr>
        <w:t>conseguenza procedurale</w:t>
      </w:r>
      <w:r>
        <w:t>: art. 2386 c. 4 c.c., l'assemblea per la nomina del nuovo consiglio è convocata d'urgenza dagli amministratori rimasti in carica;</w:t>
      </w:r>
    </w:p>
    <w:p>
      <w:pPr>
        <w:pStyle w:val="ListBullet"/>
      </w:pPr>
      <w:r>
        <w:rPr>
          <w:b/>
        </w:rPr>
        <w:t>conseguenza sostanziale</w:t>
      </w:r>
      <w:r>
        <w:t xml:space="preserve">: rinnovo </w:t>
      </w:r>
      <w:r>
        <w:rPr>
          <w:b/>
        </w:rPr>
        <w:t>integrale</w:t>
      </w:r>
      <w:r>
        <w:t xml:space="preserve"> con </w:t>
      </w:r>
      <w:r>
        <w:rPr>
          <w:b/>
        </w:rPr>
        <w:t>voto di lista</w:t>
      </w:r>
      <w:r>
        <w:t xml:space="preserve"> e termini pieni (40 giorni di avviso, 25 di deposito liste, 21 di pubblicazione). </w:t>
      </w:r>
      <w:r>
        <w:rPr>
          <w:b/>
        </w:rPr>
        <w:t>Non esiste la via "revoco 8 e nomino 8 a maggioranza semplice"</w:t>
      </w:r>
      <w:r>
        <w:t>: il punto è stato deciso nel precedente TIM (Trib. Milano 23 aprile 2018) e argomentato nel parere Marchetti;</w:t>
      </w:r>
    </w:p>
    <w:p>
      <w:pPr>
        <w:pStyle w:val="ListBullet"/>
      </w:pPr>
      <w:r>
        <w:rPr>
          <w:b/>
        </w:rPr>
        <w:t>ma la clausola vincola anche il consiglio ostile</w:t>
      </w:r>
      <w:r>
        <w:t>: ottenute 8 cessazioni, i 7 superstiti hanno un obbligo di legge di convocare, la cui violazione integra "omissione o ingiustificato ritardo" ex art. 2406 c. 1 c.c. e attiva il dovere del collegio sindacale.</w:t>
      </w:r>
    </w:p>
    <w:p>
      <w:pPr>
        <w:pStyle w:val="Heading3"/>
      </w:pPr>
      <w:r>
        <w:t>10.2 Il collo di bottiglia è la convocazione, non la rimozione</w:t>
      </w:r>
    </w:p>
    <w:p>
      <w:r>
        <w:t xml:space="preserve">Il vincolo che fissa la data del nuovo consiglio è il </w:t>
      </w:r>
      <w:r>
        <w:rPr>
          <w:b/>
        </w:rPr>
        <w:t>preavviso di 40 giorni</w:t>
      </w:r>
      <w:r>
        <w:t xml:space="preserve"> dell'art. 125-bis c. 2 TUF, al cui interno corrono i 25 di deposito e i 21 di pubblicazione delle liste. Quel vincolo opera </w:t>
      </w:r>
      <w:r>
        <w:rPr>
          <w:b/>
        </w:rPr>
        <w:t>identico</w:t>
      </w:r>
      <w:r>
        <w:t xml:space="preserve"> sia con dimissioni sia con revoca, e in entrambi i casi gli amministratori restano in carica fino all'assemblea. </w:t>
      </w:r>
      <w:r>
        <w:rPr>
          <w:b/>
        </w:rPr>
        <w:t>Il differenziale di tempo fra i due scenari è quindi quasi nullo, a una condizione: che qualcuno convochi.</w:t>
      </w:r>
      <w:r>
        <w:t xml:space="preserve"> Il ritardo dei percorsi ostruzionistici nasce interamente dal tempo speso per ottenere la delibera di convocazione. È su quel singolo atto che va concentrata la pressione negoziale e, se serve, il contenzioso.</w:t>
      </w:r>
    </w:p>
    <w:p>
      <w:pPr>
        <w:pStyle w:val="Heading3"/>
      </w:pPr>
      <w:r>
        <w:t>10.3 I percorsi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after="40"/>
            </w:pPr>
            <w:r>
              <w:rPr>
                <w:b/>
                <w:sz w:val="16"/>
              </w:rPr>
            </w:r>
            <w:r>
              <w:rPr>
                <w:b/>
                <w:sz w:val="16"/>
              </w:rPr>
              <w:t>Percorso</w:t>
            </w:r>
          </w:p>
        </w:tc>
        <w:tc>
          <w:tcPr>
            <w:tcW w:type="dxa" w:w="1440"/>
          </w:tcPr>
          <w:p>
            <w:pPr>
              <w:spacing w:after="40"/>
            </w:pPr>
            <w:r>
              <w:rPr>
                <w:b/>
                <w:sz w:val="16"/>
              </w:rPr>
            </w:r>
            <w:r>
              <w:rPr>
                <w:b/>
                <w:sz w:val="16"/>
              </w:rPr>
              <w:t>Meccanismo</w:t>
            </w:r>
          </w:p>
        </w:tc>
        <w:tc>
          <w:tcPr>
            <w:tcW w:type="dxa" w:w="1440"/>
          </w:tcPr>
          <w:p>
            <w:pPr>
              <w:spacing w:after="40"/>
            </w:pPr>
            <w:r>
              <w:rPr>
                <w:b/>
                <w:sz w:val="16"/>
              </w:rPr>
            </w:r>
            <w:r>
              <w:rPr>
                <w:b/>
                <w:sz w:val="16"/>
              </w:rPr>
              <w:t>Nuovo CdA</w:t>
            </w:r>
          </w:p>
        </w:tc>
        <w:tc>
          <w:tcPr>
            <w:tcW w:type="dxa" w:w="1440"/>
          </w:tcPr>
          <w:p>
            <w:pPr>
              <w:spacing w:after="40"/>
            </w:pPr>
            <w:r>
              <w:rPr>
                <w:b/>
                <w:sz w:val="16"/>
              </w:rPr>
            </w:r>
            <w:r>
              <w:rPr>
                <w:b/>
                <w:sz w:val="16"/>
              </w:rPr>
              <w:t>Data indicativa</w:t>
            </w:r>
          </w:p>
        </w:tc>
        <w:tc>
          <w:tcPr>
            <w:tcW w:type="dxa" w:w="1440"/>
          </w:tcPr>
          <w:p>
            <w:pPr>
              <w:spacing w:after="40"/>
            </w:pPr>
            <w:r>
              <w:rPr>
                <w:b/>
                <w:sz w:val="16"/>
              </w:rPr>
            </w:r>
            <w:r>
              <w:rPr>
                <w:b/>
                <w:sz w:val="16"/>
              </w:rPr>
              <w:t>Costo</w:t>
            </w:r>
          </w:p>
        </w:tc>
        <w:tc>
          <w:tcPr>
            <w:tcW w:type="dxa" w:w="1440"/>
          </w:tcPr>
          <w:p>
            <w:pPr>
              <w:spacing w:after="40"/>
            </w:pPr>
            <w:r>
              <w:rPr>
                <w:b/>
                <w:sz w:val="16"/>
              </w:rPr>
            </w:r>
            <w:r>
              <w:rPr>
                <w:b/>
                <w:sz w:val="16"/>
              </w:rPr>
              <w:t>Rischio</w:t>
            </w:r>
          </w:p>
        </w:tc>
      </w:tr>
      <w:tr>
        <w:tc>
          <w:tcPr>
            <w:tcW w:type="dxa" w:w="1440"/>
          </w:tcPr>
          <w:p>
            <w:pPr>
              <w:spacing w:after="40"/>
            </w:pPr>
            <w:r>
              <w:rPr>
                <w:sz w:val="16"/>
              </w:rPr>
            </w:r>
            <w:r>
              <w:rPr>
                <w:b/>
                <w:sz w:val="16"/>
              </w:rPr>
              <w:t>0</w:t>
            </w:r>
            <w:r>
              <w:rPr>
                <w:sz w:val="16"/>
              </w:rPr>
              <w:t xml:space="preserve"> Convocazione anticipata pre-settlement</w:t>
            </w:r>
          </w:p>
        </w:tc>
        <w:tc>
          <w:tcPr>
            <w:tcW w:type="dxa" w:w="1440"/>
          </w:tcPr>
          <w:p>
            <w:pPr>
              <w:spacing w:after="40"/>
            </w:pPr>
            <w:r>
              <w:rPr>
                <w:sz w:val="16"/>
              </w:rPr>
            </w:r>
            <w:r>
              <w:rPr>
                <w:sz w:val="16"/>
              </w:rPr>
              <w:t xml:space="preserve">Assemblea elettiva convocata prima del settlement, con data e </w:t>
            </w:r>
            <w:r>
              <w:rPr>
                <w:i/>
                <w:sz w:val="16"/>
              </w:rPr>
              <w:t>record date</w:t>
            </w:r>
            <w:r>
              <w:rPr>
                <w:sz w:val="16"/>
              </w:rPr>
              <w:t xml:space="preserve"> (7 giorni di borsa aperta ante) successive. Precedente: BPER/Carige, nuovo board 12 giorni dopo il cambio di controllo</w:t>
            </w:r>
          </w:p>
        </w:tc>
        <w:tc>
          <w:tcPr>
            <w:tcW w:type="dxa" w:w="1440"/>
          </w:tcPr>
          <w:p>
            <w:pPr>
              <w:spacing w:after="40"/>
            </w:pPr>
            <w:r>
              <w:rPr>
                <w:sz w:val="16"/>
              </w:rPr>
            </w:r>
            <w:r>
              <w:rPr>
                <w:sz w:val="16"/>
              </w:rPr>
              <w:t>t+15/20</w:t>
            </w:r>
          </w:p>
        </w:tc>
        <w:tc>
          <w:tcPr>
            <w:tcW w:type="dxa" w:w="1440"/>
          </w:tcPr>
          <w:p>
            <w:pPr>
              <w:spacing w:after="40"/>
            </w:pPr>
            <w:r>
              <w:rPr>
                <w:sz w:val="16"/>
              </w:rPr>
            </w:r>
            <w:r>
              <w:rPr>
                <w:sz w:val="16"/>
              </w:rPr>
              <w:t>~25 gen 2027</w:t>
            </w:r>
          </w:p>
        </w:tc>
        <w:tc>
          <w:tcPr>
            <w:tcW w:type="dxa" w:w="1440"/>
          </w:tcPr>
          <w:p>
            <w:pPr>
              <w:spacing w:after="40"/>
            </w:pPr>
            <w:r>
              <w:rPr>
                <w:sz w:val="16"/>
              </w:rPr>
            </w:r>
            <w:r>
              <w:rPr>
                <w:sz w:val="16"/>
              </w:rPr>
              <w:t>basso</w:t>
            </w:r>
          </w:p>
        </w:tc>
        <w:tc>
          <w:tcPr>
            <w:tcW w:type="dxa" w:w="1440"/>
          </w:tcPr>
          <w:p>
            <w:pPr>
              <w:spacing w:after="40"/>
            </w:pPr>
            <w:r>
              <w:rPr>
                <w:sz w:val="16"/>
              </w:rPr>
            </w:r>
            <w:r>
              <w:rPr>
                <w:sz w:val="16"/>
              </w:rPr>
              <w:t>richiede collaborazione MPS</w:t>
            </w:r>
          </w:p>
        </w:tc>
      </w:tr>
      <w:tr>
        <w:tc>
          <w:tcPr>
            <w:tcW w:type="dxa" w:w="1440"/>
          </w:tcPr>
          <w:p>
            <w:pPr>
              <w:spacing w:after="40"/>
            </w:pPr>
            <w:r>
              <w:rPr>
                <w:sz w:val="16"/>
              </w:rPr>
            </w:r>
            <w:r>
              <w:rPr>
                <w:b/>
                <w:sz w:val="16"/>
              </w:rPr>
              <w:t>A</w:t>
            </w:r>
            <w:r>
              <w:rPr>
                <w:sz w:val="16"/>
              </w:rPr>
              <w:t xml:space="preserve"> Dimissioni concordate</w:t>
            </w:r>
          </w:p>
        </w:tc>
        <w:tc>
          <w:tcPr>
            <w:tcW w:type="dxa" w:w="1440"/>
          </w:tcPr>
          <w:p>
            <w:pPr>
              <w:spacing w:after="40"/>
            </w:pPr>
            <w:r>
              <w:rPr>
                <w:sz w:val="16"/>
              </w:rPr>
            </w:r>
            <w:r>
              <w:rPr>
                <w:sz w:val="16"/>
              </w:rPr>
              <w:t>Modello Mediobanca 18 settembre 2025: dimissioni a efficacia differita dalla data dell'assemblea, convocazione contestuale, assemblea a 40 giorni esatti</w:t>
            </w:r>
          </w:p>
        </w:tc>
        <w:tc>
          <w:tcPr>
            <w:tcW w:type="dxa" w:w="1440"/>
          </w:tcPr>
          <w:p>
            <w:pPr>
              <w:spacing w:after="40"/>
            </w:pPr>
            <w:r>
              <w:rPr>
                <w:sz w:val="16"/>
              </w:rPr>
            </w:r>
            <w:r>
              <w:rPr>
                <w:sz w:val="16"/>
              </w:rPr>
              <w:t>t+42/60</w:t>
            </w:r>
          </w:p>
        </w:tc>
        <w:tc>
          <w:tcPr>
            <w:tcW w:type="dxa" w:w="1440"/>
          </w:tcPr>
          <w:p>
            <w:pPr>
              <w:spacing w:after="40"/>
            </w:pPr>
            <w:r>
              <w:rPr>
                <w:sz w:val="16"/>
              </w:rPr>
            </w:r>
            <w:r>
              <w:rPr>
                <w:sz w:val="16"/>
              </w:rPr>
              <w:t>25 feb 2027</w:t>
            </w:r>
          </w:p>
        </w:tc>
        <w:tc>
          <w:tcPr>
            <w:tcW w:type="dxa" w:w="1440"/>
          </w:tcPr>
          <w:p>
            <w:pPr>
              <w:spacing w:after="40"/>
            </w:pPr>
            <w:r>
              <w:rPr>
                <w:sz w:val="16"/>
              </w:rPr>
            </w:r>
            <w:r>
              <w:rPr>
                <w:i/>
                <w:sz w:val="16"/>
              </w:rPr>
              <w:t>severance</w:t>
            </w:r>
            <w:r>
              <w:rPr>
                <w:sz w:val="16"/>
              </w:rPr>
              <w:t xml:space="preserve"> entro i cap prudenziali</w:t>
            </w:r>
          </w:p>
        </w:tc>
        <w:tc>
          <w:tcPr>
            <w:tcW w:type="dxa" w:w="1440"/>
          </w:tcPr>
          <w:p>
            <w:pPr>
              <w:spacing w:after="40"/>
            </w:pPr>
            <w:r>
              <w:rPr>
                <w:sz w:val="16"/>
              </w:rPr>
            </w:r>
            <w:r>
              <w:rPr>
                <w:sz w:val="16"/>
              </w:rPr>
              <w:t>basso</w:t>
            </w:r>
          </w:p>
        </w:tc>
      </w:tr>
      <w:tr>
        <w:tc>
          <w:tcPr>
            <w:tcW w:type="dxa" w:w="1440"/>
          </w:tcPr>
          <w:p>
            <w:pPr>
              <w:spacing w:after="40"/>
            </w:pPr>
            <w:r>
              <w:rPr>
                <w:sz w:val="16"/>
              </w:rPr>
            </w:r>
            <w:r>
              <w:rPr>
                <w:b/>
                <w:sz w:val="16"/>
              </w:rPr>
              <w:t>B</w:t>
            </w:r>
            <w:r>
              <w:rPr>
                <w:sz w:val="16"/>
              </w:rPr>
              <w:t xml:space="preserve"> Revoca assembleare con CdA che convoca</w:t>
            </w:r>
          </w:p>
        </w:tc>
        <w:tc>
          <w:tcPr>
            <w:tcW w:type="dxa" w:w="1440"/>
          </w:tcPr>
          <w:p>
            <w:pPr>
              <w:spacing w:after="40"/>
            </w:pPr>
            <w:r>
              <w:rPr>
                <w:sz w:val="16"/>
              </w:rPr>
            </w:r>
            <w:r>
              <w:rPr>
                <w:sz w:val="16"/>
              </w:rPr>
              <w:t xml:space="preserve">Domanda ex art. 2367 c. 1 c.c. (soglia </w:t>
            </w:r>
            <w:r>
              <w:rPr>
                <w:b/>
                <w:sz w:val="16"/>
              </w:rPr>
              <w:t>5%</w:t>
            </w:r>
            <w:r>
              <w:rPr>
                <w:sz w:val="16"/>
              </w:rPr>
              <w:t xml:space="preserve"> per le società che fanno ricorso al mercato del capitale di rischio); "senza ritardo"; revoca e nomina </w:t>
            </w:r>
            <w:r>
              <w:rPr>
                <w:b/>
                <w:sz w:val="16"/>
              </w:rPr>
              <w:t>contestuali</w:t>
            </w:r>
          </w:p>
        </w:tc>
        <w:tc>
          <w:tcPr>
            <w:tcW w:type="dxa" w:w="1440"/>
          </w:tcPr>
          <w:p>
            <w:pPr>
              <w:spacing w:after="40"/>
            </w:pPr>
            <w:r>
              <w:rPr>
                <w:sz w:val="16"/>
              </w:rPr>
            </w:r>
            <w:r>
              <w:rPr>
                <w:sz w:val="16"/>
              </w:rPr>
              <w:t>t+55/80</w:t>
            </w:r>
          </w:p>
        </w:tc>
        <w:tc>
          <w:tcPr>
            <w:tcW w:type="dxa" w:w="1440"/>
          </w:tcPr>
          <w:p>
            <w:pPr>
              <w:spacing w:after="40"/>
            </w:pPr>
            <w:r>
              <w:rPr>
                <w:sz w:val="16"/>
              </w:rPr>
            </w:r>
            <w:r>
              <w:rPr>
                <w:sz w:val="16"/>
              </w:rPr>
              <w:t>inizio mar 2027</w:t>
            </w:r>
          </w:p>
        </w:tc>
        <w:tc>
          <w:tcPr>
            <w:tcW w:type="dxa" w:w="1440"/>
          </w:tcPr>
          <w:p>
            <w:pPr>
              <w:spacing w:after="40"/>
            </w:pPr>
            <w:r>
              <w:rPr>
                <w:sz w:val="16"/>
              </w:rPr>
            </w:r>
            <w:r>
              <w:rPr>
                <w:sz w:val="16"/>
              </w:rPr>
              <w:t>indennizzo (§ 10.5)</w:t>
            </w:r>
          </w:p>
        </w:tc>
        <w:tc>
          <w:tcPr>
            <w:tcW w:type="dxa" w:w="1440"/>
          </w:tcPr>
          <w:p>
            <w:pPr>
              <w:spacing w:after="40"/>
            </w:pPr>
            <w:r>
              <w:rPr>
                <w:sz w:val="16"/>
              </w:rPr>
            </w:r>
            <w:r>
              <w:rPr>
                <w:sz w:val="16"/>
              </w:rPr>
              <w:t>medio</w:t>
            </w:r>
          </w:p>
        </w:tc>
      </w:tr>
      <w:tr>
        <w:tc>
          <w:tcPr>
            <w:tcW w:type="dxa" w:w="1440"/>
          </w:tcPr>
          <w:p>
            <w:pPr>
              <w:spacing w:after="40"/>
            </w:pPr>
            <w:r>
              <w:rPr>
                <w:sz w:val="16"/>
              </w:rPr>
            </w:r>
            <w:r>
              <w:rPr>
                <w:b/>
                <w:sz w:val="16"/>
              </w:rPr>
              <w:t>C1</w:t>
            </w:r>
            <w:r>
              <w:rPr>
                <w:sz w:val="16"/>
              </w:rPr>
              <w:t xml:space="preserve"> Via del Collegio Sindacale</w:t>
            </w:r>
          </w:p>
        </w:tc>
        <w:tc>
          <w:tcPr>
            <w:tcW w:type="dxa" w:w="1440"/>
          </w:tcPr>
          <w:p>
            <w:pPr>
              <w:spacing w:after="40"/>
            </w:pPr>
            <w:r>
              <w:rPr>
                <w:sz w:val="16"/>
              </w:rPr>
            </w:r>
            <w:r>
              <w:rPr>
                <w:sz w:val="16"/>
              </w:rPr>
              <w:t xml:space="preserve">Art. 2406 c. 1 c.c. (obbligo in caso di omissione o ingiustificato ritardo) e </w:t>
            </w:r>
            <w:r>
              <w:rPr>
                <w:b/>
                <w:sz w:val="16"/>
              </w:rPr>
              <w:t>nuovo art. 151.1 c. 1 TUF</w:t>
            </w:r>
            <w:r>
              <w:rPr>
                <w:sz w:val="16"/>
              </w:rPr>
              <w:t xml:space="preserve">: il potere di convocare l'assemblea "può essere esercitato da almeno due componenti" → </w:t>
            </w:r>
            <w:r>
              <w:rPr>
                <w:b/>
                <w:sz w:val="16"/>
              </w:rPr>
              <w:t>2 sindaci su 3</w:t>
            </w:r>
            <w:r>
              <w:rPr>
                <w:sz w:val="16"/>
              </w:rPr>
              <w:t>. Precedente TIM 2018</w:t>
            </w:r>
          </w:p>
        </w:tc>
        <w:tc>
          <w:tcPr>
            <w:tcW w:type="dxa" w:w="1440"/>
          </w:tcPr>
          <w:p>
            <w:pPr>
              <w:spacing w:after="40"/>
            </w:pPr>
            <w:r>
              <w:rPr>
                <w:sz w:val="16"/>
              </w:rPr>
            </w:r>
            <w:r>
              <w:rPr>
                <w:sz w:val="16"/>
              </w:rPr>
              <w:t>~t+90</w:t>
            </w:r>
          </w:p>
        </w:tc>
        <w:tc>
          <w:tcPr>
            <w:tcW w:type="dxa" w:w="1440"/>
          </w:tcPr>
          <w:p>
            <w:pPr>
              <w:spacing w:after="40"/>
            </w:pPr>
            <w:r>
              <w:rPr>
                <w:sz w:val="16"/>
              </w:rPr>
            </w:r>
            <w:r>
              <w:rPr>
                <w:sz w:val="16"/>
              </w:rPr>
              <w:t>apr 2027</w:t>
            </w:r>
          </w:p>
        </w:tc>
        <w:tc>
          <w:tcPr>
            <w:tcW w:type="dxa" w:w="1440"/>
          </w:tcPr>
          <w:p>
            <w:pPr>
              <w:spacing w:after="40"/>
            </w:pPr>
            <w:r>
              <w:rPr>
                <w:sz w:val="16"/>
              </w:rPr>
            </w:r>
            <w:r>
              <w:rPr>
                <w:sz w:val="16"/>
              </w:rPr>
              <w:t>idem</w:t>
            </w:r>
          </w:p>
        </w:tc>
        <w:tc>
          <w:tcPr>
            <w:tcW w:type="dxa" w:w="1440"/>
          </w:tcPr>
          <w:p>
            <w:pPr>
              <w:spacing w:after="40"/>
            </w:pPr>
            <w:r>
              <w:rPr>
                <w:sz w:val="16"/>
              </w:rPr>
            </w:r>
            <w:r>
              <w:rPr>
                <w:sz w:val="16"/>
              </w:rPr>
              <w:t>medio</w:t>
            </w:r>
          </w:p>
        </w:tc>
      </w:tr>
      <w:tr>
        <w:tc>
          <w:tcPr>
            <w:tcW w:type="dxa" w:w="1440"/>
          </w:tcPr>
          <w:p>
            <w:pPr>
              <w:spacing w:after="40"/>
            </w:pPr>
            <w:r>
              <w:rPr>
                <w:sz w:val="16"/>
              </w:rPr>
            </w:r>
            <w:r>
              <w:rPr>
                <w:b/>
                <w:sz w:val="16"/>
              </w:rPr>
              <w:t>C2</w:t>
            </w:r>
            <w:r>
              <w:rPr>
                <w:sz w:val="16"/>
              </w:rPr>
              <w:t xml:space="preserve"> Ricorso al Tribunale delle Imprese</w:t>
            </w:r>
          </w:p>
        </w:tc>
        <w:tc>
          <w:tcPr>
            <w:tcW w:type="dxa" w:w="1440"/>
          </w:tcPr>
          <w:p>
            <w:pPr>
              <w:spacing w:after="40"/>
            </w:pPr>
            <w:r>
              <w:rPr>
                <w:sz w:val="16"/>
              </w:rPr>
            </w:r>
            <w:r>
              <w:rPr>
                <w:sz w:val="16"/>
              </w:rPr>
              <w:t xml:space="preserve">Art. 2367 c. 2 c.c.: decreto che ordina la convocazione e </w:t>
            </w:r>
            <w:r>
              <w:rPr>
                <w:b/>
                <w:sz w:val="16"/>
              </w:rPr>
              <w:t>designa chi deve presiederla</w:t>
            </w:r>
            <w:r>
              <w:rPr>
                <w:sz w:val="16"/>
              </w:rPr>
              <w:t>. Sindacato minimo del giudice (Trib. Milano 2 aprile 2016). Competenza: Firenze (</w:t>
            </w:r>
            <w:r>
              <w:rPr>
                <w:i/>
                <w:sz w:val="16"/>
              </w:rPr>
              <w:t>da verificare</w:t>
            </w:r>
            <w:r>
              <w:rPr>
                <w:sz w:val="16"/>
              </w:rPr>
              <w:t>)</w:t>
            </w:r>
          </w:p>
        </w:tc>
        <w:tc>
          <w:tcPr>
            <w:tcW w:type="dxa" w:w="1440"/>
          </w:tcPr>
          <w:p>
            <w:pPr>
              <w:spacing w:after="40"/>
            </w:pPr>
            <w:r>
              <w:rPr>
                <w:sz w:val="16"/>
              </w:rPr>
            </w:r>
            <w:r>
              <w:rPr>
                <w:sz w:val="16"/>
              </w:rPr>
              <w:t>~t+120/160</w:t>
            </w:r>
          </w:p>
        </w:tc>
        <w:tc>
          <w:tcPr>
            <w:tcW w:type="dxa" w:w="1440"/>
          </w:tcPr>
          <w:p>
            <w:pPr>
              <w:spacing w:after="40"/>
            </w:pPr>
            <w:r>
              <w:rPr>
                <w:sz w:val="16"/>
              </w:rPr>
            </w:r>
            <w:r>
              <w:rPr>
                <w:sz w:val="16"/>
              </w:rPr>
              <w:t>mag–giu 2027</w:t>
            </w:r>
          </w:p>
        </w:tc>
        <w:tc>
          <w:tcPr>
            <w:tcW w:type="dxa" w:w="1440"/>
          </w:tcPr>
          <w:p>
            <w:pPr>
              <w:spacing w:after="40"/>
            </w:pPr>
            <w:r>
              <w:rPr>
                <w:sz w:val="16"/>
              </w:rPr>
            </w:r>
            <w:r>
              <w:rPr>
                <w:sz w:val="16"/>
              </w:rPr>
              <w:t>idem + spese</w:t>
            </w:r>
          </w:p>
        </w:tc>
        <w:tc>
          <w:tcPr>
            <w:tcW w:type="dxa" w:w="1440"/>
          </w:tcPr>
          <w:p>
            <w:pPr>
              <w:spacing w:after="40"/>
            </w:pPr>
            <w:r>
              <w:rPr>
                <w:sz w:val="16"/>
              </w:rPr>
            </w:r>
            <w:r>
              <w:rPr>
                <w:sz w:val="16"/>
              </w:rPr>
              <w:t>medio-alto, ma neutralizza il rischio della presidenza ostile</w:t>
            </w:r>
          </w:p>
        </w:tc>
      </w:tr>
      <w:tr>
        <w:tc>
          <w:tcPr>
            <w:tcW w:type="dxa" w:w="1440"/>
          </w:tcPr>
          <w:p>
            <w:pPr>
              <w:spacing w:after="40"/>
            </w:pPr>
            <w:r>
              <w:rPr>
                <w:sz w:val="16"/>
              </w:rPr>
            </w:r>
            <w:r>
              <w:rPr>
                <w:b/>
                <w:sz w:val="16"/>
              </w:rPr>
              <w:t>D</w:t>
            </w:r>
            <w:r>
              <w:rPr>
                <w:sz w:val="16"/>
              </w:rPr>
              <w:t xml:space="preserve"> Art. 126-bis TUF su assemblea già convocata</w:t>
            </w:r>
          </w:p>
        </w:tc>
        <w:tc>
          <w:tcPr>
            <w:tcW w:type="dxa" w:w="1440"/>
          </w:tcPr>
          <w:p>
            <w:pPr>
              <w:spacing w:after="40"/>
            </w:pPr>
            <w:r>
              <w:rPr>
                <w:sz w:val="16"/>
              </w:rPr>
            </w:r>
            <w:r>
              <w:rPr>
                <w:b/>
                <w:sz w:val="16"/>
              </w:rPr>
              <w:t>Non funziona</w:t>
            </w:r>
            <w:r>
              <w:rPr>
                <w:sz w:val="16"/>
              </w:rPr>
              <w:t>: i termini del voto di lista (40/25/21) sono incompatibili con il preavviso di 30 giorni dell'assemblea di bilancio. Bloccato nel precedente TIM</w:t>
            </w:r>
          </w:p>
        </w:tc>
        <w:tc>
          <w:tcPr>
            <w:tcW w:type="dxa" w:w="1440"/>
          </w:tcPr>
          <w:p>
            <w:pPr>
              <w:spacing w:after="40"/>
            </w:pPr>
            <w:r>
              <w:rPr>
                <w:sz w:val="16"/>
              </w:rPr>
            </w:r>
            <w:r>
              <w:rPr>
                <w:sz w:val="16"/>
              </w:rPr>
              <w:t>—</w:t>
            </w:r>
          </w:p>
        </w:tc>
        <w:tc>
          <w:tcPr>
            <w:tcW w:type="dxa" w:w="1440"/>
          </w:tcPr>
          <w:p>
            <w:pPr>
              <w:spacing w:after="40"/>
            </w:pPr>
            <w:r>
              <w:rPr>
                <w:sz w:val="16"/>
              </w:rPr>
            </w:r>
            <w:r>
              <w:rPr>
                <w:sz w:val="16"/>
              </w:rPr>
              <w:t>—</w:t>
            </w:r>
          </w:p>
        </w:tc>
        <w:tc>
          <w:tcPr>
            <w:tcW w:type="dxa" w:w="1440"/>
          </w:tcPr>
          <w:p>
            <w:pPr>
              <w:spacing w:after="40"/>
            </w:pPr>
            <w:r>
              <w:rPr>
                <w:sz w:val="16"/>
              </w:rPr>
            </w:r>
            <w:r>
              <w:rPr>
                <w:sz w:val="16"/>
              </w:rPr>
              <w:t>—</w:t>
            </w:r>
          </w:p>
        </w:tc>
        <w:tc>
          <w:tcPr>
            <w:tcW w:type="dxa" w:w="1440"/>
          </w:tcPr>
          <w:p>
            <w:pPr>
              <w:spacing w:after="40"/>
            </w:pPr>
            <w:r>
              <w:rPr>
                <w:sz w:val="16"/>
              </w:rPr>
            </w:r>
            <w:r>
              <w:rPr>
                <w:sz w:val="16"/>
              </w:rPr>
              <w:t>da escludere</w:t>
            </w:r>
          </w:p>
        </w:tc>
      </w:tr>
      <w:tr>
        <w:tc>
          <w:tcPr>
            <w:tcW w:type="dxa" w:w="1440"/>
          </w:tcPr>
          <w:p>
            <w:pPr>
              <w:spacing w:after="40"/>
            </w:pPr>
            <w:r>
              <w:rPr>
                <w:sz w:val="16"/>
              </w:rPr>
            </w:r>
            <w:r>
              <w:rPr>
                <w:b/>
                <w:sz w:val="16"/>
              </w:rPr>
              <w:t>E</w:t>
            </w:r>
            <w:r>
              <w:rPr>
                <w:sz w:val="16"/>
              </w:rPr>
              <w:t xml:space="preserve"> Art. 2393 c. 5 c.c.</w:t>
            </w:r>
          </w:p>
        </w:tc>
        <w:tc>
          <w:tcPr>
            <w:tcW w:type="dxa" w:w="1440"/>
          </w:tcPr>
          <w:p>
            <w:pPr>
              <w:spacing w:after="40"/>
            </w:pPr>
            <w:r>
              <w:rPr>
                <w:sz w:val="16"/>
              </w:rPr>
            </w:r>
            <w:r>
              <w:rPr>
                <w:sz w:val="16"/>
              </w:rPr>
              <w:t xml:space="preserve">Revoca automatica per delibera di azione di responsabilità con un quinto del capitale. </w:t>
            </w:r>
            <w:r>
              <w:rPr>
                <w:b/>
                <w:sz w:val="16"/>
              </w:rPr>
              <w:t>Da evitare</w:t>
            </w:r>
            <w:r>
              <w:rPr>
                <w:sz w:val="16"/>
              </w:rPr>
              <w:t>: richiede addebiti nominativi, i revocati non godono di prorogatio (gestione al collegio sindacale con soli poteri ordinari), collide con l'art. 15 c. 10 dello statuto, segnala ingovernabilità a BCE e Banca d'Italia</w:t>
            </w:r>
          </w:p>
        </w:tc>
        <w:tc>
          <w:tcPr>
            <w:tcW w:type="dxa" w:w="1440"/>
          </w:tcPr>
          <w:p>
            <w:pPr>
              <w:spacing w:after="40"/>
            </w:pPr>
            <w:r>
              <w:rPr>
                <w:sz w:val="16"/>
              </w:rPr>
            </w:r>
            <w:r>
              <w:rPr>
                <w:sz w:val="16"/>
              </w:rPr>
              <w:t>teoricamente immediato</w:t>
            </w:r>
          </w:p>
        </w:tc>
        <w:tc>
          <w:tcPr>
            <w:tcW w:type="dxa" w:w="1440"/>
          </w:tcPr>
          <w:p>
            <w:pPr>
              <w:spacing w:after="40"/>
            </w:pPr>
            <w:r>
              <w:rPr>
                <w:sz w:val="16"/>
              </w:rPr>
            </w:r>
            <w:r>
              <w:rPr>
                <w:sz w:val="16"/>
              </w:rPr>
              <w:t>—</w:t>
            </w:r>
          </w:p>
        </w:tc>
        <w:tc>
          <w:tcPr>
            <w:tcW w:type="dxa" w:w="1440"/>
          </w:tcPr>
          <w:p>
            <w:pPr>
              <w:spacing w:after="40"/>
            </w:pPr>
            <w:r>
              <w:rPr>
                <w:sz w:val="16"/>
              </w:rPr>
            </w:r>
            <w:r>
              <w:rPr>
                <w:sz w:val="16"/>
              </w:rPr>
              <w:t>molto alto</w:t>
            </w:r>
          </w:p>
        </w:tc>
        <w:tc>
          <w:tcPr>
            <w:tcW w:type="dxa" w:w="1440"/>
          </w:tcPr>
          <w:p>
            <w:pPr>
              <w:spacing w:after="40"/>
            </w:pPr>
            <w:r>
              <w:rPr>
                <w:sz w:val="16"/>
              </w:rPr>
            </w:r>
            <w:r>
              <w:rPr>
                <w:b/>
                <w:sz w:val="16"/>
              </w:rPr>
              <w:t>molto alto</w:t>
            </w:r>
          </w:p>
        </w:tc>
      </w:tr>
      <w:tr>
        <w:tc>
          <w:tcPr>
            <w:tcW w:type="dxa" w:w="1440"/>
          </w:tcPr>
          <w:p>
            <w:pPr>
              <w:spacing w:after="40"/>
            </w:pPr>
            <w:r>
              <w:rPr>
                <w:sz w:val="16"/>
              </w:rPr>
            </w:r>
            <w:r>
              <w:rPr>
                <w:b/>
                <w:sz w:val="16"/>
              </w:rPr>
              <w:t>F</w:t>
            </w:r>
            <w:r>
              <w:rPr>
                <w:sz w:val="16"/>
              </w:rPr>
              <w:t xml:space="preserve"> Art. 2409 c.c.</w:t>
            </w:r>
          </w:p>
        </w:tc>
        <w:tc>
          <w:tcPr>
            <w:tcW w:type="dxa" w:w="1440"/>
          </w:tcPr>
          <w:p>
            <w:pPr>
              <w:spacing w:after="40"/>
            </w:pPr>
            <w:r>
              <w:rPr>
                <w:sz w:val="16"/>
              </w:rPr>
            </w:r>
            <w:r>
              <w:rPr>
                <w:b/>
                <w:sz w:val="16"/>
              </w:rPr>
              <w:t>Non disponibile</w:t>
            </w:r>
            <w:r>
              <w:rPr>
                <w:sz w:val="16"/>
              </w:rPr>
              <w:t>: l'art. 70 c. 7 TUB lo esclude per le banche, sostituendolo con la denuncia alla Banca d'Italia</w:t>
            </w:r>
          </w:p>
        </w:tc>
        <w:tc>
          <w:tcPr>
            <w:tcW w:type="dxa" w:w="1440"/>
          </w:tcPr>
          <w:p>
            <w:pPr>
              <w:spacing w:after="40"/>
            </w:pPr>
            <w:r>
              <w:rPr>
                <w:sz w:val="16"/>
              </w:rPr>
            </w:r>
            <w:r>
              <w:rPr>
                <w:sz w:val="16"/>
              </w:rPr>
              <w:t>—</w:t>
            </w:r>
          </w:p>
        </w:tc>
        <w:tc>
          <w:tcPr>
            <w:tcW w:type="dxa" w:w="1440"/>
          </w:tcPr>
          <w:p>
            <w:pPr>
              <w:spacing w:after="40"/>
            </w:pPr>
            <w:r>
              <w:rPr>
                <w:sz w:val="16"/>
              </w:rPr>
            </w:r>
            <w:r>
              <w:rPr>
                <w:sz w:val="16"/>
              </w:rPr>
              <w:t>—</w:t>
            </w:r>
          </w:p>
        </w:tc>
        <w:tc>
          <w:tcPr>
            <w:tcW w:type="dxa" w:w="1440"/>
          </w:tcPr>
          <w:p>
            <w:pPr>
              <w:spacing w:after="40"/>
            </w:pPr>
            <w:r>
              <w:rPr>
                <w:sz w:val="16"/>
              </w:rPr>
            </w:r>
            <w:r>
              <w:rPr>
                <w:sz w:val="16"/>
              </w:rPr>
              <w:t>—</w:t>
            </w:r>
          </w:p>
        </w:tc>
        <w:tc>
          <w:tcPr>
            <w:tcW w:type="dxa" w:w="1440"/>
          </w:tcPr>
          <w:p>
            <w:pPr>
              <w:spacing w:after="40"/>
            </w:pPr>
            <w:r>
              <w:rPr>
                <w:sz w:val="16"/>
              </w:rPr>
            </w:r>
            <w:r>
              <w:rPr>
                <w:sz w:val="16"/>
              </w:rPr>
              <w:t>precluso</w:t>
            </w:r>
          </w:p>
        </w:tc>
      </w:tr>
      <w:tr>
        <w:tc>
          <w:tcPr>
            <w:tcW w:type="dxa" w:w="1440"/>
          </w:tcPr>
          <w:p>
            <w:pPr>
              <w:spacing w:after="40"/>
            </w:pPr>
            <w:r>
              <w:rPr>
                <w:sz w:val="16"/>
              </w:rPr>
            </w:r>
            <w:r>
              <w:rPr>
                <w:b/>
                <w:sz w:val="16"/>
              </w:rPr>
              <w:t>G</w:t>
            </w:r>
            <w:r>
              <w:rPr>
                <w:sz w:val="16"/>
              </w:rPr>
              <w:t xml:space="preserve"> Difesa asimmetrica del board</w:t>
            </w:r>
          </w:p>
        </w:tc>
        <w:tc>
          <w:tcPr>
            <w:tcW w:type="dxa" w:w="1440"/>
          </w:tcPr>
          <w:p>
            <w:pPr>
              <w:spacing w:after="40"/>
            </w:pPr>
            <w:r>
              <w:rPr>
                <w:sz w:val="16"/>
              </w:rPr>
            </w:r>
            <w:r>
              <w:rPr>
                <w:sz w:val="16"/>
              </w:rPr>
              <w:t xml:space="preserve">Il consiglio si dimette </w:t>
            </w:r>
            <w:r>
              <w:rPr>
                <w:i/>
                <w:sz w:val="16"/>
              </w:rPr>
              <w:t>per rallentare</w:t>
            </w:r>
            <w:r>
              <w:rPr>
                <w:sz w:val="16"/>
              </w:rPr>
              <w:t>, innescando la clausola statutaria e il rinnovo integrale con voto di lista, e presenta la propria lista ex art. 147-ter.1 TUF (delibera con i 2/3 dei componenti, deposito 40 giorni prima). È la mossa TIM 2018. Con ISP oltre il 66% l'esito non è in dubbio</w:t>
            </w:r>
          </w:p>
        </w:tc>
        <w:tc>
          <w:tcPr>
            <w:tcW w:type="dxa" w:w="1440"/>
          </w:tcPr>
          <w:p>
            <w:pPr>
              <w:spacing w:after="40"/>
            </w:pPr>
            <w:r>
              <w:rPr>
                <w:sz w:val="16"/>
              </w:rPr>
            </w:r>
            <w:r>
              <w:rPr>
                <w:sz w:val="16"/>
              </w:rPr>
              <w:t>—</w:t>
            </w:r>
          </w:p>
        </w:tc>
        <w:tc>
          <w:tcPr>
            <w:tcW w:type="dxa" w:w="1440"/>
          </w:tcPr>
          <w:p>
            <w:pPr>
              <w:spacing w:after="40"/>
            </w:pPr>
            <w:r>
              <w:rPr>
                <w:sz w:val="16"/>
              </w:rPr>
            </w:r>
            <w:r>
              <w:rPr>
                <w:sz w:val="16"/>
              </w:rPr>
              <w:t>—</w:t>
            </w:r>
          </w:p>
        </w:tc>
        <w:tc>
          <w:tcPr>
            <w:tcW w:type="dxa" w:w="1440"/>
          </w:tcPr>
          <w:p>
            <w:pPr>
              <w:spacing w:after="40"/>
            </w:pPr>
            <w:r>
              <w:rPr>
                <w:sz w:val="16"/>
              </w:rPr>
            </w:r>
            <w:r>
              <w:rPr>
                <w:sz w:val="16"/>
              </w:rPr>
              <w:t>—</w:t>
            </w:r>
          </w:p>
        </w:tc>
        <w:tc>
          <w:tcPr>
            <w:tcW w:type="dxa" w:w="1440"/>
          </w:tcPr>
          <w:p>
            <w:pPr>
              <w:spacing w:after="40"/>
            </w:pPr>
            <w:r>
              <w:rPr>
                <w:sz w:val="16"/>
              </w:rPr>
            </w:r>
            <w:r>
              <w:rPr>
                <w:sz w:val="16"/>
              </w:rPr>
              <w:t>da mettere in conto</w:t>
            </w:r>
          </w:p>
        </w:tc>
      </w:tr>
    </w:tbl>
    <w:p/>
    <w:p>
      <w:pPr>
        <w:pStyle w:val="Heading3"/>
      </w:pPr>
      <w:r>
        <w:t>10.4 Il limite della direzione e coordinamento: non è una linea di comando sui dipendenti</w:t>
      </w:r>
    </w:p>
    <w:p>
      <w:r>
        <w:t xml:space="preserve">È il punto operativo più importante del nodo B. Per la capogruppo di un gruppo bancario l'esercizio della direzione e coordinamento </w:t>
      </w:r>
      <w:r>
        <w:rPr>
          <w:b/>
        </w:rPr>
        <w:t>è un dovere e non solo un diritto</w:t>
      </w:r>
      <w:r>
        <w:t xml:space="preserve"> (art. 61 c. 1 TUB), e l'assoggettamento va reso pubblico ex art. 2497-bis c.c. Ma il perimetro va distinto con precisione:</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Oggetto</w:t>
            </w:r>
          </w:p>
        </w:tc>
        <w:tc>
          <w:tcPr>
            <w:tcW w:type="dxa" w:w="4320"/>
          </w:tcPr>
          <w:p>
            <w:pPr>
              <w:spacing w:after="40"/>
            </w:pPr>
            <w:r>
              <w:rPr>
                <w:b/>
                <w:sz w:val="16"/>
              </w:rPr>
            </w:r>
            <w:r>
              <w:rPr>
                <w:b/>
                <w:sz w:val="16"/>
              </w:rPr>
              <w:t>L'art. 61 c. 4 TUB funziona?</w:t>
            </w:r>
          </w:p>
        </w:tc>
      </w:tr>
      <w:tr>
        <w:tc>
          <w:tcPr>
            <w:tcW w:type="dxa" w:w="4320"/>
          </w:tcPr>
          <w:p>
            <w:pPr>
              <w:spacing w:after="40"/>
            </w:pPr>
            <w:r>
              <w:rPr>
                <w:sz w:val="16"/>
              </w:rPr>
            </w:r>
            <w:r>
              <w:rPr>
                <w:sz w:val="16"/>
              </w:rPr>
              <w:t>Dati, flussi per il consolidato, reporting package, informativa di vigilanza, ICAAP/ILAAP, accesso delle funzioni di controllo di gruppo</w:t>
            </w:r>
          </w:p>
        </w:tc>
        <w:tc>
          <w:tcPr>
            <w:tcW w:type="dxa" w:w="4320"/>
          </w:tcPr>
          <w:p>
            <w:pPr>
              <w:spacing w:after="40"/>
            </w:pPr>
            <w:r>
              <w:rPr>
                <w:sz w:val="16"/>
              </w:rPr>
            </w:r>
            <w:r>
              <w:rPr>
                <w:b/>
                <w:sz w:val="16"/>
              </w:rPr>
              <w:t>Sì.</w:t>
            </w:r>
            <w:r>
              <w:rPr>
                <w:sz w:val="16"/>
              </w:rPr>
              <w:t xml:space="preserve"> È il contenuto testuale della norma: gli amministratori della controllata "sono tenuti a fornire ogni dato e informazione" e a prestare "la necessaria collaborazione per il rispetto delle norme sulla vigilanza su base consolidata"</w:t>
            </w:r>
          </w:p>
        </w:tc>
      </w:tr>
      <w:tr>
        <w:tc>
          <w:tcPr>
            <w:tcW w:type="dxa" w:w="4320"/>
          </w:tcPr>
          <w:p>
            <w:pPr>
              <w:spacing w:after="40"/>
            </w:pPr>
            <w:r>
              <w:rPr>
                <w:sz w:val="16"/>
              </w:rPr>
            </w:r>
            <w:r>
              <w:rPr>
                <w:sz w:val="16"/>
              </w:rPr>
              <w:t>Scelte di business, campagne commerciali, pricing, obiettivi di rete, decisioni sul personale</w:t>
            </w:r>
          </w:p>
        </w:tc>
        <w:tc>
          <w:tcPr>
            <w:tcW w:type="dxa" w:w="4320"/>
          </w:tcPr>
          <w:p>
            <w:pPr>
              <w:spacing w:after="40"/>
            </w:pPr>
            <w:r>
              <w:rPr>
                <w:sz w:val="16"/>
              </w:rPr>
            </w:r>
            <w:r>
              <w:rPr>
                <w:b/>
                <w:sz w:val="16"/>
              </w:rPr>
              <w:t>No.</w:t>
            </w:r>
            <w:r>
              <w:rPr>
                <w:sz w:val="16"/>
              </w:rPr>
              <w:t xml:space="preserve"> Il potere è funzionalmente circoscritto all'esecuzione delle istruzioni di vigilanza nell'interesse della stabilità del gruppo; la giurisprudenza ha censurato regolamenti di gruppo che ne ricavavano un potere di direzione più ampio</w:t>
            </w:r>
          </w:p>
        </w:tc>
      </w:tr>
    </w:tbl>
    <w:p/>
    <w:p>
      <w:r>
        <w:rPr>
          <w:b/>
        </w:rPr>
        <w:t>Conseguenza.</w:t>
      </w:r>
      <w:r>
        <w:t xml:space="preserve"> Finché il consiglio MPS è in carica, l'organo amministrativo e l'amministratore delegato restano </w:t>
      </w:r>
      <w:r>
        <w:rPr>
          <w:b/>
        </w:rPr>
        <w:t>l'unica fonte legittima di istruzioni</w:t>
      </w:r>
      <w:r>
        <w:t xml:space="preserve"> per i dipendenti e i dirigenti di MPS, e sono il datore di lavoro. Un responsabile di rete che eseguisse istruzioni provenienti da ISP contro le direttive del proprio consiglio non commetterebbe un illecito verso ISP — non ha alcun rapporto con ISP — ma un'inadempienza verso il proprio datore di lavoro, con esposizione disciplinare e, nei casi gravi, a un licenziamento </w:t>
      </w:r>
      <w:r>
        <w:rPr>
          <w:b/>
        </w:rPr>
        <w:t>giuridicamente valido</w:t>
      </w:r>
      <w:r>
        <w:t>. Il rischio ricadrebbe sulle persone di MPS, non su ISP.</w:t>
      </w:r>
    </w:p>
    <w:p>
      <w:r>
        <w:t xml:space="preserve">Tre indicazioni operative: </w:t>
      </w:r>
      <w:r>
        <w:rPr>
          <w:b/>
        </w:rPr>
        <w:t>non chiedere ai dirigenti MPS di bypassare il proprio consiglio</w:t>
      </w:r>
      <w:r>
        <w:t xml:space="preserve"> (ciò che è gestione va chiesto al consiglio, non alla struttura; ciò che è dati e vigilanza è coperto dall'art. 61 c. 4); </w:t>
      </w:r>
      <w:r>
        <w:rPr>
          <w:b/>
        </w:rPr>
        <w:t>tutelare e documentare</w:t>
      </w:r>
      <w:r>
        <w:t xml:space="preserve"> chi subisse conseguenze per aver collaborato, perché un atto ritorsivo alimenta sia la responsabilità ex art. 2392 c.c. sia il dossier di giusta causa; </w:t>
      </w:r>
      <w:r>
        <w:rPr>
          <w:b/>
        </w:rPr>
        <w:t>la leva della finestra interinale è il dossier documentale, non il comando</w:t>
      </w:r>
      <w:r>
        <w:t>.</w:t>
      </w:r>
    </w:p>
    <w:p>
      <w:r>
        <w:rPr>
          <w:b/>
        </w:rPr>
        <w:t>Distinzione connessa, facile da perdere</w:t>
      </w:r>
      <w:r>
        <w:t xml:space="preserve">: se si dimette la maggioranza, il consiglio è in </w:t>
      </w:r>
      <w:r>
        <w:rPr>
          <w:i/>
        </w:rPr>
        <w:t>prorogatio</w:t>
      </w:r>
      <w:r>
        <w:t xml:space="preserve"> con poteri pieni (Cass. 8912/2003) ma con il dovere funzionale di adoperarsi per la ricostituzione. </w:t>
      </w:r>
      <w:r>
        <w:rPr>
          <w:b/>
        </w:rPr>
        <w:t>Se la maggioranza non si dimette non c'è prorogatio affatto</w:t>
      </w:r>
      <w:r>
        <w:t>: il consiglio è in carica a pieno titolo, con mandato fino al 2029 e senza alcuna attenuazione dei poteri né alcun dovere di adoperarsi. Gli argomenti fondati sulla prorogatio non sono utilizzabili in quello scenario.</w:t>
      </w:r>
    </w:p>
    <w:p>
      <w:r>
        <w:rPr>
          <w:b/>
        </w:rPr>
        <w:t>Corollario di pianificazione</w:t>
      </w:r>
      <w:r>
        <w:t xml:space="preserve">: l'asimmetria fra i due scenari non è nei tempi della nomina ma nella </w:t>
      </w:r>
      <w:r>
        <w:rPr>
          <w:b/>
        </w:rPr>
        <w:t>capacità di governare il business</w:t>
      </w:r>
      <w:r>
        <w:t xml:space="preserve"> fra il settlement e l'insediamento. Se il consiglio non si dimette, ISP nella sostanza </w:t>
      </w:r>
      <w:r>
        <w:rPr>
          <w:b/>
        </w:rPr>
        <w:t>non governa MPS per 50-90 giorni</w:t>
      </w:r>
      <w:r>
        <w:t xml:space="preserve"> pur avendone la proprietà.</w:t>
      </w:r>
    </w:p>
    <w:p>
      <w:pPr>
        <w:pStyle w:val="Heading3"/>
      </w:pPr>
      <w:r>
        <w:t>10.5 La revoca: giusta causa e costo</w:t>
      </w:r>
    </w:p>
    <w:p>
      <w:r>
        <w:t xml:space="preserve">La giusta causa </w:t>
      </w:r>
      <w:r>
        <w:rPr>
          <w:b/>
        </w:rPr>
        <w:t>non è condizione di validità</w:t>
      </w:r>
      <w:r>
        <w:t xml:space="preserve"> della revoca (art. 2383 c. 3 c.c.): la revoca è sempre efficace, e la giusta causa serve solo a escludere il risarcimento. Tre punti fermi:</w:t>
      </w:r>
    </w:p>
    <w:p>
      <w:pPr>
        <w:pStyle w:val="ListNumber"/>
      </w:pPr>
      <w:r>
        <w:rPr>
          <w:b/>
        </w:rPr>
        <w:t>Il solo cambio di controllo non è giusta causa</w:t>
      </w:r>
      <w:r>
        <w:t xml:space="preserve"> (Cass. 21495/2020). </w:t>
      </w:r>
      <w:r>
        <w:rPr>
          <w:b/>
        </w:rPr>
        <w:t>Ma le condotte concrete tenute nel corso dell'offerta sono un'altra cosa</w:t>
      </w:r>
      <w:r>
        <w:t xml:space="preserve"> e sono il terreno su cui la giusta causa può essere costruita: la nozione accolta è quella di "circostanze sopravvenute, anche non integranti inadempimento, che pregiudicano l'affidamento". Fatti candidati: misure difensive deliberate dopo il settlement, atti ritorsivi verso strutture che collaborano, rifiuto di fornire dati in violazione dell'art. 61 c. 4 TUB, ritardo ingiustificato nella convocazione richiesta.</w:t>
      </w:r>
    </w:p>
    <w:p>
      <w:pPr>
        <w:pStyle w:val="ListNumber"/>
      </w:pPr>
      <w:r>
        <w:rPr>
          <w:b/>
        </w:rPr>
        <w:t>Non può essere addotta dopo</w:t>
      </w:r>
      <w:r>
        <w:t xml:space="preserve"> (Cass. 23557/2008, 2037/2018, 21495/2020): le ragioni devono essere esplicitate in assemblea e risultare a verbale. </w:t>
      </w:r>
      <w:r>
        <w:rPr>
          <w:b/>
        </w:rPr>
        <w:t>È quindi una scelta binaria da fare prima dell'assemblea.</w:t>
      </w:r>
    </w:p>
    <w:p>
      <w:pPr>
        <w:pStyle w:val="ListNumber"/>
      </w:pPr>
      <w:r>
        <w:rPr>
          <w:b/>
        </w:rPr>
        <w:t>Il quantum</w:t>
      </w:r>
      <w:r>
        <w:t xml:space="preserve">: Cass. 4586/2023 riconduce il rapporto al mandato e applica l'art. 1725 c. 1 c.c., salvo deroga statutaria o convenzionale espressa, che lo statuto MPS non contiene. Il danno all'immagine non è automatico e richiede un </w:t>
      </w:r>
      <w:r>
        <w:rPr>
          <w:i/>
        </w:rPr>
        <w:t>quid pluris</w:t>
      </w:r>
      <w:r>
        <w:t xml:space="preserve"> rispetto alla revoca in sé (Cass. 2037/2018): argomento a favore di una revoca non motivata, in tensione con il punto 1.</w:t>
      </w:r>
    </w:p>
    <w:p>
      <w:r>
        <w:rPr>
          <w:b/>
        </w:rPr>
        <w:t>Ordine di grandezza</w:t>
      </w:r>
      <w:r>
        <w:t xml:space="preserve">: la componente consiliare vale circa 2,5 milioni l'anno (presidente più 14 consiglieri), con ~2,2 esercizi residui, quindi 5-6 milioni, più la remunerazione dell'AD e l'eventuale indennità di fine rapporto. </w:t>
      </w:r>
      <w:r>
        <w:rPr>
          <w:b/>
        </w:rPr>
        <w:t>Su un'offerta da 30,6 miliardi il costo monetario è irrilevante: la variabile critica è il tempo, non il denaro.</w:t>
      </w:r>
      <w:r>
        <w:t xml:space="preserve"> Vincolo da rispettare: politica di remunerazione ex art. 123-ter TUF e Circ. Banca d'Italia 285 (cap in annualità della remunerazione fissa, </w:t>
      </w:r>
      <w:r>
        <w:rPr>
          <w:i/>
        </w:rPr>
        <w:t>malus/clawback</w:t>
      </w:r>
      <w:r>
        <w:t>, approvazione assembleare oltre soglia).</w:t>
      </w:r>
    </w:p>
    <w:p>
      <w:pPr>
        <w:pStyle w:val="Heading2"/>
      </w:pPr>
      <w:r>
        <w:t>11. Il remedy Unipol e il carve-out nei due rami</w:t>
      </w:r>
    </w:p>
    <w:p>
      <w:r>
        <w:rPr>
          <w:b/>
        </w:rPr>
        <w:t>L'impegno di Unipol non è condizionato al 90%</w:t>
      </w:r>
      <w:r>
        <w:t>: è subordinato al perfezionamento dell'Offerta, all'adesione di MPS all'Accordo e alle autorizzazioni. Unipol quindi non esce. Cambia però l'oggetto della compravendita.</w:t>
      </w:r>
    </w:p>
    <w:p>
      <w:r>
        <w:rPr>
          <w:b/>
        </w:rPr>
        <w:t>Ramo ≥90%.</w:t>
      </w:r>
      <w:r>
        <w:t xml:space="preserve"> MPS, delistata e interamente posseduta, conserva il marchio e può essere </w:t>
      </w:r>
      <w:r>
        <w:rPr>
          <w:i/>
        </w:rPr>
        <w:t>essa stessa</w:t>
      </w:r>
      <w:r>
        <w:t xml:space="preserve"> l'entità ceduta. Il carve-out va nella direzione opposta a quella intuitiva: </w:t>
      </w:r>
      <w:r>
        <w:rPr>
          <w:b/>
        </w:rPr>
        <w:t>non si estrae ciò che si vende, si estrae ciò che si trattiene</w:t>
      </w:r>
      <w:r>
        <w:t xml:space="preserve"> — le circa 625 filiali che restano a ISP, Mediobanca e il resto del perimetro — lasciando dentro MPS le 635 filiali, le strutture centrali e il marchio; poi si cede il 100% delle azioni MPS. L'estrazione è </w:t>
      </w:r>
      <w:r>
        <w:rPr>
          <w:b/>
        </w:rPr>
        <w:t>interamente infragruppo</w:t>
      </w:r>
      <w:r>
        <w:t xml:space="preserve"> in una società al 100%: nessuna disciplina OPC, nessuna minoranza, nessun profilo ex art. 2497 c.c.</w:t>
      </w:r>
    </w:p>
    <w:p>
      <w:r>
        <w:rPr>
          <w:b/>
        </w:rPr>
        <w:t>Ramo sotto-90%.</w:t>
      </w:r>
      <w:r>
        <w:t xml:space="preserve"> La strada è preclusa per due ragioni indipendenti: l'"intero capitale" di MPS non è nella disponibilità di ISP finché esistono minoranze; e cedere il solo pacchetto ISP farebbe superare a Unipol il 30% di un emittente quotato, con </w:t>
      </w:r>
      <w:r>
        <w:rPr>
          <w:b/>
        </w:rPr>
        <w:t>OPA obbligatoria</w:t>
      </w:r>
      <w:r>
        <w:t xml:space="preserve"> ex art. 106 c. 1 TUF sulle azioni residue. Si ricade sulla struttura alternativa già contemplata dall'Accordo ("</w:t>
      </w:r>
      <w:r>
        <w:rPr>
          <w:i/>
        </w:rPr>
        <w:t>eventualmente</w:t>
      </w:r>
      <w:r>
        <w:t xml:space="preserve"> identificata nello stesso Emittente"): una </w:t>
      </w:r>
      <w:r>
        <w:rPr>
          <w:b/>
        </w:rPr>
        <w:t>newco bancaria</w:t>
      </w:r>
      <w:r>
        <w:t xml:space="preserve"> in cui conferire le 635 filiali e le strutture centrali, con il marchio, e di cui cedere il 100%.</w:t>
      </w:r>
    </w:p>
    <w:p>
      <w:r>
        <w:rPr>
          <w:b/>
        </w:rPr>
        <w:t>La newco non deve attendere la fusione</w:t>
      </w:r>
      <w:r>
        <w:t xml:space="preserve">: può essere costituita e alimentata mentre MPS è ancora quotata, purché il CdA MPS deliberi. Il ritardo è di mesi, non di un anno, </w:t>
      </w:r>
      <w:r>
        <w:rPr>
          <w:b/>
        </w:rPr>
        <w:t>a condizione che la governance collabori</w:t>
      </w:r>
      <w:r>
        <w:t xml:space="preserve">. Anelli della catena: (1) delibera di adesione di MPS all'Accordo; (2) autorizzazione all'attività bancaria per il veicolo, art. 14 TUB, iter pluri-mensile; (3) conferimento o cessione del compendio con lo strumento dell'art. 58 TUB, o in alternativa scissione con assemblea straordinaria; (4) consultazioni sindacali ex art. 47 L. 428/1990 su 635 filiali; (5) carve-out IT e separazione operativa. </w:t>
      </w:r>
      <w:r>
        <w:rPr>
          <w:b/>
        </w:rPr>
        <w:t>I punti 3, 4 e 5 esistono in entrambi i rami</w:t>
      </w:r>
      <w:r>
        <w:t>, perché anche a ≥90% bisogna estrarre le 625 filiali trattenute: il costo incrementale del sotto-90% è concentrato nell'autorizzazione bancaria del veicolo, nell'esecuzione dentro una società quotata con minoranze e nell'impossibilità di chiudere con una cessione di azioni, che obbliga a rinegoziare con Unipol l'oggetto del contratto.</w:t>
      </w:r>
    </w:p>
    <w:p>
      <w:r>
        <w:rPr>
          <w:b/>
        </w:rPr>
        <w:t>Il vincolo dominante è la scadenza degli impegni antitrust.</w:t>
      </w:r>
      <w:r>
        <w:t xml:space="preserve"> Il calendario non lo decidono ISP e Unipol ma la decisione dell'AGCM, la cui istruttoria approfondita è stata avviata il 14 settembre 2026. Nella prassi dei remedy la cessione ha una scadenza vincolante e, in caso di sforamento, interviene un </w:t>
      </w:r>
      <w:r>
        <w:rPr>
          <w:i/>
        </w:rPr>
        <w:t>divestiture trustee</w:t>
      </w:r>
      <w:r>
        <w:t xml:space="preserve"> che vende senza vincolo di prezzo minimo. </w:t>
      </w:r>
      <w:r>
        <w:rPr>
          <w:b/>
        </w:rPr>
        <w:t>La tempistica da negoziare va costruita sullo scenario newco, non su quello semplice</w:t>
      </w:r>
      <w:r>
        <w:t>, perché il sotto-90% è il ramo probabile; le 190 filiali ancora identificate solo in via preliminare sono la leva negoziale per allineare perimetro e termini.</w:t>
      </w:r>
    </w:p>
    <w:p>
      <w:r>
        <w:rPr>
          <w:b/>
        </w:rPr>
        <w:t>Rischio prezzo nel ramo sotto-90%.</w:t>
      </w:r>
      <w:r>
        <w:t xml:space="preserve"> Conviene che il venditore sia MPS, perché la cessione a Unipol è verso un terzo e quindi non è un'OPC, mentre far passare ISP come venditore intermedio la trasformerebbe in un'OPC di maggiore rilevanza. Ma allora MPS incassa i 3-3,5 miliardi e </w:t>
      </w:r>
      <w:r>
        <w:rPr>
          <w:b/>
        </w:rPr>
        <w:t>il 25-30% di quel valore appartiene economicamente alle minoranze</w:t>
      </w:r>
      <w:r>
        <w:t>. Il CdA MPS ha già messo a verbale pubblicamente, nel comunicato del 16 luglio 2026, che la valorizzazione della rete ceduta è inferiore ai multipli medi delle banche italiane e che la disaggregazione indebolirebbe il marchio: non è un veto, ma è materiale documentale per un'azione ex art. 2497 o ex art. 2393-bis c.c. Presidio: processo competitivo documentato o fairness opinion indipendente, più motivazione analitica ex art. 2497-ter c.c.</w:t>
      </w:r>
    </w:p>
    <w:p>
      <w:r>
        <w:rPr>
          <w:b/>
        </w:rPr>
        <w:t>Opzione alternativa da valutare</w:t>
      </w:r>
      <w:r>
        <w:t>: cedere il compendio direttamente in un veicolo bancario già esistente della controparte (BPER, dove Unipol è poco sotto il 30% e dove la banca acquisita è comunque destinata ad approdare), evitando di autorizzare una banca standalone. Il vincolo è antitrust: l'Autorità valuta l'idoneità dell'acquirente a ripristinare la concorrenza nei mercati locali, e trasferire filiali a un operatore già forte negli stessi bacini può non rimediare la concentrazione.</w:t>
      </w:r>
    </w:p>
    <w:p>
      <w:r>
        <w:rPr>
          <w:b/>
        </w:rPr>
        <w:t>La voce "finalizzazione carve-out entro aprile-maggio"</w:t>
      </w:r>
      <w:r>
        <w:t xml:space="preserve"> del deck riguarda le analisi e la mappatura del perimetro, e </w:t>
      </w:r>
      <w:r>
        <w:rPr>
          <w:b/>
        </w:rPr>
        <w:t>non dipende dal nodo A ma dal nodo B</w:t>
      </w:r>
      <w:r>
        <w:t xml:space="preserve">: dipende dall'accesso ai dati e alla collaborazione delle strutture MPS. Conseguenza contabile: se al primo consolidato del 31 marzo 2027 il veicolo non esiste e il perimetro non è definito, la classificazione </w:t>
      </w:r>
      <w:r>
        <w:rPr>
          <w:b/>
        </w:rPr>
        <w:t>IFRS 5</w:t>
      </w:r>
      <w:r>
        <w:t xml:space="preserve"> difficilmente è sostenibile (manca la disponibilità per la vendita immediata nelle condizioni attuali) e il carve-out resta gestibile solo in </w:t>
      </w:r>
      <w:r>
        <w:rPr>
          <w:i/>
        </w:rPr>
        <w:t>disclosure</w:t>
      </w:r>
      <w:r>
        <w:t xml:space="preserve">. L'eccezione al termine dei dodici mesi di IFRS 5.9 e B1(a) copre i ritardi imposti da </w:t>
      </w:r>
      <w:r>
        <w:rPr>
          <w:b/>
        </w:rPr>
        <w:t>terzi</w:t>
      </w:r>
      <w:r>
        <w:t>, non quelli riconducibili al venditore.</w:t>
      </w:r>
    </w:p>
    <w:p>
      <w:pPr>
        <w:pStyle w:val="Heading2"/>
      </w:pPr>
      <w:r>
        <w:t>12. La matrice combinata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6"/>
              </w:rPr>
            </w:r>
          </w:p>
        </w:tc>
        <w:tc>
          <w:tcPr>
            <w:tcW w:type="dxa" w:w="2880"/>
          </w:tcPr>
          <w:p>
            <w:pPr>
              <w:spacing w:after="40"/>
            </w:pPr>
            <w:r>
              <w:rPr>
                <w:b/>
                <w:sz w:val="16"/>
              </w:rPr>
            </w:r>
            <w:r>
              <w:rPr>
                <w:b/>
                <w:sz w:val="16"/>
              </w:rPr>
              <w:t>CdA si dimette</w:t>
            </w:r>
          </w:p>
        </w:tc>
        <w:tc>
          <w:tcPr>
            <w:tcW w:type="dxa" w:w="2880"/>
          </w:tcPr>
          <w:p>
            <w:pPr>
              <w:spacing w:after="40"/>
            </w:pPr>
            <w:r>
              <w:rPr>
                <w:b/>
                <w:sz w:val="16"/>
              </w:rPr>
            </w:r>
            <w:r>
              <w:rPr>
                <w:b/>
                <w:sz w:val="16"/>
              </w:rPr>
              <w:t>CdA non si dimette</w:t>
            </w:r>
          </w:p>
        </w:tc>
      </w:tr>
      <w:tr>
        <w:tc>
          <w:tcPr>
            <w:tcW w:type="dxa" w:w="2880"/>
          </w:tcPr>
          <w:p>
            <w:pPr>
              <w:spacing w:after="40"/>
            </w:pPr>
            <w:r>
              <w:rPr>
                <w:sz w:val="16"/>
              </w:rPr>
            </w:r>
            <w:r>
              <w:rPr>
                <w:b/>
                <w:sz w:val="16"/>
              </w:rPr>
              <w:t>≥90%</w:t>
            </w:r>
          </w:p>
        </w:tc>
        <w:tc>
          <w:tcPr>
            <w:tcW w:type="dxa" w:w="2880"/>
          </w:tcPr>
          <w:p>
            <w:pPr>
              <w:spacing w:after="40"/>
            </w:pPr>
            <w:r>
              <w:rPr>
                <w:sz w:val="16"/>
              </w:rPr>
            </w:r>
            <w:r>
              <w:rPr>
                <w:b/>
                <w:sz w:val="16"/>
              </w:rPr>
              <w:t>Q1 — Scenario di pag. 4, migliorato.</w:t>
            </w:r>
            <w:r>
              <w:rPr>
                <w:sz w:val="16"/>
              </w:rPr>
              <w:t xml:space="preserve"> Nuovo CdA 25 febbraio 2027, o t+20 con convocazione anticipata. Delisting e 100% fra fine febbraio e marzo 2027. Carve-out eseguibile come disegnato. Nessuna OPC, nessuna minoranza nel CET1, Danish pieno, un solo perimetro MAR</w:t>
            </w:r>
          </w:p>
        </w:tc>
        <w:tc>
          <w:tcPr>
            <w:tcW w:type="dxa" w:w="2880"/>
          </w:tcPr>
          <w:p>
            <w:pPr>
              <w:spacing w:after="40"/>
            </w:pPr>
            <w:r>
              <w:rPr>
                <w:sz w:val="16"/>
              </w:rPr>
            </w:r>
            <w:r>
              <w:rPr>
                <w:b/>
                <w:sz w:val="16"/>
              </w:rPr>
              <w:t>Q2 — Gestibile, ma con un buco di governo.</w:t>
            </w:r>
            <w:r>
              <w:rPr>
                <w:sz w:val="16"/>
              </w:rPr>
              <w:t xml:space="preserve"> Sui tempi della nomina cambia poco; il ritardo si materializza solo con ostruzionismo sulla convocazione (fino a t+90). Il costo vero è la finestra interinale. Il delisting </w:t>
            </w:r>
            <w:r>
              <w:rPr>
                <w:b/>
                <w:sz w:val="16"/>
              </w:rPr>
              <w:t>chiude il problema a valle</w:t>
            </w:r>
            <w:r>
              <w:rPr>
                <w:sz w:val="16"/>
              </w:rPr>
              <w:t>: al 100% gli organi si sostituiscono in giorni ex art. 2366 c. 4 c.c.</w:t>
            </w:r>
          </w:p>
        </w:tc>
      </w:tr>
      <w:tr>
        <w:tc>
          <w:tcPr>
            <w:tcW w:type="dxa" w:w="2880"/>
          </w:tcPr>
          <w:p>
            <w:pPr>
              <w:spacing w:after="40"/>
            </w:pPr>
            <w:r>
              <w:rPr>
                <w:sz w:val="16"/>
              </w:rPr>
            </w:r>
            <w:r>
              <w:rPr>
                <w:b/>
                <w:sz w:val="16"/>
              </w:rPr>
              <w:t>Sotto il 90%</w:t>
            </w:r>
          </w:p>
        </w:tc>
        <w:tc>
          <w:tcPr>
            <w:tcW w:type="dxa" w:w="2880"/>
          </w:tcPr>
          <w:p>
            <w:pPr>
              <w:spacing w:after="40"/>
            </w:pPr>
            <w:r>
              <w:rPr>
                <w:sz w:val="16"/>
              </w:rPr>
            </w:r>
            <w:r>
              <w:rPr>
                <w:b/>
                <w:sz w:val="16"/>
              </w:rPr>
              <w:t>Q3 — Ramo probabile.</w:t>
            </w:r>
            <w:r>
              <w:rPr>
                <w:sz w:val="16"/>
              </w:rPr>
              <w:t xml:space="preserve"> MPS quotata per 8-15 mesi. Nuovo CdA il 25 febbraio 2027 ma con 2-3 consiglieri di lista di minoranza, che siederanno nel comitato OPC. Delisting via fusione fra set 2027 e mar 2028. Remedy Unipol da ridisegnare</w:t>
            </w:r>
          </w:p>
        </w:tc>
        <w:tc>
          <w:tcPr>
            <w:tcW w:type="dxa" w:w="2880"/>
          </w:tcPr>
          <w:p>
            <w:pPr>
              <w:spacing w:after="40"/>
            </w:pPr>
            <w:r>
              <w:rPr>
                <w:sz w:val="16"/>
              </w:rPr>
            </w:r>
            <w:r>
              <w:rPr>
                <w:b/>
                <w:sz w:val="16"/>
              </w:rPr>
              <w:t>Q4 — Da evitare attivamente.</w:t>
            </w:r>
            <w:r>
              <w:rPr>
                <w:sz w:val="16"/>
              </w:rPr>
              <w:t xml:space="preserve"> Si cumulano consiglio ostile a poteri pieni, minoranze, comitato OPC non allineato e assenza di un delisting che chiuda il problema a valle. Nuovo CdA fra marzo e giugno 2027. Adesione all'Accordo Unipol e delibere di conferimento ostaggio della governance, con </w:t>
            </w:r>
            <w:r>
              <w:rPr>
                <w:b/>
                <w:sz w:val="16"/>
              </w:rPr>
              <w:t>rischio di sforamento degli impegni antitrust</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6"/>
              </w:rPr>
            </w:r>
            <w:r>
              <w:rPr>
                <w:b/>
                <w:sz w:val="16"/>
              </w:rPr>
              <w:t>Dimensione</w:t>
            </w:r>
          </w:p>
        </w:tc>
        <w:tc>
          <w:tcPr>
            <w:tcW w:type="dxa" w:w="1728"/>
          </w:tcPr>
          <w:p>
            <w:pPr>
              <w:spacing w:after="40"/>
            </w:pPr>
            <w:r>
              <w:rPr>
                <w:b/>
                <w:sz w:val="16"/>
              </w:rPr>
            </w:r>
            <w:r>
              <w:rPr>
                <w:b/>
                <w:sz w:val="16"/>
              </w:rPr>
              <w:t>Q1</w:t>
            </w:r>
          </w:p>
        </w:tc>
        <w:tc>
          <w:tcPr>
            <w:tcW w:type="dxa" w:w="1728"/>
          </w:tcPr>
          <w:p>
            <w:pPr>
              <w:spacing w:after="40"/>
            </w:pPr>
            <w:r>
              <w:rPr>
                <w:b/>
                <w:sz w:val="16"/>
              </w:rPr>
            </w:r>
            <w:r>
              <w:rPr>
                <w:b/>
                <w:sz w:val="16"/>
              </w:rPr>
              <w:t>Q2</w:t>
            </w:r>
          </w:p>
        </w:tc>
        <w:tc>
          <w:tcPr>
            <w:tcW w:type="dxa" w:w="1728"/>
          </w:tcPr>
          <w:p>
            <w:pPr>
              <w:spacing w:after="40"/>
            </w:pPr>
            <w:r>
              <w:rPr>
                <w:b/>
                <w:sz w:val="16"/>
              </w:rPr>
            </w:r>
            <w:r>
              <w:rPr>
                <w:b/>
                <w:sz w:val="16"/>
              </w:rPr>
              <w:t>Q3</w:t>
            </w:r>
          </w:p>
        </w:tc>
        <w:tc>
          <w:tcPr>
            <w:tcW w:type="dxa" w:w="1728"/>
          </w:tcPr>
          <w:p>
            <w:pPr>
              <w:spacing w:after="40"/>
            </w:pPr>
            <w:r>
              <w:rPr>
                <w:b/>
                <w:sz w:val="16"/>
              </w:rPr>
            </w:r>
            <w:r>
              <w:rPr>
                <w:b/>
                <w:sz w:val="16"/>
              </w:rPr>
              <w:t>Q4</w:t>
            </w:r>
          </w:p>
        </w:tc>
      </w:tr>
      <w:tr>
        <w:tc>
          <w:tcPr>
            <w:tcW w:type="dxa" w:w="1728"/>
          </w:tcPr>
          <w:p>
            <w:pPr>
              <w:spacing w:after="40"/>
            </w:pPr>
            <w:r>
              <w:rPr>
                <w:sz w:val="16"/>
              </w:rPr>
            </w:r>
            <w:r>
              <w:rPr>
                <w:sz w:val="16"/>
              </w:rPr>
              <w:t>Nuovo CdA</w:t>
            </w:r>
          </w:p>
        </w:tc>
        <w:tc>
          <w:tcPr>
            <w:tcW w:type="dxa" w:w="1728"/>
          </w:tcPr>
          <w:p>
            <w:pPr>
              <w:spacing w:after="40"/>
            </w:pPr>
            <w:r>
              <w:rPr>
                <w:sz w:val="16"/>
              </w:rPr>
            </w:r>
            <w:r>
              <w:rPr>
                <w:sz w:val="16"/>
              </w:rPr>
              <w:t>25 feb 2027 (o t+20)</w:t>
            </w:r>
          </w:p>
        </w:tc>
        <w:tc>
          <w:tcPr>
            <w:tcW w:type="dxa" w:w="1728"/>
          </w:tcPr>
          <w:p>
            <w:pPr>
              <w:spacing w:after="40"/>
            </w:pPr>
            <w:r>
              <w:rPr>
                <w:sz w:val="16"/>
              </w:rPr>
            </w:r>
            <w:r>
              <w:rPr>
                <w:sz w:val="16"/>
              </w:rPr>
              <w:t>25 feb – apr 2027</w:t>
            </w:r>
          </w:p>
        </w:tc>
        <w:tc>
          <w:tcPr>
            <w:tcW w:type="dxa" w:w="1728"/>
          </w:tcPr>
          <w:p>
            <w:pPr>
              <w:spacing w:after="40"/>
            </w:pPr>
            <w:r>
              <w:rPr>
                <w:sz w:val="16"/>
              </w:rPr>
            </w:r>
            <w:r>
              <w:rPr>
                <w:sz w:val="16"/>
              </w:rPr>
              <w:t>25 feb 2027</w:t>
            </w:r>
          </w:p>
        </w:tc>
        <w:tc>
          <w:tcPr>
            <w:tcW w:type="dxa" w:w="1728"/>
          </w:tcPr>
          <w:p>
            <w:pPr>
              <w:spacing w:after="40"/>
            </w:pPr>
            <w:r>
              <w:rPr>
                <w:sz w:val="16"/>
              </w:rPr>
            </w:r>
            <w:r>
              <w:rPr>
                <w:sz w:val="16"/>
              </w:rPr>
              <w:t>mar – giu 2027</w:t>
            </w:r>
          </w:p>
        </w:tc>
      </w:tr>
      <w:tr>
        <w:tc>
          <w:tcPr>
            <w:tcW w:type="dxa" w:w="1728"/>
          </w:tcPr>
          <w:p>
            <w:pPr>
              <w:spacing w:after="40"/>
            </w:pPr>
            <w:r>
              <w:rPr>
                <w:sz w:val="16"/>
              </w:rPr>
            </w:r>
            <w:r>
              <w:rPr>
                <w:sz w:val="16"/>
              </w:rPr>
              <w:t>Composizione del CdA</w:t>
            </w:r>
          </w:p>
        </w:tc>
        <w:tc>
          <w:tcPr>
            <w:tcW w:type="dxa" w:w="1728"/>
          </w:tcPr>
          <w:p>
            <w:pPr>
              <w:spacing w:after="40"/>
            </w:pPr>
            <w:r>
              <w:rPr>
                <w:sz w:val="16"/>
              </w:rPr>
            </w:r>
            <w:r>
              <w:rPr>
                <w:sz w:val="16"/>
              </w:rPr>
              <w:t>interamente ISP</w:t>
            </w:r>
          </w:p>
        </w:tc>
        <w:tc>
          <w:tcPr>
            <w:tcW w:type="dxa" w:w="1728"/>
          </w:tcPr>
          <w:p>
            <w:pPr>
              <w:spacing w:after="40"/>
            </w:pPr>
            <w:r>
              <w:rPr>
                <w:sz w:val="16"/>
              </w:rPr>
            </w:r>
            <w:r>
              <w:rPr>
                <w:sz w:val="16"/>
              </w:rPr>
              <w:t>interamente ISP</w:t>
            </w:r>
          </w:p>
        </w:tc>
        <w:tc>
          <w:tcPr>
            <w:tcW w:type="dxa" w:w="1728"/>
          </w:tcPr>
          <w:p>
            <w:pPr>
              <w:spacing w:after="40"/>
            </w:pPr>
            <w:r>
              <w:rPr>
                <w:sz w:val="16"/>
              </w:rPr>
            </w:r>
            <w:r>
              <w:rPr>
                <w:sz w:val="16"/>
              </w:rPr>
              <w:t>2-3 seggi di minoranza</w:t>
            </w:r>
          </w:p>
        </w:tc>
        <w:tc>
          <w:tcPr>
            <w:tcW w:type="dxa" w:w="1728"/>
          </w:tcPr>
          <w:p>
            <w:pPr>
              <w:spacing w:after="40"/>
            </w:pPr>
            <w:r>
              <w:rPr>
                <w:sz w:val="16"/>
              </w:rPr>
            </w:r>
            <w:r>
              <w:rPr>
                <w:sz w:val="16"/>
              </w:rPr>
              <w:t>2-3 seggi di minoranza</w:t>
            </w:r>
          </w:p>
        </w:tc>
      </w:tr>
      <w:tr>
        <w:tc>
          <w:tcPr>
            <w:tcW w:type="dxa" w:w="1728"/>
          </w:tcPr>
          <w:p>
            <w:pPr>
              <w:spacing w:after="40"/>
            </w:pPr>
            <w:r>
              <w:rPr>
                <w:sz w:val="16"/>
              </w:rPr>
            </w:r>
            <w:r>
              <w:rPr>
                <w:sz w:val="16"/>
              </w:rPr>
              <w:t>Governo del business nell'interim</w:t>
            </w:r>
          </w:p>
        </w:tc>
        <w:tc>
          <w:tcPr>
            <w:tcW w:type="dxa" w:w="1728"/>
          </w:tcPr>
          <w:p>
            <w:pPr>
              <w:spacing w:after="40"/>
            </w:pPr>
            <w:r>
              <w:rPr>
                <w:sz w:val="16"/>
              </w:rPr>
            </w:r>
            <w:r>
              <w:rPr>
                <w:sz w:val="16"/>
              </w:rPr>
              <w:t>pieno</w:t>
            </w:r>
          </w:p>
        </w:tc>
        <w:tc>
          <w:tcPr>
            <w:tcW w:type="dxa" w:w="1728"/>
          </w:tcPr>
          <w:p>
            <w:pPr>
              <w:spacing w:after="40"/>
            </w:pPr>
            <w:r>
              <w:rPr>
                <w:sz w:val="16"/>
              </w:rPr>
            </w:r>
            <w:r>
              <w:rPr>
                <w:b/>
                <w:sz w:val="16"/>
              </w:rPr>
              <w:t>assente per 50-90 gg</w:t>
            </w:r>
          </w:p>
        </w:tc>
        <w:tc>
          <w:tcPr>
            <w:tcW w:type="dxa" w:w="1728"/>
          </w:tcPr>
          <w:p>
            <w:pPr>
              <w:spacing w:after="40"/>
            </w:pPr>
            <w:r>
              <w:rPr>
                <w:sz w:val="16"/>
              </w:rPr>
            </w:r>
            <w:r>
              <w:rPr>
                <w:sz w:val="16"/>
              </w:rPr>
              <w:t>pieno</w:t>
            </w:r>
          </w:p>
        </w:tc>
        <w:tc>
          <w:tcPr>
            <w:tcW w:type="dxa" w:w="1728"/>
          </w:tcPr>
          <w:p>
            <w:pPr>
              <w:spacing w:after="40"/>
            </w:pPr>
            <w:r>
              <w:rPr>
                <w:sz w:val="16"/>
              </w:rPr>
            </w:r>
            <w:r>
              <w:rPr>
                <w:b/>
                <w:sz w:val="16"/>
              </w:rPr>
              <w:t>assente per 50-90 gg</w:t>
            </w:r>
          </w:p>
        </w:tc>
      </w:tr>
      <w:tr>
        <w:tc>
          <w:tcPr>
            <w:tcW w:type="dxa" w:w="1728"/>
          </w:tcPr>
          <w:p>
            <w:pPr>
              <w:spacing w:after="40"/>
            </w:pPr>
            <w:r>
              <w:rPr>
                <w:sz w:val="16"/>
              </w:rPr>
            </w:r>
            <w:r>
              <w:rPr>
                <w:sz w:val="16"/>
              </w:rPr>
              <w:t>Delisting e 100%</w:t>
            </w:r>
          </w:p>
        </w:tc>
        <w:tc>
          <w:tcPr>
            <w:tcW w:type="dxa" w:w="1728"/>
          </w:tcPr>
          <w:p>
            <w:pPr>
              <w:spacing w:after="40"/>
            </w:pPr>
            <w:r>
              <w:rPr>
                <w:sz w:val="16"/>
              </w:rPr>
            </w:r>
            <w:r>
              <w:rPr>
                <w:sz w:val="16"/>
              </w:rPr>
              <w:t>feb–mar 2027</w:t>
            </w:r>
          </w:p>
        </w:tc>
        <w:tc>
          <w:tcPr>
            <w:tcW w:type="dxa" w:w="1728"/>
          </w:tcPr>
          <w:p>
            <w:pPr>
              <w:spacing w:after="40"/>
            </w:pPr>
            <w:r>
              <w:rPr>
                <w:sz w:val="16"/>
              </w:rPr>
            </w:r>
            <w:r>
              <w:rPr>
                <w:sz w:val="16"/>
              </w:rPr>
              <w:t>feb–mar 2027</w:t>
            </w:r>
          </w:p>
        </w:tc>
        <w:tc>
          <w:tcPr>
            <w:tcW w:type="dxa" w:w="1728"/>
          </w:tcPr>
          <w:p>
            <w:pPr>
              <w:spacing w:after="40"/>
            </w:pPr>
            <w:r>
              <w:rPr>
                <w:sz w:val="16"/>
              </w:rPr>
            </w:r>
            <w:r>
              <w:rPr>
                <w:sz w:val="16"/>
              </w:rPr>
              <w:t>set 2027 – mar 2028</w:t>
            </w:r>
          </w:p>
        </w:tc>
        <w:tc>
          <w:tcPr>
            <w:tcW w:type="dxa" w:w="1728"/>
          </w:tcPr>
          <w:p>
            <w:pPr>
              <w:spacing w:after="40"/>
            </w:pPr>
            <w:r>
              <w:rPr>
                <w:sz w:val="16"/>
              </w:rPr>
            </w:r>
            <w:r>
              <w:rPr>
                <w:sz w:val="16"/>
              </w:rPr>
              <w:t>set 2027 – mar 2028</w:t>
            </w:r>
          </w:p>
        </w:tc>
      </w:tr>
      <w:tr>
        <w:tc>
          <w:tcPr>
            <w:tcW w:type="dxa" w:w="1728"/>
          </w:tcPr>
          <w:p>
            <w:pPr>
              <w:spacing w:after="40"/>
            </w:pPr>
            <w:r>
              <w:rPr>
                <w:sz w:val="16"/>
              </w:rPr>
            </w:r>
            <w:r>
              <w:rPr>
                <w:sz w:val="16"/>
              </w:rPr>
              <w:t>Disciplina OPC</w:t>
            </w:r>
          </w:p>
        </w:tc>
        <w:tc>
          <w:tcPr>
            <w:tcW w:type="dxa" w:w="1728"/>
          </w:tcPr>
          <w:p>
            <w:pPr>
              <w:spacing w:after="40"/>
            </w:pPr>
            <w:r>
              <w:rPr>
                <w:sz w:val="16"/>
              </w:rPr>
            </w:r>
            <w:r>
              <w:rPr>
                <w:sz w:val="16"/>
              </w:rPr>
              <w:t>non applicabile</w:t>
            </w:r>
          </w:p>
        </w:tc>
        <w:tc>
          <w:tcPr>
            <w:tcW w:type="dxa" w:w="1728"/>
          </w:tcPr>
          <w:p>
            <w:pPr>
              <w:spacing w:after="40"/>
            </w:pPr>
            <w:r>
              <w:rPr>
                <w:sz w:val="16"/>
              </w:rPr>
            </w:r>
            <w:r>
              <w:rPr>
                <w:sz w:val="16"/>
              </w:rPr>
              <w:t>non applicabile</w:t>
            </w:r>
          </w:p>
        </w:tc>
        <w:tc>
          <w:tcPr>
            <w:tcW w:type="dxa" w:w="1728"/>
          </w:tcPr>
          <w:p>
            <w:pPr>
              <w:spacing w:after="40"/>
            </w:pPr>
            <w:r>
              <w:rPr>
                <w:sz w:val="16"/>
              </w:rPr>
            </w:r>
            <w:r>
              <w:rPr>
                <w:sz w:val="16"/>
              </w:rPr>
              <w:t>applicabile, soglia 2,5%</w:t>
            </w:r>
          </w:p>
        </w:tc>
        <w:tc>
          <w:tcPr>
            <w:tcW w:type="dxa" w:w="1728"/>
          </w:tcPr>
          <w:p>
            <w:pPr>
              <w:spacing w:after="40"/>
            </w:pPr>
            <w:r>
              <w:rPr>
                <w:sz w:val="16"/>
              </w:rPr>
            </w:r>
            <w:r>
              <w:rPr>
                <w:sz w:val="16"/>
              </w:rPr>
              <w:t>applicabile, comitato non allineato</w:t>
            </w:r>
          </w:p>
        </w:tc>
      </w:tr>
      <w:tr>
        <w:tc>
          <w:tcPr>
            <w:tcW w:type="dxa" w:w="1728"/>
          </w:tcPr>
          <w:p>
            <w:pPr>
              <w:spacing w:after="40"/>
            </w:pPr>
            <w:r>
              <w:rPr>
                <w:sz w:val="16"/>
              </w:rPr>
            </w:r>
            <w:r>
              <w:rPr>
                <w:sz w:val="16"/>
              </w:rPr>
              <w:t>Remedy Unipol</w:t>
            </w:r>
          </w:p>
        </w:tc>
        <w:tc>
          <w:tcPr>
            <w:tcW w:type="dxa" w:w="1728"/>
          </w:tcPr>
          <w:p>
            <w:pPr>
              <w:spacing w:after="40"/>
            </w:pPr>
            <w:r>
              <w:rPr>
                <w:sz w:val="16"/>
              </w:rPr>
            </w:r>
            <w:r>
              <w:rPr>
                <w:sz w:val="16"/>
              </w:rPr>
              <w:t>cessione del pacchetto MPS</w:t>
            </w:r>
          </w:p>
        </w:tc>
        <w:tc>
          <w:tcPr>
            <w:tcW w:type="dxa" w:w="1728"/>
          </w:tcPr>
          <w:p>
            <w:pPr>
              <w:spacing w:after="40"/>
            </w:pPr>
            <w:r>
              <w:rPr>
                <w:sz w:val="16"/>
              </w:rPr>
            </w:r>
            <w:r>
              <w:rPr>
                <w:sz w:val="16"/>
              </w:rPr>
              <w:t>cessione del pacchetto MPS</w:t>
            </w:r>
          </w:p>
        </w:tc>
        <w:tc>
          <w:tcPr>
            <w:tcW w:type="dxa" w:w="1728"/>
          </w:tcPr>
          <w:p>
            <w:pPr>
              <w:spacing w:after="40"/>
            </w:pPr>
            <w:r>
              <w:rPr>
                <w:sz w:val="16"/>
              </w:rPr>
            </w:r>
            <w:r>
              <w:rPr>
                <w:sz w:val="16"/>
              </w:rPr>
              <w:t>newco + licenza bancaria</w:t>
            </w:r>
          </w:p>
        </w:tc>
        <w:tc>
          <w:tcPr>
            <w:tcW w:type="dxa" w:w="1728"/>
          </w:tcPr>
          <w:p>
            <w:pPr>
              <w:spacing w:after="40"/>
            </w:pPr>
            <w:r>
              <w:rPr>
                <w:sz w:val="16"/>
              </w:rPr>
            </w:r>
            <w:r>
              <w:rPr>
                <w:sz w:val="16"/>
              </w:rPr>
              <w:t>newco, con delibere a rischio</w:t>
            </w:r>
          </w:p>
        </w:tc>
      </w:tr>
      <w:tr>
        <w:tc>
          <w:tcPr>
            <w:tcW w:type="dxa" w:w="1728"/>
          </w:tcPr>
          <w:p>
            <w:pPr>
              <w:spacing w:after="40"/>
            </w:pPr>
            <w:r>
              <w:rPr>
                <w:sz w:val="16"/>
              </w:rPr>
            </w:r>
            <w:r>
              <w:rPr>
                <w:sz w:val="16"/>
              </w:rPr>
              <w:t>Minoranze nel CET1 e Danish</w:t>
            </w:r>
          </w:p>
        </w:tc>
        <w:tc>
          <w:tcPr>
            <w:tcW w:type="dxa" w:w="1728"/>
          </w:tcPr>
          <w:p>
            <w:pPr>
              <w:spacing w:after="40"/>
            </w:pPr>
            <w:r>
              <w:rPr>
                <w:sz w:val="16"/>
              </w:rPr>
            </w:r>
            <w:r>
              <w:rPr>
                <w:sz w:val="16"/>
              </w:rPr>
              <w:t>nessun impatto</w:t>
            </w:r>
          </w:p>
        </w:tc>
        <w:tc>
          <w:tcPr>
            <w:tcW w:type="dxa" w:w="1728"/>
          </w:tcPr>
          <w:p>
            <w:pPr>
              <w:spacing w:after="40"/>
            </w:pPr>
            <w:r>
              <w:rPr>
                <w:sz w:val="16"/>
              </w:rPr>
            </w:r>
            <w:r>
              <w:rPr>
                <w:sz w:val="16"/>
              </w:rPr>
              <w:t>nessun impatto</w:t>
            </w:r>
          </w:p>
        </w:tc>
        <w:tc>
          <w:tcPr>
            <w:tcW w:type="dxa" w:w="1728"/>
          </w:tcPr>
          <w:p>
            <w:pPr>
              <w:spacing w:after="40"/>
            </w:pPr>
            <w:r>
              <w:rPr>
                <w:sz w:val="16"/>
              </w:rPr>
            </w:r>
            <w:r>
              <w:rPr>
                <w:sz w:val="16"/>
              </w:rPr>
              <w:t>cap art. 84 CRR, Danish diluito</w:t>
            </w:r>
          </w:p>
        </w:tc>
        <w:tc>
          <w:tcPr>
            <w:tcW w:type="dxa" w:w="1728"/>
          </w:tcPr>
          <w:p>
            <w:pPr>
              <w:spacing w:after="40"/>
            </w:pPr>
            <w:r>
              <w:rPr>
                <w:sz w:val="16"/>
              </w:rPr>
            </w:r>
            <w:r>
              <w:rPr>
                <w:sz w:val="16"/>
              </w:rPr>
              <w:t>idem</w:t>
            </w:r>
          </w:p>
        </w:tc>
      </w:tr>
      <w:tr>
        <w:tc>
          <w:tcPr>
            <w:tcW w:type="dxa" w:w="1728"/>
          </w:tcPr>
          <w:p>
            <w:pPr>
              <w:spacing w:after="40"/>
            </w:pPr>
            <w:r>
              <w:rPr>
                <w:sz w:val="16"/>
              </w:rPr>
            </w:r>
            <w:r>
              <w:rPr>
                <w:sz w:val="16"/>
              </w:rPr>
              <w:t>Rischio dominante</w:t>
            </w:r>
          </w:p>
        </w:tc>
        <w:tc>
          <w:tcPr>
            <w:tcW w:type="dxa" w:w="1728"/>
          </w:tcPr>
          <w:p>
            <w:pPr>
              <w:spacing w:after="40"/>
            </w:pPr>
            <w:r>
              <w:rPr>
                <w:sz w:val="16"/>
              </w:rPr>
            </w:r>
            <w:r>
              <w:rPr>
                <w:sz w:val="16"/>
              </w:rPr>
              <w:t>esecuzione</w:t>
            </w:r>
          </w:p>
        </w:tc>
        <w:tc>
          <w:tcPr>
            <w:tcW w:type="dxa" w:w="1728"/>
          </w:tcPr>
          <w:p>
            <w:pPr>
              <w:spacing w:after="40"/>
            </w:pPr>
            <w:r>
              <w:rPr>
                <w:sz w:val="16"/>
              </w:rPr>
            </w:r>
            <w:r>
              <w:rPr>
                <w:b/>
                <w:sz w:val="16"/>
              </w:rPr>
              <w:t>perdita di governo</w:t>
            </w:r>
          </w:p>
        </w:tc>
        <w:tc>
          <w:tcPr>
            <w:tcW w:type="dxa" w:w="1728"/>
          </w:tcPr>
          <w:p>
            <w:pPr>
              <w:spacing w:after="40"/>
            </w:pPr>
            <w:r>
              <w:rPr>
                <w:sz w:val="16"/>
              </w:rPr>
            </w:r>
            <w:r>
              <w:rPr>
                <w:b/>
                <w:sz w:val="16"/>
              </w:rPr>
              <w:t>tempo e OPC</w:t>
            </w:r>
          </w:p>
        </w:tc>
        <w:tc>
          <w:tcPr>
            <w:tcW w:type="dxa" w:w="1728"/>
          </w:tcPr>
          <w:p>
            <w:pPr>
              <w:spacing w:after="40"/>
            </w:pPr>
            <w:r>
              <w:rPr>
                <w:sz w:val="16"/>
              </w:rPr>
            </w:r>
            <w:r>
              <w:rPr>
                <w:b/>
                <w:sz w:val="16"/>
              </w:rPr>
              <w:t>inadempimento antitrust</w:t>
            </w:r>
          </w:p>
        </w:tc>
      </w:tr>
    </w:tbl>
    <w:p/>
    <w:p>
      <w:r>
        <w:rPr>
          <w:b/>
        </w:rPr>
        <w:t>Il collegamento fra i due nodi</w:t>
      </w:r>
      <w:r>
        <w:t xml:space="preserve">: il 90% non è solo la condizione del delisting, è </w:t>
      </w:r>
      <w:r>
        <w:rPr>
          <w:b/>
        </w:rPr>
        <w:t>anche il rimedio più efficace al nodo B</w:t>
      </w:r>
      <w:r>
        <w:t xml:space="preserve">. Raggiunto il 90% ed eseguita la procedura congiunta, ISP arriva al 100% e MPS è revocata dalla quotazione: cadono gli obblighi di voto di lista del TUF (l'art. 147-ter si applica agli emittenti quotati), la riserva statutaria di seggi diventa inoperante per assenza di liste, e con il capitale interamente rappresentato l'assemblea è regolarmente costituita anche senza formale convocazione (art. 2366 c. 4 c.c.). </w:t>
      </w:r>
      <w:r>
        <w:rPr>
          <w:i/>
        </w:rPr>
        <w:t>Avvertenza di prudenza</w:t>
      </w:r>
      <w:r>
        <w:t>: la clausola statutaria sul voto di lista resta formalmente vincolante fino a una modifica dello statuto, che per una banca richiede l'accertamento preventivo ex art. 56 TUB; nel precedente ISP/UBI la procedura da quotata fu svolta per intero. Il beneficio del 90% sul nodo B è quindi soprattutto la certezza dell'esito e la libertà di ogni sostituzione successiva, più che la compressione del calendario della prima assemblea.</w:t>
      </w:r>
    </w:p>
    <w:p>
      <w:pPr>
        <w:pStyle w:val="Heading2"/>
      </w:pPr>
      <w:r>
        <w:t>13. Le leve decisionali</w:t>
      </w:r>
    </w:p>
    <w:p>
      <w:r>
        <w:rPr>
          <w:b/>
        </w:rPr>
        <w:t>Nel Documento di Offerta, prima dell'approvazione Consob:</w:t>
      </w:r>
    </w:p>
    <w:p>
      <w:pPr>
        <w:pStyle w:val="ListNumber"/>
      </w:pPr>
      <w:r>
        <w:rPr>
          <w:b/>
        </w:rPr>
        <w:t>Assoggettamento volontario alla riapertura dei termini ex art. 40-bis c. 1</w:t>
      </w:r>
      <w:r>
        <w:t>: doppio beneficio (+22/+24 punti nei precedenti; ancoraggio del prezzo della procedura congiunta al corrispettivo d'offerta ex art. 50 c. 4 lett. c) se almeno il 50% è conferito in prima fase). Se si supera il 90% in prima fase opera comunque l'esenzione automatica. Nessuna controindicazione evidente.</w:t>
      </w:r>
    </w:p>
    <w:p>
      <w:pPr>
        <w:pStyle w:val="ListNumber"/>
      </w:pPr>
      <w:r>
        <w:rPr>
          <w:b/>
        </w:rPr>
        <w:t>Dimensionamento del periodo di adesione</w:t>
      </w:r>
      <w:r>
        <w:t>: 37 giorni su un massimo di 40 azzerano lo spazio di proroga; valutare 30-33 giorni.</w:t>
      </w:r>
    </w:p>
    <w:p>
      <w:pPr>
        <w:pStyle w:val="ListNumber"/>
      </w:pPr>
      <w:r>
        <w:rPr>
          <w:b/>
        </w:rPr>
        <w:t>Riconciliazione del test dell'art. 108 c. 3</w:t>
      </w:r>
      <w:r>
        <w:t xml:space="preserve"> rispetto al criterio dichiarato sulle azioni proprie.</w:t>
      </w:r>
    </w:p>
    <w:p>
      <w:pPr>
        <w:pStyle w:val="ListNumber"/>
      </w:pPr>
      <w:r>
        <w:t>Conferma delle dichiarazioni ex artt. 111 e 108 c. 2 e della riserva sul diritto transitorio.</w:t>
      </w:r>
    </w:p>
    <w:p>
      <w:pPr>
        <w:pStyle w:val="ListNumber"/>
      </w:pPr>
      <w:r>
        <w:t xml:space="preserve">Valutare se dichiarare esplicitamente l'intenzione di procedere alla fusione nello scenario sotto-90%, pesando il </w:t>
      </w:r>
      <w:r>
        <w:rPr>
          <w:i/>
        </w:rPr>
        <w:t>put up or shut up</w:t>
      </w:r>
      <w:r>
        <w:t xml:space="preserve"> dell'art. 102 c. 8 TUF.</w:t>
      </w:r>
    </w:p>
    <w:p>
      <w:r>
        <w:rPr>
          <w:b/>
        </w:rPr>
        <w:t>Sul remedy, durante l'istruttoria AGCM:</w:t>
      </w:r>
      <w:r>
        <w:t xml:space="preserve"> predisporre la struttura newco alternativa prima di assumere impegni con scadenza; ottenere l'adesione di MPS all'Accordo Unipol come parte del pacchetto di transizione negoziato con il consiglio uscente.</w:t>
      </w:r>
    </w:p>
    <w:p>
      <w:r>
        <w:rPr>
          <w:b/>
        </w:rPr>
        <w:t>Sulla governance, da subito con esecuzione al settlement:</w:t>
      </w:r>
      <w:r>
        <w:t xml:space="preserve"> negoziare dimissioni a efficacia differita di almeno 8 consiglieri con convocazione contestuale; tentare la convocazione anticipata; predisporre il pacchetto di uscita (severance entro i cap, manleve, D&amp;O run-off a 6 anni) sul modello delle concessioni fatte in UBI; decidere il numero dei componenti (9 riduce a 2 su 9 il peso statutario minimo delle minoranze); preparare lista e dossier fit &amp; proper con pre-filing IMAS; al giorno S depositare comunque la domanda ex art. 2367 c. 1 c.c., inviare la lettera sui doveri al CdA e al collegio, chiedere l'iscrizione di MPS nel gruppo bancario ex art. 64 TUB.</w:t>
      </w:r>
    </w:p>
    <w:p>
      <w:r>
        <w:rPr>
          <w:b/>
        </w:rPr>
        <w:t>Pre-filing con Consob e Borsa Italiana</w:t>
      </w:r>
      <w:r>
        <w:t xml:space="preserve"> sulla procedura congiunta a 90% nel periodo transitorio.</w:t>
      </w:r>
    </w:p>
    <w:p>
      <w:pPr>
        <w:pStyle w:val="Heading2"/>
      </w:pPr>
      <w:r>
        <w:t>14. Verifiche di coerenza sulla timeline di pagina 4</w:t>
      </w:r>
    </w:p>
    <w:p>
      <w:pPr>
        <w:pStyle w:val="ListBullet"/>
      </w:pPr>
      <w:r>
        <w:rPr>
          <w:b/>
        </w:rPr>
        <w:t>Data di pagamento</w:t>
      </w:r>
      <w:r>
        <w:t xml:space="preserve">: fra chiusura (4 gennaio) e settlement (6 gennaio) passano 2 giorni, mentre la prassi è il </w:t>
      </w:r>
      <w:r>
        <w:rPr>
          <w:b/>
        </w:rPr>
        <w:t>quinto giorno di borsa aperta</w:t>
      </w:r>
      <w:r>
        <w:t xml:space="preserve"> (MPS/MB: 8 → 15 settembre 2025; BPER/Sondrio: 11 → 18 luglio 2025). Se così fosse, il settlement slitta all'11 gennaio e tutta la cascata con esso: dimissioni 18 gennaio, avviso 19 gennaio, assemblea 2 marzo.</w:t>
      </w:r>
    </w:p>
    <w:p>
      <w:pPr>
        <w:pStyle w:val="ListBullet"/>
      </w:pPr>
      <w:r>
        <w:rPr>
          <w:b/>
        </w:rPr>
        <w:t>Assenza della riapertura e della procedura congiunta</w:t>
      </w:r>
      <w:r>
        <w:t xml:space="preserve"> nella rappresentazione grafica: sono i due blocchi che determinano la data effettiva del delisting.</w:t>
      </w:r>
    </w:p>
    <w:p>
      <w:pPr>
        <w:pStyle w:val="ListBullet"/>
      </w:pPr>
      <w:r>
        <w:rPr>
          <w:b/>
        </w:rPr>
        <w:t>Consolidato fiscale</w:t>
      </w:r>
      <w:r>
        <w:t xml:space="preserve">: l'art. 120 c. 2 TUIR richiede che il controllo sussista sin dall'inizio dell'esercizio. Con settlement al 6 gennaio 2027 il consolidato decorre da </w:t>
      </w:r>
      <w:r>
        <w:rPr>
          <w:b/>
        </w:rPr>
        <w:t>FY2028</w:t>
      </w:r>
      <w:r>
        <w:t xml:space="preserve">; con settlement al 7 dicembre 2026 (scenario di pag. 3) da </w:t>
      </w:r>
      <w:r>
        <w:rPr>
          <w:b/>
        </w:rPr>
        <w:t>FY2027</w:t>
      </w:r>
      <w:r>
        <w:t>. Lo scenario 2027 costa quindi un anno intero di compensazione ai fini dell'utilizzo delle perdite e delle DTA, voce non presente fra i topic delle pagine 5-6. Mitigazione teorica (chiusura anticipata dell'esercizio MPS) esposta a sua volta ai due nodi.</w:t>
      </w:r>
    </w:p>
    <w:p>
      <w:r>
        <w:br w:type="page"/>
      </w:r>
    </w:p>
    <w:p>
      <w:pPr>
        <w:pStyle w:val="Heading1"/>
      </w:pPr>
      <w:r>
        <w:t>PARTE III — APERTO / DA VERIFICARE</w:t>
      </w:r>
    </w:p>
    <w:p>
      <w:pPr>
        <w:pStyle w:val="IntenseQuote"/>
      </w:pPr>
      <w:r>
        <w:rPr>
          <w:b/>
        </w:rPr>
        <w:t>Non trattare questi punti come acquisiti.</w:t>
      </w:r>
      <w:r>
        <w:t xml:space="preserve"> Sono elencati in ordine di rilevanza per le decisioni.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pPr>
            <w:r>
              <w:rPr>
                <w:b/>
                <w:sz w:val="16"/>
              </w:rPr>
            </w:r>
            <w:r>
              <w:rPr>
                <w:b/>
                <w:sz w:val="16"/>
              </w:rPr>
              <w:t>#</w:t>
            </w:r>
          </w:p>
        </w:tc>
        <w:tc>
          <w:tcPr>
            <w:tcW w:type="dxa" w:w="2160"/>
          </w:tcPr>
          <w:p>
            <w:pPr>
              <w:spacing w:after="40"/>
            </w:pPr>
            <w:r>
              <w:rPr>
                <w:b/>
                <w:sz w:val="16"/>
              </w:rPr>
            </w:r>
            <w:r>
              <w:rPr>
                <w:b/>
                <w:sz w:val="16"/>
              </w:rPr>
              <w:t>Punto</w:t>
            </w:r>
          </w:p>
        </w:tc>
        <w:tc>
          <w:tcPr>
            <w:tcW w:type="dxa" w:w="2160"/>
          </w:tcPr>
          <w:p>
            <w:pPr>
              <w:spacing w:after="40"/>
            </w:pPr>
            <w:r>
              <w:rPr>
                <w:b/>
                <w:sz w:val="16"/>
              </w:rPr>
            </w:r>
            <w:r>
              <w:rPr>
                <w:b/>
                <w:sz w:val="16"/>
              </w:rPr>
              <w:t>Stato</w:t>
            </w:r>
          </w:p>
        </w:tc>
        <w:tc>
          <w:tcPr>
            <w:tcW w:type="dxa" w:w="2160"/>
          </w:tcPr>
          <w:p>
            <w:pPr>
              <w:spacing w:after="40"/>
            </w:pPr>
            <w:r>
              <w:rPr>
                <w:b/>
                <w:sz w:val="16"/>
              </w:rPr>
            </w:r>
            <w:r>
              <w:rPr>
                <w:b/>
                <w:sz w:val="16"/>
              </w:rPr>
              <w:t>Perché conta</w:t>
            </w:r>
          </w:p>
        </w:tc>
      </w:tr>
      <w:tr>
        <w:tc>
          <w:tcPr>
            <w:tcW w:type="dxa" w:w="2160"/>
          </w:tcPr>
          <w:p>
            <w:pPr>
              <w:spacing w:after="40"/>
            </w:pPr>
            <w:r>
              <w:rPr>
                <w:sz w:val="16"/>
              </w:rPr>
            </w:r>
            <w:r>
              <w:rPr>
                <w:sz w:val="16"/>
              </w:rPr>
              <w:t>1</w:t>
            </w:r>
          </w:p>
        </w:tc>
        <w:tc>
          <w:tcPr>
            <w:tcW w:type="dxa" w:w="2160"/>
          </w:tcPr>
          <w:p>
            <w:pPr>
              <w:spacing w:after="40"/>
            </w:pPr>
            <w:r>
              <w:rPr>
                <w:sz w:val="16"/>
              </w:rPr>
            </w:r>
            <w:r>
              <w:rPr>
                <w:b/>
                <w:sz w:val="16"/>
              </w:rPr>
              <w:t>Testo statutario MPS consolidato</w:t>
            </w:r>
            <w:r>
              <w:rPr>
                <w:sz w:val="16"/>
              </w:rPr>
              <w:t xml:space="preserve"> post-4 febbraio 2026</w:t>
            </w:r>
          </w:p>
        </w:tc>
        <w:tc>
          <w:tcPr>
            <w:tcW w:type="dxa" w:w="2160"/>
          </w:tcPr>
          <w:p>
            <w:pPr>
              <w:spacing w:after="40"/>
            </w:pPr>
            <w:r>
              <w:rPr>
                <w:sz w:val="16"/>
              </w:rPr>
            </w:r>
            <w:r>
              <w:rPr>
                <w:sz w:val="16"/>
              </w:rPr>
              <w:t>L'art. 15 è ricostruito dal verbale assembleare; gli artt. 12, 14 e 25 dalla versione precedente, senza riscontro che siano stati modificati</w:t>
            </w:r>
          </w:p>
        </w:tc>
        <w:tc>
          <w:tcPr>
            <w:tcW w:type="dxa" w:w="2160"/>
          </w:tcPr>
          <w:p>
            <w:pPr>
              <w:spacing w:after="40"/>
            </w:pPr>
            <w:r>
              <w:rPr>
                <w:sz w:val="16"/>
              </w:rPr>
            </w:r>
            <w:r>
              <w:rPr>
                <w:sz w:val="16"/>
              </w:rPr>
              <w:t>L'art. 15 c. 10 è il perno dell'intero nodo B</w:t>
            </w:r>
          </w:p>
        </w:tc>
      </w:tr>
      <w:tr>
        <w:tc>
          <w:tcPr>
            <w:tcW w:type="dxa" w:w="2160"/>
          </w:tcPr>
          <w:p>
            <w:pPr>
              <w:spacing w:after="40"/>
            </w:pPr>
            <w:r>
              <w:rPr>
                <w:sz w:val="16"/>
              </w:rPr>
            </w:r>
            <w:r>
              <w:rPr>
                <w:sz w:val="16"/>
              </w:rPr>
              <w:t>2</w:t>
            </w:r>
          </w:p>
        </w:tc>
        <w:tc>
          <w:tcPr>
            <w:tcW w:type="dxa" w:w="2160"/>
          </w:tcPr>
          <w:p>
            <w:pPr>
              <w:spacing w:after="40"/>
            </w:pPr>
            <w:r>
              <w:rPr>
                <w:sz w:val="16"/>
              </w:rPr>
            </w:r>
            <w:r>
              <w:rPr>
                <w:b/>
                <w:sz w:val="16"/>
              </w:rPr>
              <w:t>Esito della consultazione Consob</w:t>
            </w:r>
            <w:r>
              <w:rPr>
                <w:sz w:val="16"/>
              </w:rPr>
              <w:t xml:space="preserve"> del 18 giugno 2026</w:t>
            </w:r>
          </w:p>
        </w:tc>
        <w:tc>
          <w:tcPr>
            <w:tcW w:type="dxa" w:w="2160"/>
          </w:tcPr>
          <w:p>
            <w:pPr>
              <w:spacing w:after="40"/>
            </w:pPr>
            <w:r>
              <w:rPr>
                <w:sz w:val="16"/>
              </w:rPr>
            </w:r>
            <w:r>
              <w:rPr>
                <w:sz w:val="16"/>
              </w:rPr>
              <w:t>Delibera conclusiva non pubblicata al 16 settembre 2026; attesa fra novembre 2026 e gennaio 2027</w:t>
            </w:r>
          </w:p>
        </w:tc>
        <w:tc>
          <w:tcPr>
            <w:tcW w:type="dxa" w:w="2160"/>
          </w:tcPr>
          <w:p>
            <w:pPr>
              <w:spacing w:after="40"/>
            </w:pPr>
            <w:r>
              <w:rPr>
                <w:sz w:val="16"/>
              </w:rPr>
            </w:r>
            <w:r>
              <w:rPr>
                <w:sz w:val="16"/>
              </w:rPr>
              <w:t>Cade nella finestra del settlement e riscriverà gli artt. 50, 50-bis, 50-ter, 50-quater, 50-quinquies Reg. Emittenti</w:t>
            </w:r>
          </w:p>
        </w:tc>
      </w:tr>
      <w:tr>
        <w:tc>
          <w:tcPr>
            <w:tcW w:type="dxa" w:w="2160"/>
          </w:tcPr>
          <w:p>
            <w:pPr>
              <w:spacing w:after="40"/>
            </w:pPr>
            <w:r>
              <w:rPr>
                <w:sz w:val="16"/>
              </w:rPr>
            </w:r>
            <w:r>
              <w:rPr>
                <w:sz w:val="16"/>
              </w:rPr>
              <w:t>3</w:t>
            </w:r>
          </w:p>
        </w:tc>
        <w:tc>
          <w:tcPr>
            <w:tcW w:type="dxa" w:w="2160"/>
          </w:tcPr>
          <w:p>
            <w:pPr>
              <w:spacing w:after="40"/>
            </w:pPr>
            <w:r>
              <w:rPr>
                <w:sz w:val="16"/>
              </w:rPr>
            </w:r>
            <w:r>
              <w:rPr>
                <w:b/>
                <w:sz w:val="16"/>
              </w:rPr>
              <w:t>Gestione concreta della procedura congiunta a 90% nel transitorio</w:t>
            </w:r>
          </w:p>
        </w:tc>
        <w:tc>
          <w:tcPr>
            <w:tcW w:type="dxa" w:w="2160"/>
          </w:tcPr>
          <w:p>
            <w:pPr>
              <w:spacing w:after="40"/>
            </w:pPr>
            <w:r>
              <w:rPr>
                <w:sz w:val="16"/>
              </w:rPr>
            </w:r>
            <w:r>
              <w:rPr>
                <w:sz w:val="16"/>
              </w:rPr>
              <w:t>L'art. 50-quinquies c. 1 richiama ancora solo l'art. 108 c. 1</w:t>
            </w:r>
          </w:p>
        </w:tc>
        <w:tc>
          <w:tcPr>
            <w:tcW w:type="dxa" w:w="2160"/>
          </w:tcPr>
          <w:p>
            <w:pPr>
              <w:spacing w:after="40"/>
            </w:pPr>
            <w:r>
              <w:rPr>
                <w:sz w:val="16"/>
              </w:rPr>
            </w:r>
            <w:r>
              <w:rPr>
                <w:sz w:val="16"/>
              </w:rPr>
              <w:t>Incide direttamente sulla data del delisting; da chiarire in pre-filing</w:t>
            </w:r>
          </w:p>
        </w:tc>
      </w:tr>
      <w:tr>
        <w:tc>
          <w:tcPr>
            <w:tcW w:type="dxa" w:w="2160"/>
          </w:tcPr>
          <w:p>
            <w:pPr>
              <w:spacing w:after="40"/>
            </w:pPr>
            <w:r>
              <w:rPr>
                <w:sz w:val="16"/>
              </w:rPr>
            </w:r>
            <w:r>
              <w:rPr>
                <w:sz w:val="16"/>
              </w:rPr>
              <w:t>4</w:t>
            </w:r>
          </w:p>
        </w:tc>
        <w:tc>
          <w:tcPr>
            <w:tcW w:type="dxa" w:w="2160"/>
          </w:tcPr>
          <w:p>
            <w:pPr>
              <w:spacing w:after="40"/>
            </w:pPr>
            <w:r>
              <w:rPr>
                <w:sz w:val="16"/>
              </w:rPr>
            </w:r>
            <w:r>
              <w:rPr>
                <w:b/>
                <w:sz w:val="16"/>
              </w:rPr>
              <w:t>Testo consolidato ufficiale del TUF</w:t>
            </w:r>
            <w:r>
              <w:rPr>
                <w:sz w:val="16"/>
              </w:rPr>
              <w:t xml:space="preserve"> post-D.Lgs. 47/2026 su Normattiva</w:t>
            </w:r>
          </w:p>
        </w:tc>
        <w:tc>
          <w:tcPr>
            <w:tcW w:type="dxa" w:w="2160"/>
          </w:tcPr>
          <w:p>
            <w:pPr>
              <w:spacing w:after="40"/>
            </w:pPr>
            <w:r>
              <w:rPr>
                <w:sz w:val="16"/>
              </w:rPr>
            </w:r>
            <w:r>
              <w:rPr>
                <w:sz w:val="16"/>
              </w:rPr>
              <w:t>Artt. 108 e 111 ricostruiti combinando il decreto con fonti consolidate non ufficiali, fra loro coerenti</w:t>
            </w:r>
          </w:p>
        </w:tc>
        <w:tc>
          <w:tcPr>
            <w:tcW w:type="dxa" w:w="2160"/>
          </w:tcPr>
          <w:p>
            <w:pPr>
              <w:spacing w:after="40"/>
            </w:pPr>
            <w:r>
              <w:rPr>
                <w:sz w:val="16"/>
              </w:rPr>
            </w:r>
            <w:r>
              <w:rPr>
                <w:sz w:val="16"/>
              </w:rPr>
              <w:t>Base di tutto il nodo A</w:t>
            </w:r>
          </w:p>
        </w:tc>
      </w:tr>
      <w:tr>
        <w:tc>
          <w:tcPr>
            <w:tcW w:type="dxa" w:w="2160"/>
          </w:tcPr>
          <w:p>
            <w:pPr>
              <w:spacing w:after="40"/>
            </w:pPr>
            <w:r>
              <w:rPr>
                <w:sz w:val="16"/>
              </w:rPr>
            </w:r>
            <w:r>
              <w:rPr>
                <w:sz w:val="16"/>
              </w:rPr>
              <w:t>5</w:t>
            </w:r>
          </w:p>
        </w:tc>
        <w:tc>
          <w:tcPr>
            <w:tcW w:type="dxa" w:w="2160"/>
          </w:tcPr>
          <w:p>
            <w:pPr>
              <w:spacing w:after="40"/>
            </w:pPr>
            <w:r>
              <w:rPr>
                <w:sz w:val="16"/>
              </w:rPr>
            </w:r>
            <w:r>
              <w:rPr>
                <w:b/>
                <w:sz w:val="16"/>
              </w:rPr>
              <w:t>Art. 70 c. 7 TUB</w:t>
            </w:r>
            <w:r>
              <w:rPr>
                <w:sz w:val="16"/>
              </w:rPr>
              <w:t xml:space="preserve"> (esclusione dell'art. 2409 c.c. per le banche)</w:t>
            </w:r>
          </w:p>
        </w:tc>
        <w:tc>
          <w:tcPr>
            <w:tcW w:type="dxa" w:w="2160"/>
          </w:tcPr>
          <w:p>
            <w:pPr>
              <w:spacing w:after="40"/>
            </w:pPr>
            <w:r>
              <w:rPr>
                <w:sz w:val="16"/>
              </w:rPr>
            </w:r>
            <w:r>
              <w:rPr>
                <w:sz w:val="16"/>
              </w:rPr>
              <w:t>Non verificato sul testo vigente</w:t>
            </w:r>
          </w:p>
        </w:tc>
        <w:tc>
          <w:tcPr>
            <w:tcW w:type="dxa" w:w="2160"/>
          </w:tcPr>
          <w:p>
            <w:pPr>
              <w:spacing w:after="40"/>
            </w:pPr>
            <w:r>
              <w:rPr>
                <w:sz w:val="16"/>
              </w:rPr>
            </w:r>
            <w:r>
              <w:rPr>
                <w:sz w:val="16"/>
              </w:rPr>
              <w:t>Elimina un intero strumento dal ventaglio del nodo B</w:t>
            </w:r>
          </w:p>
        </w:tc>
      </w:tr>
      <w:tr>
        <w:tc>
          <w:tcPr>
            <w:tcW w:type="dxa" w:w="2160"/>
          </w:tcPr>
          <w:p>
            <w:pPr>
              <w:spacing w:after="40"/>
            </w:pPr>
            <w:r>
              <w:rPr>
                <w:sz w:val="16"/>
              </w:rPr>
            </w:r>
            <w:r>
              <w:rPr>
                <w:sz w:val="16"/>
              </w:rPr>
              <w:t>6</w:t>
            </w:r>
          </w:p>
        </w:tc>
        <w:tc>
          <w:tcPr>
            <w:tcW w:type="dxa" w:w="2160"/>
          </w:tcPr>
          <w:p>
            <w:pPr>
              <w:spacing w:after="40"/>
            </w:pPr>
            <w:r>
              <w:rPr>
                <w:sz w:val="16"/>
              </w:rPr>
            </w:r>
            <w:r>
              <w:rPr>
                <w:b/>
                <w:sz w:val="16"/>
              </w:rPr>
              <w:t>Competenza territoriale</w:t>
            </w:r>
            <w:r>
              <w:rPr>
                <w:sz w:val="16"/>
              </w:rPr>
              <w:t xml:space="preserve"> della Sezione Imprese di Firenze per MPS</w:t>
            </w:r>
          </w:p>
        </w:tc>
        <w:tc>
          <w:tcPr>
            <w:tcW w:type="dxa" w:w="2160"/>
          </w:tcPr>
          <w:p>
            <w:pPr>
              <w:spacing w:after="40"/>
            </w:pPr>
            <w:r>
              <w:rPr>
                <w:sz w:val="16"/>
              </w:rPr>
            </w:r>
            <w:r>
              <w:rPr>
                <w:sz w:val="16"/>
              </w:rPr>
              <w:t>Conclusione sistematica ex D.Lgs. 168/2003, non verificata su fonte istituzionale</w:t>
            </w:r>
          </w:p>
        </w:tc>
        <w:tc>
          <w:tcPr>
            <w:tcW w:type="dxa" w:w="2160"/>
          </w:tcPr>
          <w:p>
            <w:pPr>
              <w:spacing w:after="40"/>
            </w:pPr>
            <w:r>
              <w:rPr>
                <w:sz w:val="16"/>
              </w:rPr>
            </w:r>
            <w:r>
              <w:rPr>
                <w:sz w:val="16"/>
              </w:rPr>
              <w:t>Percorso C2</w:t>
            </w:r>
          </w:p>
        </w:tc>
      </w:tr>
      <w:tr>
        <w:tc>
          <w:tcPr>
            <w:tcW w:type="dxa" w:w="2160"/>
          </w:tcPr>
          <w:p>
            <w:pPr>
              <w:spacing w:after="40"/>
            </w:pPr>
            <w:r>
              <w:rPr>
                <w:sz w:val="16"/>
              </w:rPr>
            </w:r>
            <w:r>
              <w:rPr>
                <w:sz w:val="16"/>
              </w:rPr>
              <w:t>7</w:t>
            </w:r>
          </w:p>
        </w:tc>
        <w:tc>
          <w:tcPr>
            <w:tcW w:type="dxa" w:w="2160"/>
          </w:tcPr>
          <w:p>
            <w:pPr>
              <w:spacing w:after="40"/>
            </w:pPr>
            <w:r>
              <w:rPr>
                <w:sz w:val="16"/>
              </w:rPr>
            </w:r>
            <w:r>
              <w:rPr>
                <w:b/>
                <w:sz w:val="16"/>
              </w:rPr>
              <w:t>Lettura del nuovo art. 151.1 c. 1 TUF</w:t>
            </w:r>
            <w:r>
              <w:rPr>
                <w:sz w:val="16"/>
              </w:rPr>
              <w:t xml:space="preserve"> (due sindaci, senza il presupposto dei "fatti censurabili di rilevante gravità")</w:t>
            </w:r>
          </w:p>
        </w:tc>
        <w:tc>
          <w:tcPr>
            <w:tcW w:type="dxa" w:w="2160"/>
          </w:tcPr>
          <w:p>
            <w:pPr>
              <w:spacing w:after="40"/>
            </w:pPr>
            <w:r>
              <w:rPr>
                <w:sz w:val="16"/>
              </w:rPr>
            </w:r>
            <w:r>
              <w:rPr>
                <w:sz w:val="16"/>
              </w:rPr>
              <w:t>Lettura del nuovo testo da confermare</w:t>
            </w:r>
          </w:p>
        </w:tc>
        <w:tc>
          <w:tcPr>
            <w:tcW w:type="dxa" w:w="2160"/>
          </w:tcPr>
          <w:p>
            <w:pPr>
              <w:spacing w:after="40"/>
            </w:pPr>
            <w:r>
              <w:rPr>
                <w:sz w:val="16"/>
              </w:rPr>
            </w:r>
            <w:r>
              <w:rPr>
                <w:sz w:val="16"/>
              </w:rPr>
              <w:t>È il presupposto del percorso C1, il più praticabile in caso di inerzia</w:t>
            </w:r>
          </w:p>
        </w:tc>
      </w:tr>
      <w:tr>
        <w:tc>
          <w:tcPr>
            <w:tcW w:type="dxa" w:w="2160"/>
          </w:tcPr>
          <w:p>
            <w:pPr>
              <w:spacing w:after="40"/>
            </w:pPr>
            <w:r>
              <w:rPr>
                <w:sz w:val="16"/>
              </w:rPr>
            </w:r>
            <w:r>
              <w:rPr>
                <w:sz w:val="16"/>
              </w:rPr>
              <w:t>8</w:t>
            </w:r>
          </w:p>
        </w:tc>
        <w:tc>
          <w:tcPr>
            <w:tcW w:type="dxa" w:w="2160"/>
          </w:tcPr>
          <w:p>
            <w:pPr>
              <w:spacing w:after="40"/>
            </w:pPr>
            <w:r>
              <w:rPr>
                <w:sz w:val="16"/>
              </w:rPr>
            </w:r>
            <w:r>
              <w:rPr>
                <w:b/>
                <w:sz w:val="16"/>
              </w:rPr>
              <w:t>Interazione fra minority interests e Danish Compromise</w:t>
            </w:r>
          </w:p>
        </w:tc>
        <w:tc>
          <w:tcPr>
            <w:tcW w:type="dxa" w:w="2160"/>
          </w:tcPr>
          <w:p>
            <w:pPr>
              <w:spacing w:after="40"/>
            </w:pPr>
            <w:r>
              <w:rPr>
                <w:sz w:val="16"/>
              </w:rPr>
            </w:r>
            <w:r>
              <w:rPr>
                <w:b/>
                <w:sz w:val="16"/>
              </w:rPr>
              <w:t>Inferenza analitica</w:t>
            </w:r>
            <w:r>
              <w:rPr>
                <w:sz w:val="16"/>
              </w:rPr>
              <w:t>, costruita sul combinato degli artt. 49(1)(e)(v) e 84 CRR e del Report EBA di gennaio 2026. Non risultano Q&amp;A EBA né passaggi della Guida BCE sul punto</w:t>
            </w:r>
          </w:p>
        </w:tc>
        <w:tc>
          <w:tcPr>
            <w:tcW w:type="dxa" w:w="2160"/>
          </w:tcPr>
          <w:p>
            <w:pPr>
              <w:spacing w:after="40"/>
            </w:pPr>
            <w:r>
              <w:rPr>
                <w:sz w:val="16"/>
              </w:rPr>
            </w:r>
            <w:r>
              <w:rPr>
                <w:sz w:val="16"/>
              </w:rPr>
              <w:t>Dimensione 4 della tabella § 9.4</w:t>
            </w:r>
          </w:p>
        </w:tc>
      </w:tr>
      <w:tr>
        <w:tc>
          <w:tcPr>
            <w:tcW w:type="dxa" w:w="2160"/>
          </w:tcPr>
          <w:p>
            <w:pPr>
              <w:spacing w:after="40"/>
            </w:pPr>
            <w:r>
              <w:rPr>
                <w:sz w:val="16"/>
              </w:rPr>
            </w:r>
            <w:r>
              <w:rPr>
                <w:sz w:val="16"/>
              </w:rPr>
              <w:t>9</w:t>
            </w:r>
          </w:p>
        </w:tc>
        <w:tc>
          <w:tcPr>
            <w:tcW w:type="dxa" w:w="2160"/>
          </w:tcPr>
          <w:p>
            <w:pPr>
              <w:spacing w:after="40"/>
            </w:pPr>
            <w:r>
              <w:rPr>
                <w:sz w:val="16"/>
              </w:rPr>
            </w:r>
            <w:r>
              <w:rPr>
                <w:b/>
                <w:sz w:val="16"/>
              </w:rPr>
              <w:t>Data di Pagamento effettiva</w:t>
            </w:r>
            <w:r>
              <w:rPr>
                <w:sz w:val="16"/>
              </w:rPr>
              <w:t xml:space="preserve"> indicata nel Documento di Offerta</w:t>
            </w:r>
          </w:p>
        </w:tc>
        <w:tc>
          <w:tcPr>
            <w:tcW w:type="dxa" w:w="2160"/>
          </w:tcPr>
          <w:p>
            <w:pPr>
              <w:spacing w:after="40"/>
            </w:pPr>
            <w:r>
              <w:rPr>
                <w:sz w:val="16"/>
              </w:rPr>
            </w:r>
            <w:r>
              <w:rPr>
                <w:sz w:val="16"/>
              </w:rPr>
              <w:t>Non ancora pubblicato</w:t>
            </w:r>
          </w:p>
        </w:tc>
        <w:tc>
          <w:tcPr>
            <w:tcW w:type="dxa" w:w="2160"/>
          </w:tcPr>
          <w:p>
            <w:pPr>
              <w:spacing w:after="40"/>
            </w:pPr>
            <w:r>
              <w:rPr>
                <w:sz w:val="16"/>
              </w:rPr>
            </w:r>
            <w:r>
              <w:rPr>
                <w:sz w:val="16"/>
              </w:rPr>
              <w:t>Sposta l'intera cascata di pag. 4</w:t>
            </w:r>
          </w:p>
        </w:tc>
      </w:tr>
      <w:tr>
        <w:tc>
          <w:tcPr>
            <w:tcW w:type="dxa" w:w="2160"/>
          </w:tcPr>
          <w:p>
            <w:pPr>
              <w:spacing w:after="40"/>
            </w:pPr>
            <w:r>
              <w:rPr>
                <w:sz w:val="16"/>
              </w:rPr>
            </w:r>
            <w:r>
              <w:rPr>
                <w:sz w:val="16"/>
              </w:rPr>
              <w:t>10</w:t>
            </w:r>
          </w:p>
        </w:tc>
        <w:tc>
          <w:tcPr>
            <w:tcW w:type="dxa" w:w="2160"/>
          </w:tcPr>
          <w:p>
            <w:pPr>
              <w:spacing w:after="40"/>
            </w:pPr>
            <w:r>
              <w:rPr>
                <w:sz w:val="16"/>
              </w:rPr>
            </w:r>
            <w:r>
              <w:rPr>
                <w:b/>
                <w:sz w:val="16"/>
              </w:rPr>
              <w:t>Tempi effettivi del procedimento ex art. 2367 c. 2 c.c.</w:t>
            </w:r>
          </w:p>
        </w:tc>
        <w:tc>
          <w:tcPr>
            <w:tcW w:type="dxa" w:w="2160"/>
          </w:tcPr>
          <w:p>
            <w:pPr>
              <w:spacing w:after="40"/>
            </w:pPr>
            <w:r>
              <w:rPr>
                <w:sz w:val="16"/>
              </w:rPr>
            </w:r>
            <w:r>
              <w:rPr>
                <w:sz w:val="16"/>
              </w:rPr>
              <w:t>Nessun dato statistico pubblico; la stima 30-90 giorni è basata sulla struttura del procedimento</w:t>
            </w:r>
          </w:p>
        </w:tc>
        <w:tc>
          <w:tcPr>
            <w:tcW w:type="dxa" w:w="2160"/>
          </w:tcPr>
          <w:p>
            <w:pPr>
              <w:spacing w:after="40"/>
            </w:pPr>
            <w:r>
              <w:rPr>
                <w:sz w:val="16"/>
              </w:rPr>
            </w:r>
            <w:r>
              <w:rPr>
                <w:sz w:val="16"/>
              </w:rPr>
              <w:t>Percorso C2</w:t>
            </w:r>
          </w:p>
        </w:tc>
      </w:tr>
      <w:tr>
        <w:tc>
          <w:tcPr>
            <w:tcW w:type="dxa" w:w="2160"/>
          </w:tcPr>
          <w:p>
            <w:pPr>
              <w:spacing w:after="40"/>
            </w:pPr>
            <w:r>
              <w:rPr>
                <w:sz w:val="16"/>
              </w:rPr>
            </w:r>
            <w:r>
              <w:rPr>
                <w:sz w:val="16"/>
              </w:rPr>
              <w:t>11</w:t>
            </w:r>
          </w:p>
        </w:tc>
        <w:tc>
          <w:tcPr>
            <w:tcW w:type="dxa" w:w="2160"/>
          </w:tcPr>
          <w:p>
            <w:pPr>
              <w:spacing w:after="40"/>
            </w:pPr>
            <w:r>
              <w:rPr>
                <w:sz w:val="16"/>
              </w:rPr>
            </w:r>
            <w:r>
              <w:rPr>
                <w:b/>
                <w:sz w:val="16"/>
              </w:rPr>
              <w:t>Remunerazione dell'AD e indennità di fine rapporto</w:t>
            </w:r>
            <w:r>
              <w:rPr>
                <w:sz w:val="16"/>
              </w:rPr>
              <w:t xml:space="preserve"> MPS</w:t>
            </w:r>
          </w:p>
        </w:tc>
        <w:tc>
          <w:tcPr>
            <w:tcW w:type="dxa" w:w="2160"/>
          </w:tcPr>
          <w:p>
            <w:pPr>
              <w:spacing w:after="40"/>
            </w:pPr>
            <w:r>
              <w:rPr>
                <w:sz w:val="16"/>
              </w:rPr>
            </w:r>
            <w:r>
              <w:rPr>
                <w:sz w:val="16"/>
              </w:rPr>
              <w:t>Non pubblicamente quantificate; il dato sui compensi consiliari proviene dalla stampa</w:t>
            </w:r>
          </w:p>
        </w:tc>
        <w:tc>
          <w:tcPr>
            <w:tcW w:type="dxa" w:w="2160"/>
          </w:tcPr>
          <w:p>
            <w:pPr>
              <w:spacing w:after="40"/>
            </w:pPr>
            <w:r>
              <w:rPr>
                <w:sz w:val="16"/>
              </w:rPr>
            </w:r>
            <w:r>
              <w:rPr>
                <w:sz w:val="16"/>
              </w:rPr>
              <w:t>Stima del costo della revoca</w:t>
            </w:r>
          </w:p>
        </w:tc>
      </w:tr>
      <w:tr>
        <w:tc>
          <w:tcPr>
            <w:tcW w:type="dxa" w:w="2160"/>
          </w:tcPr>
          <w:p>
            <w:pPr>
              <w:spacing w:after="40"/>
            </w:pPr>
            <w:r>
              <w:rPr>
                <w:sz w:val="16"/>
              </w:rPr>
            </w:r>
            <w:r>
              <w:rPr>
                <w:sz w:val="16"/>
              </w:rPr>
              <w:t>12</w:t>
            </w:r>
          </w:p>
        </w:tc>
        <w:tc>
          <w:tcPr>
            <w:tcW w:type="dxa" w:w="2160"/>
          </w:tcPr>
          <w:p>
            <w:pPr>
              <w:spacing w:after="40"/>
            </w:pPr>
            <w:r>
              <w:rPr>
                <w:sz w:val="16"/>
              </w:rPr>
            </w:r>
            <w:r>
              <w:rPr>
                <w:b/>
                <w:sz w:val="16"/>
              </w:rPr>
              <w:t>Computabilità degli acquisti fuori offerta</w:t>
            </w:r>
            <w:r>
              <w:rPr>
                <w:sz w:val="16"/>
              </w:rPr>
              <w:t xml:space="preserve"> ex art. 50 c. 9 lett. a) n. ii Reg. Emittenti e coordinamento con le regole sul miglior prezzo (artt. 47-sexies e 47-septies)</w:t>
            </w:r>
          </w:p>
        </w:tc>
        <w:tc>
          <w:tcPr>
            <w:tcW w:type="dxa" w:w="2160"/>
          </w:tcPr>
          <w:p>
            <w:pPr>
              <w:spacing w:after="40"/>
            </w:pPr>
            <w:r>
              <w:rPr>
                <w:sz w:val="16"/>
              </w:rPr>
            </w:r>
            <w:r>
              <w:rPr>
                <w:sz w:val="16"/>
              </w:rPr>
              <w:t>Non verificato</w:t>
            </w:r>
          </w:p>
        </w:tc>
        <w:tc>
          <w:tcPr>
            <w:tcW w:type="dxa" w:w="2160"/>
          </w:tcPr>
          <w:p>
            <w:pPr>
              <w:spacing w:after="40"/>
            </w:pPr>
            <w:r>
              <w:rPr>
                <w:sz w:val="16"/>
              </w:rPr>
            </w:r>
            <w:r>
              <w:rPr>
                <w:sz w:val="16"/>
              </w:rPr>
              <w:t>Condiziona la strategia di acquisti sul mercato</w:t>
            </w:r>
          </w:p>
        </w:tc>
      </w:tr>
      <w:tr>
        <w:tc>
          <w:tcPr>
            <w:tcW w:type="dxa" w:w="2160"/>
          </w:tcPr>
          <w:p>
            <w:pPr>
              <w:spacing w:after="40"/>
            </w:pPr>
            <w:r>
              <w:rPr>
                <w:sz w:val="16"/>
              </w:rPr>
            </w:r>
            <w:r>
              <w:rPr>
                <w:sz w:val="16"/>
              </w:rPr>
              <w:t>13</w:t>
            </w:r>
          </w:p>
        </w:tc>
        <w:tc>
          <w:tcPr>
            <w:tcW w:type="dxa" w:w="2160"/>
          </w:tcPr>
          <w:p>
            <w:pPr>
              <w:spacing w:after="40"/>
            </w:pPr>
            <w:r>
              <w:rPr>
                <w:sz w:val="16"/>
              </w:rPr>
            </w:r>
            <w:r>
              <w:rPr>
                <w:b/>
                <w:sz w:val="16"/>
              </w:rPr>
              <w:t>Quota Caltagirone</w:t>
            </w:r>
            <w:r>
              <w:rPr>
                <w:sz w:val="16"/>
              </w:rPr>
              <w:t>: 10,26% notificato vs 13,49% secondo MPS</w:t>
            </w:r>
          </w:p>
        </w:tc>
        <w:tc>
          <w:tcPr>
            <w:tcW w:type="dxa" w:w="2160"/>
          </w:tcPr>
          <w:p>
            <w:pPr>
              <w:spacing w:after="40"/>
            </w:pPr>
            <w:r>
              <w:rPr>
                <w:sz w:val="16"/>
              </w:rPr>
            </w:r>
            <w:r>
              <w:rPr>
                <w:sz w:val="16"/>
              </w:rPr>
              <w:t>Discordanza non risolta</w:t>
            </w:r>
          </w:p>
        </w:tc>
        <w:tc>
          <w:tcPr>
            <w:tcW w:type="dxa" w:w="2160"/>
          </w:tcPr>
          <w:p>
            <w:pPr>
              <w:spacing w:after="40"/>
            </w:pPr>
            <w:r>
              <w:rPr>
                <w:sz w:val="16"/>
              </w:rPr>
            </w:r>
            <w:r>
              <w:rPr>
                <w:sz w:val="16"/>
              </w:rPr>
              <w:t>Aritmetica del § 9.1</w:t>
            </w:r>
          </w:p>
        </w:tc>
      </w:tr>
      <w:tr>
        <w:tc>
          <w:tcPr>
            <w:tcW w:type="dxa" w:w="2160"/>
          </w:tcPr>
          <w:p>
            <w:pPr>
              <w:spacing w:after="40"/>
            </w:pPr>
            <w:r>
              <w:rPr>
                <w:sz w:val="16"/>
              </w:rPr>
            </w:r>
            <w:r>
              <w:rPr>
                <w:sz w:val="16"/>
              </w:rPr>
              <w:t>14</w:t>
            </w:r>
          </w:p>
        </w:tc>
        <w:tc>
          <w:tcPr>
            <w:tcW w:type="dxa" w:w="2160"/>
          </w:tcPr>
          <w:p>
            <w:pPr>
              <w:spacing w:after="40"/>
            </w:pPr>
            <w:r>
              <w:rPr>
                <w:sz w:val="16"/>
              </w:rPr>
            </w:r>
            <w:r>
              <w:rPr>
                <w:b/>
                <w:sz w:val="16"/>
              </w:rPr>
              <w:t>Disponibilità di un veicolo bancario già autorizzato in capo a Unipol</w:t>
            </w:r>
          </w:p>
        </w:tc>
        <w:tc>
          <w:tcPr>
            <w:tcW w:type="dxa" w:w="2160"/>
          </w:tcPr>
          <w:p>
            <w:pPr>
              <w:spacing w:after="40"/>
            </w:pPr>
            <w:r>
              <w:rPr>
                <w:sz w:val="16"/>
              </w:rPr>
            </w:r>
            <w:r>
              <w:rPr>
                <w:sz w:val="16"/>
              </w:rPr>
              <w:t>Dopo la cessione di Unipol Banca a BPER nel 2019 il gruppo non dispone di una banca controllata; BPER è partecipata al ~30% ma non controllata</w:t>
            </w:r>
          </w:p>
        </w:tc>
        <w:tc>
          <w:tcPr>
            <w:tcW w:type="dxa" w:w="2160"/>
          </w:tcPr>
          <w:p>
            <w:pPr>
              <w:spacing w:after="40"/>
            </w:pPr>
            <w:r>
              <w:rPr>
                <w:sz w:val="16"/>
              </w:rPr>
            </w:r>
            <w:r>
              <w:rPr>
                <w:sz w:val="16"/>
              </w:rPr>
              <w:t>Tempi della struttura newco</w:t>
            </w:r>
          </w:p>
        </w:tc>
      </w:tr>
      <w:tr>
        <w:tc>
          <w:tcPr>
            <w:tcW w:type="dxa" w:w="2160"/>
          </w:tcPr>
          <w:p>
            <w:pPr>
              <w:spacing w:after="40"/>
            </w:pPr>
            <w:r>
              <w:rPr>
                <w:sz w:val="16"/>
              </w:rPr>
            </w:r>
            <w:r>
              <w:rPr>
                <w:sz w:val="16"/>
              </w:rPr>
              <w:t>15</w:t>
            </w:r>
          </w:p>
        </w:tc>
        <w:tc>
          <w:tcPr>
            <w:tcW w:type="dxa" w:w="2160"/>
          </w:tcPr>
          <w:p>
            <w:pPr>
              <w:spacing w:after="40"/>
            </w:pPr>
            <w:r>
              <w:rPr>
                <w:sz w:val="16"/>
              </w:rPr>
            </w:r>
            <w:r>
              <w:rPr>
                <w:b/>
                <w:sz w:val="16"/>
              </w:rPr>
              <w:t>Orientamenti Consob sulla formula "esclusivamente a seguito di offerta pubblica totalitaria"</w:t>
            </w:r>
            <w:r>
              <w:rPr>
                <w:sz w:val="16"/>
              </w:rPr>
              <w:t xml:space="preserve"> applicata ad acquisti post-settlement</w:t>
            </w:r>
          </w:p>
        </w:tc>
        <w:tc>
          <w:tcPr>
            <w:tcW w:type="dxa" w:w="2160"/>
          </w:tcPr>
          <w:p>
            <w:pPr>
              <w:spacing w:after="40"/>
            </w:pPr>
            <w:r>
              <w:rPr>
                <w:sz w:val="16"/>
              </w:rPr>
            </w:r>
            <w:r>
              <w:rPr>
                <w:sz w:val="16"/>
              </w:rPr>
              <w:t>Nessuna comunicazione pubblicata reperita</w:t>
            </w:r>
          </w:p>
        </w:tc>
        <w:tc>
          <w:tcPr>
            <w:tcW w:type="dxa" w:w="2160"/>
          </w:tcPr>
          <w:p>
            <w:pPr>
              <w:spacing w:after="40"/>
            </w:pPr>
            <w:r>
              <w:rPr>
                <w:sz w:val="16"/>
              </w:rPr>
            </w:r>
            <w:r>
              <w:rPr>
                <w:sz w:val="16"/>
              </w:rPr>
              <w:t>Trappola di pricing del § 9.3</w:t>
            </w:r>
          </w:p>
        </w:tc>
      </w:tr>
    </w:tbl>
    <w:p/>
    <w:p>
      <w:r>
        <w:br w:type="page"/>
      </w:r>
    </w:p>
    <w:p>
      <w:pPr>
        <w:pStyle w:val="Heading2"/>
      </w:pPr>
      <w:r>
        <w:t>Appendice — Materiali e percorsi</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6"/>
              </w:rPr>
            </w:r>
            <w:r>
              <w:rPr>
                <w:b/>
                <w:sz w:val="16"/>
              </w:rPr>
              <w:t>Materiale</w:t>
            </w:r>
          </w:p>
        </w:tc>
        <w:tc>
          <w:tcPr>
            <w:tcW w:type="dxa" w:w="4320"/>
          </w:tcPr>
          <w:p>
            <w:pPr>
              <w:spacing w:after="40"/>
            </w:pPr>
            <w:r>
              <w:rPr>
                <w:b/>
                <w:sz w:val="16"/>
              </w:rPr>
            </w:r>
            <w:r>
              <w:rPr>
                <w:b/>
                <w:sz w:val="16"/>
              </w:rPr>
              <w:t>Path / riferimento</w:t>
            </w:r>
          </w:p>
        </w:tc>
      </w:tr>
      <w:tr>
        <w:tc>
          <w:tcPr>
            <w:tcW w:type="dxa" w:w="4320"/>
          </w:tcPr>
          <w:p>
            <w:pPr>
              <w:spacing w:after="40"/>
            </w:pPr>
            <w:r>
              <w:rPr>
                <w:sz w:val="16"/>
              </w:rPr>
            </w:r>
            <w:r>
              <w:rPr>
                <w:sz w:val="16"/>
              </w:rPr>
              <w:t>Memo esteso di analisi</w:t>
            </w:r>
          </w:p>
        </w:tc>
        <w:tc>
          <w:tcPr>
            <w:tcW w:type="dxa" w:w="4320"/>
          </w:tcPr>
          <w:p>
            <w:pPr>
              <w:spacing w:after="40"/>
            </w:pPr>
            <w:r>
              <w:rPr>
                <w:sz w:val="16"/>
              </w:rPr>
            </w:r>
            <w:r>
              <w:rPr>
                <w:rFonts w:ascii="Consolas" w:hAnsi="Consolas"/>
                <w:sz w:val="16"/>
              </w:rPr>
              <w:t>analisi/prj-stradebianche/nodi-what-if-timeline-opas.md</w:t>
            </w:r>
          </w:p>
        </w:tc>
      </w:tr>
      <w:tr>
        <w:tc>
          <w:tcPr>
            <w:tcW w:type="dxa" w:w="4320"/>
          </w:tcPr>
          <w:p>
            <w:pPr>
              <w:spacing w:after="40"/>
            </w:pPr>
            <w:r>
              <w:rPr>
                <w:sz w:val="16"/>
              </w:rPr>
            </w:r>
            <w:r>
              <w:rPr>
                <w:sz w:val="16"/>
              </w:rPr>
              <w:t>Deck originale (6 slide)</w:t>
            </w:r>
          </w:p>
        </w:tc>
        <w:tc>
          <w:tcPr>
            <w:tcW w:type="dxa" w:w="4320"/>
          </w:tcPr>
          <w:p>
            <w:pPr>
              <w:spacing w:after="40"/>
            </w:pPr>
            <w:r>
              <w:rPr>
                <w:sz w:val="16"/>
              </w:rPr>
            </w:r>
            <w:r>
              <w:rPr>
                <w:rFonts w:ascii="Consolas" w:hAnsi="Consolas"/>
                <w:sz w:val="16"/>
              </w:rPr>
              <w:t>~/.cursor/projects/workspace/uploads/20260913_ISP_Prj_Stradebianche_scenari_settlement_v.DRAFT__004__1e09.pptx</w:t>
            </w:r>
          </w:p>
        </w:tc>
      </w:tr>
      <w:tr>
        <w:tc>
          <w:tcPr>
            <w:tcW w:type="dxa" w:w="4320"/>
          </w:tcPr>
          <w:p>
            <w:pPr>
              <w:spacing w:after="40"/>
            </w:pPr>
            <w:r>
              <w:rPr>
                <w:sz w:val="16"/>
              </w:rPr>
            </w:r>
            <w:r>
              <w:rPr>
                <w:sz w:val="16"/>
              </w:rPr>
              <w:t>Comunicato ISP ex art. 102 TUF, testo integrale</w:t>
            </w:r>
          </w:p>
        </w:tc>
        <w:tc>
          <w:tcPr>
            <w:tcW w:type="dxa" w:w="4320"/>
          </w:tcPr>
          <w:p>
            <w:pPr>
              <w:spacing w:after="40"/>
            </w:pPr>
            <w:r>
              <w:rPr>
                <w:sz w:val="16"/>
              </w:rPr>
            </w:r>
            <w:r>
              <w:rPr>
                <w:rFonts w:ascii="Consolas" w:hAnsi="Consolas"/>
                <w:sz w:val="16"/>
              </w:rPr>
              <w:t>group.intesasanpaolo.com/it/investor-relations/comunicati-stampa-price-sensitive/2026/06/20260608-102-it</w:t>
            </w:r>
          </w:p>
        </w:tc>
      </w:tr>
      <w:tr>
        <w:tc>
          <w:tcPr>
            <w:tcW w:type="dxa" w:w="4320"/>
          </w:tcPr>
          <w:p>
            <w:pPr>
              <w:spacing w:after="40"/>
            </w:pPr>
            <w:r>
              <w:rPr>
                <w:sz w:val="16"/>
              </w:rPr>
            </w:r>
            <w:r>
              <w:rPr>
                <w:sz w:val="16"/>
              </w:rPr>
              <w:t>Pull request di lavoro</w:t>
            </w:r>
          </w:p>
        </w:tc>
        <w:tc>
          <w:tcPr>
            <w:tcW w:type="dxa" w:w="4320"/>
          </w:tcPr>
          <w:p>
            <w:pPr>
              <w:spacing w:after="40"/>
            </w:pPr>
            <w:r>
              <w:rPr>
                <w:sz w:val="16"/>
              </w:rPr>
            </w:r>
            <w:r>
              <w:rPr>
                <w:rFonts w:ascii="Consolas" w:hAnsi="Consolas"/>
                <w:sz w:val="16"/>
              </w:rPr>
              <w:t>github.com/rivadiego/rivadiego</w:t>
            </w:r>
            <w:r>
              <w:rPr>
                <w:sz w:val="16"/>
              </w:rPr>
              <w:t xml:space="preserve"> PR #6</w:t>
            </w:r>
          </w:p>
        </w:tc>
      </w:tr>
    </w:tbl>
    <w:p/>
    <w:p>
      <w:r>
        <w:rPr>
          <w:b/>
        </w:rPr>
        <w:t>Giurisprudenza citata</w:t>
      </w:r>
      <w:r>
        <w:t xml:space="preserve">: Cass. 8912/2003 (poteri pieni in prorogatio); Cass. 16707/2004 (vantaggi compensativi non generici); Cass. 23557/2008 e 2037/2018 (immodificabilità delle ragioni di revoca, danno all'immagine come </w:t>
      </w:r>
      <w:r>
        <w:rPr>
          <w:i/>
        </w:rPr>
        <w:t>quid pluris</w:t>
      </w:r>
      <w:r>
        <w:t>); Cass. 29139/2017 (nessuna preventiva escussione della eterodiretta); Cass. 24943/2019 (onere probatorio ex art. 2497); Cass. 21495/2020 (cambio di controllo non è giusta causa); Cass. 4586/2023 (art. 1725 c. 1 c.c. e derogabilità); Trib. Milano 2 aprile 2016 (sindacato minimo sulla convocazione); Trib. Roma 13 novembre 2018 (niente prorogatio per il revocato); Trib. Milano 23 aprile 2018 e parere Marchetti (inderogabilità del voto di lista nel rinnovo integrale).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