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Prj Stradebianche — I due nodi what-if della timeline OPAS (pag. 4)</w:t>
      </w:r>
    </w:p>
    <w:p>
      <w:pPr>
        <w:jc w:val="center"/>
      </w:pPr>
      <w:r>
        <w:rPr>
          <w:i/>
          <w:sz w:val="18"/>
        </w:rPr>
        <w:t>DOCUMENTO PRELIMINARE AD USO INTERNO — 16 settembre 2026</w:t>
      </w:r>
    </w:p>
    <w:p/>
    <w:p>
      <w:r>
        <w:rPr>
          <w:b/>
        </w:rPr>
        <w:t>Oggetto</w:t>
      </w:r>
      <w:r>
        <w:t xml:space="preserve">: analisi degli scenari alternativi rispetto alle due assunzioni implicite della timeline "Ipotesi settlement al 2027" (pag. 4 di </w:t>
      </w:r>
      <w:r>
        <w:rPr>
          <w:rFonts w:ascii="Consolas" w:hAnsi="Consolas"/>
          <w:sz w:val="18"/>
        </w:rPr>
        <w:t>20260913_ISP_Prj_Stradebianche_scenari_settlement_v.DRAFT (004).pptx</w:t>
      </w:r>
      <w:r>
        <w:t>):</w:t>
      </w:r>
    </w:p>
    <w:p>
      <w:pPr>
        <w:pStyle w:val="ListBullet"/>
      </w:pPr>
      <w:r>
        <w:rPr>
          <w:b/>
        </w:rPr>
        <w:t>Nodo A</w:t>
      </w:r>
      <w:r>
        <w:t xml:space="preserve"> — il raggiungimento della soglia del </w:t>
      </w:r>
      <w:r>
        <w:rPr>
          <w:b/>
        </w:rPr>
        <w:t>90%</w:t>
      </w:r>
      <w:r>
        <w:t xml:space="preserve"> che apre lo squeeze-out e quindi il delisting;</w:t>
      </w:r>
    </w:p>
    <w:p>
      <w:pPr>
        <w:pStyle w:val="ListBullet"/>
      </w:pPr>
      <w:r>
        <w:rPr>
          <w:b/>
        </w:rPr>
        <w:t>Nodo B</w:t>
      </w:r>
      <w:r>
        <w:t xml:space="preserve"> — le </w:t>
      </w:r>
      <w:r>
        <w:rPr>
          <w:b/>
        </w:rPr>
        <w:t>dimissioni volontarie del CdA MPS</w:t>
      </w:r>
      <w:r>
        <w:t xml:space="preserve"> a t+7 dal settlement.</w:t>
      </w:r>
    </w:p>
    <w:p>
      <w:r>
        <w:rPr>
          <w:b/>
        </w:rPr>
        <w:t>Data</w:t>
      </w:r>
      <w:r>
        <w:t xml:space="preserve">: 16 settembre 2026 — </w:t>
      </w:r>
      <w:r>
        <w:rPr>
          <w:b/>
        </w:rPr>
        <w:t>Uso interno / documento preliminare</w:t>
      </w:r>
    </w:p>
    <w:p>
      <w:r>
        <w:br w:type="page"/>
      </w:r>
    </w:p>
    <w:p>
      <w:pPr>
        <w:pStyle w:val="Heading2"/>
      </w:pPr>
      <w:r>
        <w:t>0. Executive summary</w:t>
      </w:r>
    </w:p>
    <w:p>
      <w:r>
        <w:rPr>
          <w:b/>
        </w:rPr>
        <w:t>Sei messaggi.</w:t>
      </w:r>
    </w:p>
    <w:p>
      <w:pPr>
        <w:pStyle w:val="ListNumber"/>
      </w:pPr>
      <w:r>
        <w:rPr>
          <w:b/>
        </w:rPr>
        <w:t>La soglia rilevante è il 90%, non il 95%.</w:t>
      </w:r>
      <w:r>
        <w:t xml:space="preserve"> Il D.Lgs. 27 marzo 2026 n. 47 (in vigore dal 29 aprile 2026) ha abbassato al 90% la soglia del diritto di acquisto ex art. 111 TUF. Oggi il 90% è la soglia unica che apre contemporaneamente il sell-out (art. 108, c. 2) e lo squeeze-out (art. 111), con </w:t>
      </w:r>
      <w:r>
        <w:rPr>
          <w:b/>
        </w:rPr>
        <w:t>procedura congiunta immediata</w:t>
      </w:r>
      <w:r>
        <w:t xml:space="preserve"> e senza dover passare per il vecchio doppio gradino 90% → 95%. Il comunicato ISP ex art. 102 TUF dell'8 giugno 2026 è già scritto su questa base.</w:t>
      </w:r>
    </w:p>
    <w:p>
      <w:pPr>
        <w:pStyle w:val="ListNumber"/>
      </w:pPr>
      <w:r>
        <w:rPr>
          <w:b/>
        </w:rPr>
        <w:t>Con l'attuale libro soci, il 90% è aritmeticamente fuori portata senza Delfin e Caltagirone.</w:t>
      </w:r>
      <w:r>
        <w:t xml:space="preserve"> Delfin (17,53%) e il gruppo Caltagirone (13,49% secondo MPS al 20 maggio 2026) sommano </w:t>
      </w:r>
      <w:r>
        <w:rPr>
          <w:b/>
        </w:rPr>
        <w:t>31,0%</w:t>
      </w:r>
      <w:r>
        <w:t xml:space="preserve">: se non aderiscono, il massimo teorico è </w:t>
      </w:r>
      <w:r>
        <w:rPr>
          <w:b/>
        </w:rPr>
        <w:t>68,98%</w:t>
      </w:r>
      <w:r>
        <w:t xml:space="preserve">. Il ramo "sotto il 90%" non è una coda di distribuzione: </w:t>
      </w:r>
      <w:r>
        <w:rPr>
          <w:b/>
        </w:rPr>
        <w:t>è lo scenario centrale da pianificare</w:t>
      </w:r>
      <w:r>
        <w:t>, e il 90% va trattato come l'upside.</w:t>
      </w:r>
    </w:p>
    <w:p>
      <w:pPr>
        <w:pStyle w:val="ListNumber"/>
      </w:pPr>
      <w:r>
        <w:rPr>
          <w:b/>
        </w:rPr>
        <w:t>Sotto il 90% non c'è uno stallo: c'è un binario lento.</w:t>
      </w:r>
      <w:r>
        <w:t xml:space="preserve"> Controllo, consolidamento e nomina del CdA arrivano al settlement esattamente come nello scenario di pag. 4; a mancare sono solo le azioni residue e il delisting, e lo strumento che le elimina senza il consenso delle minoranze diventa la </w:t>
      </w:r>
      <w:r>
        <w:rPr>
          <w:b/>
        </w:rPr>
        <w:t>fusione</w:t>
      </w:r>
      <w:r>
        <w:t xml:space="preserve"> (8-15 mesi, senza diritto di recesso perché il concambio è in azioni ISP quotate). Il costo non è l'attesa: è che </w:t>
      </w:r>
      <w:r>
        <w:rPr>
          <w:b/>
        </w:rPr>
        <w:t>cambia la struttura giuridica dell'operazione per 12-18 mesi</w:t>
      </w:r>
      <w:r>
        <w:t xml:space="preserve"> (par. 3.2). MPS resta emittente quotato con minoranze del 11-33%, quindi: ogni operazione infragruppo (trasferimento della quota AG, riorganizzazioni per il carve-out) diventa un'operazione con parti correlate con soglia di maggiore rilevanza al </w:t>
      </w:r>
      <w:r>
        <w:rPr>
          <w:b/>
        </w:rPr>
        <w:t>2,5%</w:t>
      </w:r>
      <w:r>
        <w:t xml:space="preserve"> e parere vincolante di un comitato di indipendenti su cui siedono amministratori di lista di minoranza; il CET1 riconosce le minoranze solo entro il cap dell'art. 84 CRR mentre gli RWA si consolidano al 100%; il delisting passa solo dalla fusione (8-15 mesi secondo i precedenti BPER/Sondrio e MPS/Mediobanca).</w:t>
      </w:r>
    </w:p>
    <w:p>
      <w:pPr>
        <w:pStyle w:val="ListNumber"/>
      </w:pPr>
      <w:r>
        <w:rPr>
          <w:b/>
        </w:rPr>
        <w:t>Il vincolo più sottovalutato del ramo sotto-90% è il remedy Unipol.</w:t>
      </w:r>
      <w:r>
        <w:t xml:space="preserve"> L'Accordo Unipol impegna Unipol ad acquisire </w:t>
      </w:r>
      <w:r>
        <w:rPr>
          <w:i/>
        </w:rPr>
        <w:t>"l'intero capitale di una entità giuridica bancaria, eventualmente identificata nello stesso Emittente"</w:t>
      </w:r>
      <w:r>
        <w:t xml:space="preserve">, ed è subordinato </w:t>
      </w:r>
      <w:r>
        <w:rPr>
          <w:i/>
        </w:rPr>
        <w:t>"all'adesione dell'Emittente all'Accordo Unipol"</w:t>
      </w:r>
      <w:r>
        <w:t xml:space="preserve">. Entrambi i presupposti sono esposti ai due nodi: </w:t>
      </w:r>
      <w:r>
        <w:rPr>
          <w:b/>
        </w:rPr>
        <w:t>l'"intero capitale" di MPS si può cedere solo post-squeeze-out</w:t>
      </w:r>
      <w:r>
        <w:t xml:space="preserve"> (e cedere il solo pacchetto ISP di un MPS quotato farebbe scattare un'OPA obbligatoria di Unipol ex art. 106, c. 1, TUF), e </w:t>
      </w:r>
      <w:r>
        <w:rPr>
          <w:b/>
        </w:rPr>
        <w:t>l'adesione di MPS all'Accordo richiede una delibera del CdA MPS</w:t>
      </w:r>
      <w:r>
        <w:t xml:space="preserve">. Un consiglio ostile o una quota di minoranze residue non ritardano un adempimento accessorio: mettono a rischio l'esecuzione dell'impegno antitrust, che è condizione di efficacia dell'Offerta. Sotto il 90% si ricade sulla struttura </w:t>
      </w:r>
      <w:r>
        <w:rPr>
          <w:b/>
        </w:rPr>
        <w:t>newco</w:t>
      </w:r>
      <w:r>
        <w:t xml:space="preserve"> e il calendario da negoziare con l'AGCM — istruttoria approfondita avviata il 14 settembre 2026 — va costruito su quella struttura, non su quella semplice (par. 3.5).</w:t>
      </w:r>
    </w:p>
    <w:p>
      <w:pPr>
        <w:pStyle w:val="ListNumber"/>
      </w:pPr>
      <w:r>
        <w:rPr>
          <w:b/>
        </w:rPr>
        <w:t>I due nodi non sono indipendenti: il 90% è anche il miglior rimedio al CdA che non si dimette.</w:t>
      </w:r>
      <w:r>
        <w:t xml:space="preserve"> Raggiunto il 90% ed eseguita la procedura congiunta, ISP arriva al 100% e MPS è revocata dalla quotazione: cadono le liste di minoranza, la riserva statutaria di seggi, il voto di lista come vincolo di fatto, e la sostituzione degli organi diventa un atto che si compie in giorni anziché in 40+. Sotto il 90% con un CdA ostile si cumulano invece tutti i ritardi: nuovo CdA fra marzo e giugno 2027 anziché il 25 febbraio </w:t>
      </w:r>
      <w:r>
        <w:rPr>
          <w:b/>
        </w:rPr>
        <w:t>se si arriva all'ostruzionismo sulla convocazione</w:t>
      </w:r>
      <w:r>
        <w:t>, con un comitato OPC che dovrà poi esprimersi sulle operazioni che servono a ISP.</w:t>
      </w:r>
    </w:p>
    <w:p>
      <w:pPr>
        <w:pStyle w:val="ListNumber"/>
      </w:pPr>
      <w:r>
        <w:rPr>
          <w:b/>
        </w:rPr>
        <w:t>Sul nodo B, il costo vero non è il calendario assembleare: è la perdita di governo del business nella finestra interinale.</w:t>
      </w:r>
      <w:r>
        <w:t xml:space="preserve"> Il vincolo che fissa la data del nuovo consiglio è il preavviso di 40 giorni, e opera identico con o senza dimissioni: fra i due scenari il differenziale di tempo è quasi nullo, purché </w:t>
      </w:r>
      <w:r>
        <w:rPr>
          <w:i/>
        </w:rPr>
        <w:t>qualcuno</w:t>
      </w:r>
      <w:r>
        <w:t xml:space="preserve"> convochi. Ciò che invece cambia in modo non recuperabile è che, finché il consiglio MPS è in carica, </w:t>
      </w:r>
      <w:r>
        <w:rPr>
          <w:b/>
        </w:rPr>
        <w:t>l'art. 61, c. 4, TUB garantisce dati e collaborazione di vigilanza ma non crea una linea di comando sui dipendenti</w:t>
      </w:r>
      <w:r>
        <w:t>: l'organo in carica resta l'unica fonte legittima di istruzioni e il datore di lavoro. Per 50-90 giorni ISP avrebbe la proprietà di MPS senza governarla (par. 4.3-bis).</w:t>
      </w:r>
    </w:p>
    <w:p>
      <w:r>
        <w:rPr>
          <w:b/>
        </w:rPr>
        <w:t>La raccomandazione operativa più immediata</w:t>
      </w:r>
      <w:r>
        <w:t xml:space="preserve"> (par. 7): assoggettare volontariamente l'Offerta alla riapertura dei termini ex art. 40-bis, c. 1, Reg. Emittenti. Oggi il comunicato 102 dichiara che l'Offerta </w:t>
      </w:r>
      <w:r>
        <w:rPr>
          <w:i/>
        </w:rPr>
        <w:t>non</w:t>
      </w:r>
      <w:r>
        <w:t xml:space="preserve"> è soggetta alla riapertura obbligatoria (ISP non è offerente "insider" ex art. 39-bis). Nei due precedenti confrontabili la riapertura ha portato </w:t>
      </w:r>
      <w:r>
        <w:rPr>
          <w:b/>
        </w:rPr>
        <w:t>+22,2 punti</w:t>
      </w:r>
      <w:r>
        <w:t xml:space="preserve"> (BPER/Sondrio) e </w:t>
      </w:r>
      <w:r>
        <w:rPr>
          <w:b/>
        </w:rPr>
        <w:t>+24,0 punti</w:t>
      </w:r>
      <w:r>
        <w:t xml:space="preserve"> (MPS/Mediobanca), ed è anche la condizione per ancorare il prezzo della procedura congiunta al corrispettivo d'offerta ex art. 50, c. 4, lett. c), Reg. Emittenti. Con un periodo di adesione di 37 giorni di borsa aperta (a un soffio dal tetto di 40) lo spazio per una proroga è quasi nullo: la riapertura è l'unica seconda finestra disponibile.</w:t>
      </w:r>
    </w:p>
    <w:p>
      <w:r>
        <w:br w:type="page"/>
      </w:r>
    </w:p>
    <w:p>
      <w:pPr>
        <w:pStyle w:val="Heading2"/>
      </w:pPr>
      <w:r>
        <w:t>1. Cosa dice, e cosa non dice, la pagina 4</w:t>
      </w:r>
    </w:p>
    <w:p>
      <w:pPr>
        <w:pStyle w:val="Heading3"/>
      </w:pPr>
      <w:r>
        <w:t>1.1 La timeline come rappresentata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Data</w:t>
            </w:r>
          </w:p>
        </w:tc>
        <w:tc>
          <w:tcPr>
            <w:tcW w:type="dxa" w:w="4320"/>
          </w:tcPr>
          <w:p>
            <w:pPr>
              <w:spacing w:after="40"/>
            </w:pPr>
            <w:r>
              <w:rPr>
                <w:b/>
                <w:sz w:val="16"/>
              </w:rPr>
            </w:r>
            <w:r>
              <w:rPr>
                <w:b/>
                <w:sz w:val="16"/>
              </w:rPr>
              <w:t>Evento (pag. 4)</w:t>
            </w:r>
          </w:p>
        </w:tc>
      </w:tr>
      <w:tr>
        <w:tc>
          <w:tcPr>
            <w:tcW w:type="dxa" w:w="4320"/>
          </w:tcPr>
          <w:p>
            <w:pPr>
              <w:spacing w:after="40"/>
            </w:pPr>
            <w:r>
              <w:rPr>
                <w:sz w:val="16"/>
              </w:rPr>
            </w:r>
            <w:r>
              <w:rPr>
                <w:sz w:val="16"/>
              </w:rPr>
              <w:t>9 nov 2026</w:t>
            </w:r>
          </w:p>
        </w:tc>
        <w:tc>
          <w:tcPr>
            <w:tcW w:type="dxa" w:w="4320"/>
          </w:tcPr>
          <w:p>
            <w:pPr>
              <w:spacing w:after="40"/>
            </w:pPr>
            <w:r>
              <w:rPr>
                <w:sz w:val="16"/>
              </w:rPr>
            </w:r>
            <w:r>
              <w:rPr>
                <w:sz w:val="16"/>
              </w:rPr>
              <w:t>Avvio periodo di offerta</w:t>
            </w:r>
          </w:p>
        </w:tc>
      </w:tr>
      <w:tr>
        <w:tc>
          <w:tcPr>
            <w:tcW w:type="dxa" w:w="4320"/>
          </w:tcPr>
          <w:p>
            <w:pPr>
              <w:spacing w:after="40"/>
            </w:pPr>
            <w:r>
              <w:rPr>
                <w:sz w:val="16"/>
              </w:rPr>
            </w:r>
            <w:r>
              <w:rPr>
                <w:sz w:val="16"/>
              </w:rPr>
              <w:t>9 nov – 4 gen</w:t>
            </w:r>
          </w:p>
        </w:tc>
        <w:tc>
          <w:tcPr>
            <w:tcW w:type="dxa" w:w="4320"/>
          </w:tcPr>
          <w:p>
            <w:pPr>
              <w:spacing w:after="40"/>
            </w:pPr>
            <w:r>
              <w:rPr>
                <w:sz w:val="16"/>
              </w:rPr>
            </w:r>
            <w:r>
              <w:rPr>
                <w:sz w:val="16"/>
              </w:rPr>
              <w:t>Periodo di adesione (37 giorni di borsa aperta)</w:t>
            </w:r>
          </w:p>
        </w:tc>
      </w:tr>
      <w:tr>
        <w:tc>
          <w:tcPr>
            <w:tcW w:type="dxa" w:w="4320"/>
          </w:tcPr>
          <w:p>
            <w:pPr>
              <w:spacing w:after="40"/>
            </w:pPr>
            <w:r>
              <w:rPr>
                <w:sz w:val="16"/>
              </w:rPr>
            </w:r>
            <w:r>
              <w:rPr>
                <w:sz w:val="16"/>
              </w:rPr>
              <w:t>4 gen 2027</w:t>
            </w:r>
          </w:p>
        </w:tc>
        <w:tc>
          <w:tcPr>
            <w:tcW w:type="dxa" w:w="4320"/>
          </w:tcPr>
          <w:p>
            <w:pPr>
              <w:spacing w:after="40"/>
            </w:pPr>
            <w:r>
              <w:rPr>
                <w:sz w:val="16"/>
              </w:rPr>
            </w:r>
            <w:r>
              <w:rPr>
                <w:sz w:val="16"/>
              </w:rPr>
              <w:t>Termine periodo di offerta</w:t>
            </w:r>
          </w:p>
        </w:tc>
      </w:tr>
      <w:tr>
        <w:tc>
          <w:tcPr>
            <w:tcW w:type="dxa" w:w="4320"/>
          </w:tcPr>
          <w:p>
            <w:pPr>
              <w:spacing w:after="40"/>
            </w:pPr>
            <w:r>
              <w:rPr>
                <w:sz w:val="16"/>
              </w:rPr>
            </w:r>
            <w:r>
              <w:rPr>
                <w:b/>
                <w:sz w:val="16"/>
              </w:rPr>
              <w:t>6 gen 2027</w:t>
            </w:r>
          </w:p>
        </w:tc>
        <w:tc>
          <w:tcPr>
            <w:tcW w:type="dxa" w:w="4320"/>
          </w:tcPr>
          <w:p>
            <w:pPr>
              <w:spacing w:after="40"/>
            </w:pPr>
            <w:r>
              <w:rPr>
                <w:sz w:val="16"/>
              </w:rPr>
            </w:r>
            <w:r>
              <w:rPr>
                <w:b/>
                <w:sz w:val="16"/>
              </w:rPr>
              <w:t>Settlement</w:t>
            </w:r>
            <w:r>
              <w:rPr>
                <w:sz w:val="16"/>
              </w:rPr>
              <w:t xml:space="preserve"> offerta + istanza di trasferimento partecipazione AG</w:t>
            </w:r>
          </w:p>
        </w:tc>
      </w:tr>
      <w:tr>
        <w:tc>
          <w:tcPr>
            <w:tcW w:type="dxa" w:w="4320"/>
          </w:tcPr>
          <w:p>
            <w:pPr>
              <w:spacing w:after="40"/>
            </w:pPr>
            <w:r>
              <w:rPr>
                <w:sz w:val="16"/>
              </w:rPr>
            </w:r>
            <w:r>
              <w:rPr>
                <w:sz w:val="16"/>
              </w:rPr>
              <w:t>13 gen (S+7)</w:t>
            </w:r>
          </w:p>
        </w:tc>
        <w:tc>
          <w:tcPr>
            <w:tcW w:type="dxa" w:w="4320"/>
          </w:tcPr>
          <w:p>
            <w:pPr>
              <w:spacing w:after="40"/>
            </w:pPr>
            <w:r>
              <w:rPr>
                <w:sz w:val="16"/>
              </w:rPr>
            </w:r>
            <w:r>
              <w:rPr>
                <w:sz w:val="16"/>
              </w:rPr>
              <w:t xml:space="preserve">Delibera di convocazione assemblea MPS </w:t>
            </w:r>
            <w:r>
              <w:rPr>
                <w:b/>
                <w:sz w:val="16"/>
              </w:rPr>
              <w:t>dopo eventuali dimissioni del CdA uscente</w:t>
            </w:r>
          </w:p>
        </w:tc>
      </w:tr>
      <w:tr>
        <w:tc>
          <w:tcPr>
            <w:tcW w:type="dxa" w:w="4320"/>
          </w:tcPr>
          <w:p>
            <w:pPr>
              <w:spacing w:after="40"/>
            </w:pPr>
            <w:r>
              <w:rPr>
                <w:sz w:val="16"/>
              </w:rPr>
            </w:r>
            <w:r>
              <w:rPr>
                <w:sz w:val="16"/>
              </w:rPr>
              <w:t>14 gen</w:t>
            </w:r>
          </w:p>
        </w:tc>
        <w:tc>
          <w:tcPr>
            <w:tcW w:type="dxa" w:w="4320"/>
          </w:tcPr>
          <w:p>
            <w:pPr>
              <w:spacing w:after="40"/>
            </w:pPr>
            <w:r>
              <w:rPr>
                <w:sz w:val="16"/>
              </w:rPr>
            </w:r>
            <w:r>
              <w:rPr>
                <w:sz w:val="16"/>
              </w:rPr>
              <w:t>Pubblicazione avviso di convocazione</w:t>
            </w:r>
          </w:p>
        </w:tc>
      </w:tr>
      <w:tr>
        <w:tc>
          <w:tcPr>
            <w:tcW w:type="dxa" w:w="4320"/>
          </w:tcPr>
          <w:p>
            <w:pPr>
              <w:spacing w:after="40"/>
            </w:pPr>
            <w:r>
              <w:rPr>
                <w:sz w:val="16"/>
              </w:rPr>
            </w:r>
            <w:r>
              <w:rPr>
                <w:sz w:val="16"/>
              </w:rPr>
              <w:t>29 gen</w:t>
            </w:r>
          </w:p>
        </w:tc>
        <w:tc>
          <w:tcPr>
            <w:tcW w:type="dxa" w:w="4320"/>
          </w:tcPr>
          <w:p>
            <w:pPr>
              <w:spacing w:after="40"/>
            </w:pPr>
            <w:r>
              <w:rPr>
                <w:sz w:val="16"/>
              </w:rPr>
            </w:r>
            <w:r>
              <w:rPr>
                <w:sz w:val="16"/>
              </w:rPr>
              <w:t>Deposito liste dei soci</w:t>
            </w:r>
          </w:p>
        </w:tc>
      </w:tr>
      <w:tr>
        <w:tc>
          <w:tcPr>
            <w:tcW w:type="dxa" w:w="4320"/>
          </w:tcPr>
          <w:p>
            <w:pPr>
              <w:spacing w:after="40"/>
            </w:pPr>
            <w:r>
              <w:rPr>
                <w:sz w:val="16"/>
              </w:rPr>
            </w:r>
            <w:r>
              <w:rPr>
                <w:sz w:val="16"/>
              </w:rPr>
              <w:t>4 feb</w:t>
            </w:r>
          </w:p>
        </w:tc>
        <w:tc>
          <w:tcPr>
            <w:tcW w:type="dxa" w:w="4320"/>
          </w:tcPr>
          <w:p>
            <w:pPr>
              <w:spacing w:after="40"/>
            </w:pPr>
            <w:r>
              <w:rPr>
                <w:sz w:val="16"/>
              </w:rPr>
            </w:r>
            <w:r>
              <w:rPr>
                <w:sz w:val="16"/>
              </w:rPr>
              <w:t>Pubblicazione liste e documentazione pre-assembleare</w:t>
            </w:r>
          </w:p>
        </w:tc>
      </w:tr>
      <w:tr>
        <w:tc>
          <w:tcPr>
            <w:tcW w:type="dxa" w:w="4320"/>
          </w:tcPr>
          <w:p>
            <w:pPr>
              <w:spacing w:after="40"/>
            </w:pPr>
            <w:r>
              <w:rPr>
                <w:sz w:val="16"/>
              </w:rPr>
            </w:r>
            <w:r>
              <w:rPr>
                <w:sz w:val="16"/>
              </w:rPr>
              <w:t>5 feb</w:t>
            </w:r>
          </w:p>
        </w:tc>
        <w:tc>
          <w:tcPr>
            <w:tcW w:type="dxa" w:w="4320"/>
          </w:tcPr>
          <w:p>
            <w:pPr>
              <w:spacing w:after="40"/>
            </w:pPr>
            <w:r>
              <w:rPr>
                <w:sz w:val="16"/>
              </w:rPr>
            </w:r>
            <w:r>
              <w:rPr>
                <w:sz w:val="16"/>
              </w:rPr>
              <w:t xml:space="preserve">Approvazione schemi di bilancio MPS </w:t>
            </w:r>
            <w:r>
              <w:rPr>
                <w:b/>
                <w:sz w:val="16"/>
              </w:rPr>
              <w:t>da parte del CdA uscente</w:t>
            </w:r>
          </w:p>
        </w:tc>
      </w:tr>
      <w:tr>
        <w:tc>
          <w:tcPr>
            <w:tcW w:type="dxa" w:w="4320"/>
          </w:tcPr>
          <w:p>
            <w:pPr>
              <w:spacing w:after="40"/>
            </w:pPr>
            <w:r>
              <w:rPr>
                <w:sz w:val="16"/>
              </w:rPr>
            </w:r>
            <w:r>
              <w:rPr>
                <w:sz w:val="16"/>
              </w:rPr>
              <w:t>5–24 feb</w:t>
            </w:r>
          </w:p>
        </w:tc>
        <w:tc>
          <w:tcPr>
            <w:tcW w:type="dxa" w:w="4320"/>
          </w:tcPr>
          <w:p>
            <w:pPr>
              <w:spacing w:after="40"/>
            </w:pPr>
            <w:r>
              <w:rPr>
                <w:sz w:val="16"/>
              </w:rPr>
            </w:r>
            <w:r>
              <w:rPr>
                <w:sz w:val="16"/>
              </w:rPr>
              <w:t>Approvazione bilancio MPS da parte dell'attuale CdA</w:t>
            </w:r>
          </w:p>
        </w:tc>
      </w:tr>
      <w:tr>
        <w:tc>
          <w:tcPr>
            <w:tcW w:type="dxa" w:w="4320"/>
          </w:tcPr>
          <w:p>
            <w:pPr>
              <w:spacing w:after="40"/>
            </w:pPr>
            <w:r>
              <w:rPr>
                <w:sz w:val="16"/>
              </w:rPr>
            </w:r>
            <w:r>
              <w:rPr>
                <w:sz w:val="16"/>
              </w:rPr>
              <w:t>7/8 feb</w:t>
            </w:r>
          </w:p>
        </w:tc>
        <w:tc>
          <w:tcPr>
            <w:tcW w:type="dxa" w:w="4320"/>
          </w:tcPr>
          <w:p>
            <w:pPr>
              <w:spacing w:after="40"/>
            </w:pPr>
            <w:r>
              <w:rPr>
                <w:sz w:val="16"/>
              </w:rPr>
            </w:r>
            <w:r>
              <w:rPr>
                <w:sz w:val="16"/>
              </w:rPr>
              <w:t>Approvazione bilancio ISP e invio richiesta BCE per dividendo</w:t>
            </w:r>
          </w:p>
        </w:tc>
      </w:tr>
      <w:tr>
        <w:tc>
          <w:tcPr>
            <w:tcW w:type="dxa" w:w="4320"/>
          </w:tcPr>
          <w:p>
            <w:pPr>
              <w:spacing w:after="40"/>
            </w:pPr>
            <w:r>
              <w:rPr>
                <w:sz w:val="16"/>
              </w:rPr>
            </w:r>
            <w:r>
              <w:rPr>
                <w:b/>
                <w:sz w:val="16"/>
              </w:rPr>
              <w:t>25 feb 2027</w:t>
            </w:r>
          </w:p>
        </w:tc>
        <w:tc>
          <w:tcPr>
            <w:tcW w:type="dxa" w:w="4320"/>
          </w:tcPr>
          <w:p>
            <w:pPr>
              <w:spacing w:after="40"/>
            </w:pPr>
            <w:r>
              <w:rPr>
                <w:sz w:val="16"/>
              </w:rPr>
            </w:r>
            <w:r>
              <w:rPr>
                <w:b/>
                <w:sz w:val="16"/>
              </w:rPr>
              <w:t>Assemblea MPS e nomina nuovo CdA</w:t>
            </w:r>
            <w:r>
              <w:rPr>
                <w:sz w:val="16"/>
              </w:rPr>
              <w:t xml:space="preserve"> (t+50)</w:t>
            </w:r>
          </w:p>
        </w:tc>
      </w:tr>
      <w:tr>
        <w:tc>
          <w:tcPr>
            <w:tcW w:type="dxa" w:w="4320"/>
          </w:tcPr>
          <w:p>
            <w:pPr>
              <w:spacing w:after="40"/>
            </w:pPr>
            <w:r>
              <w:rPr>
                <w:sz w:val="16"/>
              </w:rPr>
            </w:r>
            <w:r>
              <w:rPr>
                <w:sz w:val="16"/>
              </w:rPr>
              <w:t>entro apr–mag</w:t>
            </w:r>
          </w:p>
        </w:tc>
        <w:tc>
          <w:tcPr>
            <w:tcW w:type="dxa" w:w="4320"/>
          </w:tcPr>
          <w:p>
            <w:pPr>
              <w:spacing w:after="40"/>
            </w:pPr>
            <w:r>
              <w:rPr>
                <w:sz w:val="16"/>
              </w:rPr>
            </w:r>
            <w:r>
              <w:rPr>
                <w:sz w:val="16"/>
              </w:rPr>
              <w:t>Finalizzazione carve-out</w:t>
            </w:r>
          </w:p>
        </w:tc>
      </w:tr>
      <w:tr>
        <w:tc>
          <w:tcPr>
            <w:tcW w:type="dxa" w:w="4320"/>
          </w:tcPr>
          <w:p>
            <w:pPr>
              <w:spacing w:after="40"/>
            </w:pPr>
            <w:r>
              <w:rPr>
                <w:sz w:val="16"/>
              </w:rPr>
            </w:r>
            <w:r>
              <w:rPr>
                <w:sz w:val="16"/>
              </w:rPr>
              <w:t>Q3–Q4 2027</w:t>
            </w:r>
          </w:p>
        </w:tc>
        <w:tc>
          <w:tcPr>
            <w:tcW w:type="dxa" w:w="4320"/>
          </w:tcPr>
          <w:p>
            <w:pPr>
              <w:spacing w:after="40"/>
            </w:pPr>
            <w:r>
              <w:rPr>
                <w:sz w:val="16"/>
              </w:rPr>
            </w:r>
            <w:r>
              <w:rPr>
                <w:sz w:val="16"/>
              </w:rPr>
              <w:t>Cessione entità giuridica bancaria a Unipol</w:t>
            </w:r>
          </w:p>
        </w:tc>
      </w:tr>
    </w:tbl>
    <w:p/>
    <w:p>
      <w:pPr>
        <w:pStyle w:val="Heading3"/>
      </w:pPr>
      <w:r>
        <w:t>1.2 Le assunzioni implicite che reggono il calendario</w:t>
      </w:r>
    </w:p>
    <w:p>
      <w:pPr>
        <w:pStyle w:val="ListNumber"/>
      </w:pPr>
      <w:r>
        <w:rPr>
          <w:b/>
        </w:rPr>
        <w:t>Le adesioni portano ISP al di sopra del 90%</w:t>
      </w:r>
      <w:r>
        <w:t xml:space="preserve"> — altrimenti non c'è delisting e non c'è "entità giuridica bancaria" interamente posseduta da cedere a Unipol.</w:t>
      </w:r>
    </w:p>
    <w:p>
      <w:pPr>
        <w:pStyle w:val="ListNumber"/>
      </w:pPr>
      <w:r>
        <w:rPr>
          <w:b/>
        </w:rPr>
        <w:t>Il CdA uscente si dimette a t+7 e, prima di cessare, convoca l'assemblea</w:t>
      </w:r>
      <w:r>
        <w:t xml:space="preserve"> (la nota 1 di pag. 4 lo dice: la convocazione "è deliberata dal CdA e curata dal Presidente"; in caso di inerzia totale interviene il Collegio Sindacale; "in mancanza di dimissioni, sarà necessario procedere alla revoca in assemblea").</w:t>
      </w:r>
    </w:p>
    <w:p>
      <w:pPr>
        <w:pStyle w:val="ListNumber"/>
      </w:pPr>
      <w:r>
        <w:rPr>
          <w:b/>
        </w:rPr>
        <w:t>Il CdA uscente approva gli schemi di bilancio FY2026 il 5 febbraio</w:t>
      </w:r>
      <w:r>
        <w:t>, mentre è in regime di prorogatio, cioè dimissionario ma ancora in carica.</w:t>
      </w:r>
    </w:p>
    <w:p>
      <w:pPr>
        <w:pStyle w:val="ListNumber"/>
      </w:pPr>
      <w:r>
        <w:rPr>
          <w:b/>
        </w:rPr>
        <w:t>MPS aderisce all'Accordo Unipol</w:t>
      </w:r>
      <w:r>
        <w:t xml:space="preserve"> e collabora alle riorganizzazioni del carve-out.</w:t>
      </w:r>
    </w:p>
    <w:p>
      <w:pPr>
        <w:pStyle w:val="Heading3"/>
      </w:pPr>
      <w:r>
        <w:t>1.3 Quattro verifiche di coerenza interna da fare a prescindere dagli scenari</w:t>
      </w:r>
    </w:p>
    <w:p>
      <w:pPr>
        <w:pStyle w:val="ListBullet"/>
      </w:pPr>
      <w:r>
        <w:rPr>
          <w:b/>
        </w:rPr>
        <w:t>Data di pagamento</w:t>
      </w:r>
      <w:r>
        <w:t xml:space="preserve">: fra chiusura del periodo di adesione (4 gen) e settlement (6 gen) passano 2 giorni. La prassi di mercato è il </w:t>
      </w:r>
      <w:r>
        <w:rPr>
          <w:b/>
        </w:rPr>
        <w:t>quinto giorno di borsa aperta</w:t>
      </w:r>
      <w:r>
        <w:t xml:space="preserve"> successivo alla chiusura (MPS/Mediobanca: 8 → 15 settembre 2025; BPER/Sondrio: 11 → 18 luglio 2025). Se la Data di Pagamento è il 5° giorno, il settlement slitta all'</w:t>
      </w:r>
      <w:r>
        <w:rPr>
          <w:b/>
        </w:rPr>
        <w:t>11 gennaio</w:t>
      </w:r>
      <w:r>
        <w:t xml:space="preserve"> e tutta la cascata con esso: dimissioni 18 gennaio, avviso 19 gennaio, assemblea 2 marzo. Da confermare sul Documento di Offerta.</w:t>
      </w:r>
    </w:p>
    <w:p>
      <w:pPr>
        <w:pStyle w:val="ListBullet"/>
      </w:pPr>
      <w:r>
        <w:rPr>
          <w:b/>
        </w:rPr>
        <w:t>Periodo di adesione a 37 giorni</w:t>
      </w:r>
      <w:r>
        <w:t>: l'art. 40, c. 2, lett. b), Reg. Emittenti fissa un massimo di 40 giorni di borsa aperta. Restano ~3 giorni di proroga: se la seconda finestra serve, deve venire dalla riapertura dei termini, non dalla proroga.</w:t>
      </w:r>
    </w:p>
    <w:p>
      <w:pPr>
        <w:pStyle w:val="ListBullet"/>
      </w:pPr>
      <w:r>
        <w:rPr>
          <w:b/>
        </w:rPr>
        <w:t>Assenza della riapertura dei termini e della procedura congiunta nella timeline</w:t>
      </w:r>
      <w:r>
        <w:t>: pag. 4 non rappresenta né la riapertura (5 giorni di borsa aperta) né la procedura congiunta art. 111 + 108 (15-25 giorni di borsa aperta di periodo, più comunicati e regolamento). Sono i due blocchi che determinano la data effettiva del delisting e quindi del passaggio a "MPS interamente posseduta".</w:t>
      </w:r>
    </w:p>
    <w:p>
      <w:pPr>
        <w:pStyle w:val="ListBullet"/>
      </w:pPr>
      <w:r>
        <w:rPr>
          <w:b/>
        </w:rPr>
        <w:t>Consolidato fiscale</w:t>
      </w:r>
      <w:r>
        <w:t xml:space="preserve">: l'art. 120, c. 2, TUIR richiede che il controllo sussista </w:t>
      </w:r>
      <w:r>
        <w:rPr>
          <w:i/>
        </w:rPr>
        <w:t>sin dall'inizio dell'esercizio</w:t>
      </w:r>
      <w:r>
        <w:t xml:space="preserve">. Con settlement al 6 gennaio 2027 il consolidato fiscale nazionale decorre da </w:t>
      </w:r>
      <w:r>
        <w:rPr>
          <w:b/>
        </w:rPr>
        <w:t>FY2028</w:t>
      </w:r>
      <w:r>
        <w:t xml:space="preserve">; con settlement al 7 dicembre 2026 (scenario di pag. 3) decorre da </w:t>
      </w:r>
      <w:r>
        <w:rPr>
          <w:b/>
        </w:rPr>
        <w:t>FY2027</w:t>
      </w:r>
      <w:r>
        <w:t xml:space="preserve">. Lo scenario 2027 costa quindi </w:t>
      </w:r>
      <w:r>
        <w:rPr>
          <w:b/>
        </w:rPr>
        <w:t>un anno intero di compensazione</w:t>
      </w:r>
      <w:r>
        <w:t xml:space="preserve"> ai fini dell'utilizzo delle perdite/DTA, voce non presente fra i topic delle pagine 5-6. Mitigazione teorica (chiusura anticipata dell'esercizio MPS per far coincidere l'inizio del nuovo esercizio con il primo periodo di controllo, sulla scia della Ris. AdE 40/E) richiede assemblea straordinaria MPS e accertamento BCE ex art. 56 TUB: è a sua volta esposta ai due nodi. </w:t>
      </w:r>
      <w:r>
        <w:rPr>
          <w:b/>
        </w:rPr>
        <w:t>Da quantificare con i fiscalisti.</w:t>
      </w:r>
    </w:p>
    <w:p>
      <w:r>
        <w:br w:type="page"/>
      </w:r>
    </w:p>
    <w:p>
      <w:pPr>
        <w:pStyle w:val="Heading2"/>
      </w:pPr>
      <w:r>
        <w:t>2. Quadro normativo aggiornato: perché oggi il numero è 90</w:t>
      </w:r>
    </w:p>
    <w:p>
      <w:pPr>
        <w:pStyle w:val="Heading3"/>
      </w:pPr>
      <w:r>
        <w:t>2.1 La riforma del TUF</w:t>
      </w:r>
    </w:p>
    <w:p>
      <w:r>
        <w:t xml:space="preserve">Il </w:t>
      </w:r>
      <w:r>
        <w:rPr>
          <w:b/>
        </w:rPr>
        <w:t>D.Lgs. 27 marzo 2026, n. 47</w:t>
      </w:r>
      <w:r>
        <w:t xml:space="preserve"> (GU n. 86 del 14 aprile 2026, in vigore dal </w:t>
      </w:r>
      <w:r>
        <w:rPr>
          <w:b/>
        </w:rPr>
        <w:t>29 aprile 2026</w:t>
      </w:r>
      <w:r>
        <w:t>), attuativo della delega dell'art. 19 della L. 21/2024 "Legge Capitali", ha modificato l'art. 111 TUF:</w:t>
      </w:r>
    </w:p>
    <w:p>
      <w:pPr>
        <w:pStyle w:val="IntenseQuote"/>
      </w:pPr>
      <w:r>
        <w:rPr>
          <w:b/>
        </w:rPr>
        <w:t>Art. 111, c. 1, TUF (testo vigente)</w:t>
      </w:r>
      <w:r>
        <w:t xml:space="preserve"> — "L'offerente che venga a detenere a seguito di offerta pubblica totalitaria </w:t>
      </w:r>
      <w:r>
        <w:rPr>
          <w:b/>
        </w:rPr>
        <w:t>o di acquisto ai sensi dell'articolo 108, comma 2</w:t>
      </w:r>
      <w:r>
        <w:t xml:space="preserve">, una partecipazione almeno pari al </w:t>
      </w:r>
      <w:r>
        <w:rPr>
          <w:b/>
        </w:rPr>
        <w:t>90 per cento</w:t>
      </w:r>
      <w:r>
        <w:t xml:space="preserve"> del capitale rappresentato da titoli in una società italiana quotata ha diritto di acquistare i titoli residui entro tre mesi dalla scadenza del termine per l'accettazione dell'offerta </w:t>
      </w:r>
      <w:r>
        <w:rPr>
          <w:b/>
        </w:rPr>
        <w:t>ovvero dall'acquisto ai sensi dell'articolo 108, comma 2</w:t>
      </w:r>
      <w:r>
        <w:t>, se ha dichiarato nel documento d'offerta l'intenzione di avvalersi di tale diritto."</w:t>
      </w:r>
    </w:p>
    <w:p>
      <w:r>
        <w:t>Tre effetti:</w:t>
      </w:r>
    </w:p>
    <w:p>
      <w:pPr>
        <w:pStyle w:val="ListBullet"/>
      </w:pPr>
      <w:r>
        <w:rPr>
          <w:b/>
        </w:rPr>
        <w:t>soglia 95% → 90%</w:t>
      </w:r>
      <w:r>
        <w:t>;</w:t>
      </w:r>
    </w:p>
    <w:p>
      <w:pPr>
        <w:pStyle w:val="ListBullet"/>
      </w:pPr>
      <w:r>
        <w:rPr>
          <w:b/>
        </w:rPr>
        <w:t>nuovo presupposto oggettivo</w:t>
      </w:r>
      <w:r>
        <w:t xml:space="preserve">: lo squeeze-out è esercitabile anche quando il 90% è raggiunto a seguito degli acquisti in adempimento del sell-out ex art. 108, c. 2. Cade la sequenza obbligata del vecchio regime (offerta → sell-out → 95% → procedura congiunta): </w:t>
      </w:r>
      <w:r>
        <w:rPr>
          <w:b/>
        </w:rPr>
        <w:t>a 90-91% si va direttamente in procedura congiunta</w:t>
      </w:r>
      <w:r>
        <w:t>;</w:t>
      </w:r>
    </w:p>
    <w:p>
      <w:pPr>
        <w:pStyle w:val="ListBullet"/>
      </w:pPr>
      <w:r>
        <w:rPr>
          <w:b/>
        </w:rPr>
        <w:t>nuovo c. 1-bis</w:t>
      </w:r>
      <w:r>
        <w:t xml:space="preserve"> per gli strumenti finanziari diversi dai titoli.</w:t>
      </w:r>
    </w:p>
    <w:p>
      <w:r>
        <w:rPr>
          <w:b/>
        </w:rPr>
        <w:t>L'art. 108 non è stato modificato nei commi 1-4</w:t>
      </w:r>
      <w:r>
        <w:t xml:space="preserve">: resta il 95% per il sell-out "pieno" (c. 1) e il 90% per il sell-out da flottante (c. 2, salvo ripristino del flottante entro 90 giorni). È stato modificato il </w:t>
      </w:r>
      <w:r>
        <w:rPr>
          <w:b/>
        </w:rPr>
        <w:t>c. 5</w:t>
      </w:r>
      <w:r>
        <w:t xml:space="preserve">: la </w:t>
      </w:r>
      <w:r>
        <w:rPr>
          <w:i/>
        </w:rPr>
        <w:t>cash alternative</w:t>
      </w:r>
      <w:r>
        <w:t xml:space="preserve"> è ora dovuta </w:t>
      </w:r>
      <w:r>
        <w:rPr>
          <w:b/>
        </w:rPr>
        <w:t>solo</w:t>
      </w:r>
      <w:r>
        <w:t xml:space="preserve"> se nell'offerta sono stati offerti "strumenti finanziari diversi da titoli ammessi alla negoziazione su un mercato regolamentato dell'Unione europea".</w:t>
      </w:r>
    </w:p>
    <w:p>
      <w:pPr>
        <w:pStyle w:val="IntenseQuote"/>
      </w:pPr>
      <w:r>
        <w:rPr>
          <w:b/>
        </w:rPr>
        <w:t>Conseguenza economica rilevante</w:t>
      </w:r>
      <w:r>
        <w:t xml:space="preserve">: poiché il corrispettivo ISP è composto da azioni ISP quotate su Euronext Milan, </w:t>
      </w:r>
      <w:r>
        <w:rPr>
          <w:b/>
        </w:rPr>
        <w:t>gli oblati residui non possono pretendere l'uscita integralmente in denaro</w:t>
      </w:r>
      <w:r>
        <w:t>. Nel precedente Banca Ifis/illimity (settembre 2025, regime ante-riforma) il 53,6% delle azioni residue oggetto di procedura congiunta era accompagnato da richieste che includevano l'opzione per il corrispettivo alternativo in denaro. Su un flottante residuo del 10% di MPS (≈ €3 mld ai valori impliciti dell'Offerta) la differenza fra carta e cassa non è marginale.</w:t>
      </w:r>
    </w:p>
    <w:p>
      <w:r>
        <w:rPr>
          <w:b/>
        </w:rPr>
        <w:t>Attenzione al diritto transitorio</w:t>
      </w:r>
      <w:r>
        <w:t xml:space="preserve">: la Consob deve adottare la normativa secondaria di attuazione della Parte IV TUF </w:t>
      </w:r>
      <w:r>
        <w:rPr>
          <w:b/>
        </w:rPr>
        <w:t>entro il 29 gennaio 2027</w:t>
      </w:r>
      <w:r>
        <w:t xml:space="preserve"> (consultazione aperta il 18 giugno 2026 e chiusa il 20 luglio 2026; al 16 settembre 2026 la delibera conclusiva non risulta pubblicata). Due conseguenze pratiche: (i) l'art. 50-quinquies, c. 1, Reg. Emittenti, che disciplina la procedura congiunta, richiama ancora </w:t>
      </w:r>
      <w:r>
        <w:rPr>
          <w:b/>
        </w:rPr>
        <w:t>solo</w:t>
      </w:r>
      <w:r>
        <w:t xml:space="preserve"> l'art. 108, c. 1, e la Consob propone di ampliarlo al c. 2 proprio per la nuova soglia: </w:t>
      </w:r>
      <w:r>
        <w:rPr>
          <w:b/>
        </w:rPr>
        <w:t>va fatto pre-filing con Consob e Borsa Italiana</w:t>
      </w:r>
      <w:r>
        <w:t xml:space="preserve"> su come gestire una procedura congiunta attivata a 90% nel periodo transitorio; (ii) ISP ha già inserito nel comunicato 102 la riserva di integrare le proprie dichiarazioni </w:t>
      </w:r>
      <w:r>
        <w:rPr>
          <w:i/>
        </w:rPr>
        <w:t>"per tenere conto dell'eventuale disciplina attuativa che dovesse essere emanata dalla Consob, nonché degli eventuali orientamenti interpretativi, anche di diritto transitorio"</w:t>
      </w:r>
      <w:r>
        <w:t>.</w:t>
      </w:r>
    </w:p>
    <w:p>
      <w:pPr>
        <w:pStyle w:val="Heading3"/>
      </w:pPr>
      <w:r>
        <w:t>2.2 Cosa ISP ha già dichiarato (comunicato ex art. 102 TUF, 8 giugno 2026)</w:t>
      </w:r>
    </w:p>
    <w:p>
      <w:r>
        <w:t>Passaggi verbatim che vincolano gli scenari:</w:t>
      </w:r>
    </w:p>
    <w:p>
      <w:pPr>
        <w:pStyle w:val="ListBullet"/>
      </w:pPr>
      <w:r>
        <w:rPr>
          <w:b/>
        </w:rPr>
        <w:t>Obiettivo</w:t>
      </w:r>
      <w:r>
        <w:t xml:space="preserve">: </w:t>
      </w:r>
      <w:r>
        <w:rPr>
          <w:i/>
        </w:rPr>
        <w:t>"acquisire l'intero capitale sociale dell'Emittente (o almeno una partecipazione pari al 66,67% […] salvo rinuncia, anche parziale) e conseguire la revoca delle relative azioni dalla quotazione"</w:t>
      </w:r>
      <w:r>
        <w:t xml:space="preserve">; delisting </w:t>
      </w:r>
      <w:r>
        <w:rPr>
          <w:i/>
        </w:rPr>
        <w:t>"nel minor tempo possibile, se del caso mediante fusione tra l'Emittente e l'Offerente"</w:t>
      </w:r>
      <w:r>
        <w:t>.</w:t>
      </w:r>
    </w:p>
    <w:p>
      <w:pPr>
        <w:pStyle w:val="ListBullet"/>
      </w:pPr>
      <w:r>
        <w:rPr>
          <w:b/>
        </w:rPr>
        <w:t>Squeeze-out</w:t>
      </w:r>
      <w:r>
        <w:t xml:space="preserve">: </w:t>
      </w:r>
      <w:r>
        <w:rPr>
          <w:i/>
        </w:rPr>
        <w:t>"per il caso in cui, all'esito dell'Offerta - per effetto delle adesioni all'Offerta e/o di acquisti eventualmente effettuati al di fuori dell'Offerta medesima - l'Offerente venisse a detenere una partecipazione complessiva pari o superiore al 90% […] dichiara sin d'ora la propria intenzione di esercitare il diritto di acquistare le residue Azioni […] ai sensi dell'articolo 111 del TUF e, nel caso previsto dall'articolo 108, comma 2, del TUF, la propria intenzione di non ripristinare un flottante sufficiente"</w:t>
      </w:r>
      <w:r>
        <w:t>.</w:t>
      </w:r>
    </w:p>
    <w:p>
      <w:pPr>
        <w:pStyle w:val="ListBullet"/>
      </w:pPr>
      <w:r>
        <w:rPr>
          <w:b/>
        </w:rPr>
        <w:t>Computo</w:t>
      </w:r>
      <w:r>
        <w:t xml:space="preserve">: </w:t>
      </w:r>
      <w:r>
        <w:rPr>
          <w:i/>
        </w:rPr>
        <w:t>"le azioni proprie detenute dall'Emittente (se non già portate in adesione) saranno computate nella partecipazione complessiva detenuta […] (numeratore) senza essere sottratte dal capitale sociale (denominatore)"</w:t>
      </w:r>
      <w:r>
        <w:t>.</w:t>
      </w:r>
    </w:p>
    <w:p>
      <w:pPr>
        <w:pStyle w:val="ListBullet"/>
      </w:pPr>
      <w:r>
        <w:rPr>
          <w:b/>
        </w:rPr>
        <w:t>Procedura congiunta</w:t>
      </w:r>
      <w:r>
        <w:t xml:space="preserve">: al ricorrere dei presupposti dell'art. 108, cc. 1 o 2, ISP adempirà anche l'obbligo di acquisto </w:t>
      </w:r>
      <w:r>
        <w:rPr>
          <w:i/>
        </w:rPr>
        <w:t>"dando pertanto corso a un'unica procedura"</w:t>
      </w:r>
      <w:r>
        <w:t xml:space="preserve">, con corrispettivo determinato ex art. 108, cc. 3, 4 e 5, </w:t>
      </w:r>
      <w:r>
        <w:rPr>
          <w:i/>
        </w:rPr>
        <w:t>"non appena possibile"</w:t>
      </w:r>
      <w:r>
        <w:t xml:space="preserve"> e </w:t>
      </w:r>
      <w:r>
        <w:rPr>
          <w:i/>
        </w:rPr>
        <w:t>"secondo termini e modalità che saranno concordati con Consob e Borsa Italiana"</w:t>
      </w:r>
      <w:r>
        <w:t>.</w:t>
      </w:r>
    </w:p>
    <w:p>
      <w:pPr>
        <w:pStyle w:val="ListBullet"/>
      </w:pPr>
      <w:r>
        <w:rPr>
          <w:b/>
        </w:rPr>
        <w:t>Riapertura dei termini</w:t>
      </w:r>
      <w:r>
        <w:t xml:space="preserve">: </w:t>
      </w:r>
      <w:r>
        <w:rPr>
          <w:i/>
        </w:rPr>
        <w:t>"l'Offerta, essendo promossa da un soggetto diverso da quelli indicati nell'art. 39-bis, comma 1, lett. a), del Regolamento Emittenti, non è soggetta alla riapertura obbligatoria dei termini di adesione prevista dall'art. 40-bis"</w:t>
      </w:r>
      <w:r>
        <w:t xml:space="preserve">. </w:t>
      </w:r>
      <w:r>
        <w:rPr>
          <w:b/>
        </w:rPr>
        <w:t>Non risulta dichiarato l'assoggettamento volontario.</w:t>
      </w:r>
    </w:p>
    <w:p>
      <w:pPr>
        <w:pStyle w:val="ListBullet"/>
      </w:pPr>
      <w:r>
        <w:rPr>
          <w:b/>
        </w:rPr>
        <w:t>Condizione Soglia</w:t>
      </w:r>
      <w:r>
        <w:t xml:space="preserve">: 66,67%, computando anche gli acquisti fuori offerta effettuati </w:t>
      </w:r>
      <w:r>
        <w:rPr>
          <w:b/>
        </w:rPr>
        <w:t>durante</w:t>
      </w:r>
      <w:r>
        <w:t xml:space="preserve"> il Periodo di Adesione; rinunciabile in tutto o in parte.</w:t>
      </w:r>
    </w:p>
    <w:p>
      <w:pPr>
        <w:pStyle w:val="ListBullet"/>
      </w:pPr>
      <w:r>
        <w:rPr>
          <w:b/>
        </w:rPr>
        <w:t>Condizioni (iv) e (v)</w:t>
      </w:r>
      <w:r>
        <w:t xml:space="preserve">: fra la data del comunicato e la </w:t>
      </w:r>
      <w:r>
        <w:rPr>
          <w:b/>
        </w:rPr>
        <w:t>Data di Pagamento</w:t>
      </w:r>
      <w:r>
        <w:t xml:space="preserve"> gli organi di MPS non devono deliberare atti fuori dall'</w:t>
      </w:r>
      <w:r>
        <w:rPr>
          <w:i/>
        </w:rPr>
        <w:t>ordinary course</w:t>
      </w:r>
      <w:r>
        <w:t xml:space="preserve"> né atti che contrastino gli obiettivi dell'Offerta, </w:t>
      </w:r>
      <w:r>
        <w:rPr>
          <w:i/>
        </w:rPr>
        <w:t>"ancorché […] autorizzati dall'assemblea ordinaria o straordinaria"</w:t>
      </w:r>
      <w:r>
        <w:t xml:space="preserve">. </w:t>
      </w:r>
      <w:r>
        <w:rPr>
          <w:b/>
        </w:rPr>
        <w:t>Queste condizioni proteggono ISP fino al settlement, non oltre</w:t>
      </w:r>
      <w:r>
        <w:t>: dopo la Data di Pagamento cade anche la passivity rule dell'art. 104 TUF. La finestra 6 gennaio – 25 febbraio è quindi la finestra di massima esposizione (par. 5.5).</w:t>
      </w:r>
    </w:p>
    <w:p>
      <w:pPr>
        <w:pStyle w:val="ListBullet"/>
      </w:pPr>
      <w:r>
        <w:rPr>
          <w:b/>
        </w:rPr>
        <w:t>Accordo Unipol</w:t>
      </w:r>
      <w:r>
        <w:t xml:space="preserve">: Unipol acquisirà </w:t>
      </w:r>
      <w:r>
        <w:rPr>
          <w:i/>
        </w:rPr>
        <w:t>"l'intero capitale di una entità giuridica bancaria, eventualmente identificata nello stesso Emittente, e comunque operante sotto il marchio e i segni distintivi di quest'ultimo"</w:t>
      </w:r>
      <w:r>
        <w:t xml:space="preserve">, con 635 filiali e gran parte delle strutture centrali; esecuzione subordinata al perfezionamento dell'Offerta </w:t>
      </w:r>
      <w:r>
        <w:rPr>
          <w:b/>
        </w:rPr>
        <w:t>e all'adesione dell'Emittente all'Accordo Unipol</w:t>
      </w:r>
      <w:r>
        <w:t>.</w:t>
      </w:r>
    </w:p>
    <w:p>
      <w:r>
        <w:br w:type="page"/>
      </w:r>
    </w:p>
    <w:p>
      <w:pPr>
        <w:pStyle w:val="Heading2"/>
      </w:pPr>
      <w:r>
        <w:t>3. NODO A — Le soglie di adesione</w:t>
      </w:r>
    </w:p>
    <w:p>
      <w:pPr>
        <w:pStyle w:val="Heading3"/>
      </w:pPr>
      <w:r>
        <w:t>3.1 Prima di tutto, l'aritmetica del libro soci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Azionista</w:t>
            </w:r>
          </w:p>
        </w:tc>
        <w:tc>
          <w:tcPr>
            <w:tcW w:type="dxa" w:w="2880"/>
          </w:tcPr>
          <w:p>
            <w:pPr>
              <w:spacing w:after="40"/>
            </w:pPr>
            <w:r>
              <w:rPr>
                <w:b/>
                <w:sz w:val="16"/>
              </w:rPr>
            </w:r>
            <w:r>
              <w:rPr>
                <w:b/>
                <w:sz w:val="16"/>
              </w:rPr>
              <w:t>Quota</w:t>
            </w:r>
          </w:p>
        </w:tc>
        <w:tc>
          <w:tcPr>
            <w:tcW w:type="dxa" w:w="2880"/>
          </w:tcPr>
          <w:p>
            <w:pPr>
              <w:spacing w:after="40"/>
            </w:pPr>
            <w:r>
              <w:rPr>
                <w:b/>
                <w:sz w:val="16"/>
              </w:rPr>
            </w:r>
            <w:r>
              <w:rPr>
                <w:b/>
                <w:sz w:val="16"/>
              </w:rPr>
              <w:t>Fonte</w:t>
            </w:r>
          </w:p>
        </w:tc>
      </w:tr>
      <w:tr>
        <w:tc>
          <w:tcPr>
            <w:tcW w:type="dxa" w:w="2880"/>
          </w:tcPr>
          <w:p>
            <w:pPr>
              <w:spacing w:after="40"/>
            </w:pPr>
            <w:r>
              <w:rPr>
                <w:sz w:val="16"/>
              </w:rPr>
            </w:r>
            <w:r>
              <w:rPr>
                <w:sz w:val="16"/>
              </w:rPr>
              <w:t>Delfin S.à r.l.</w:t>
            </w:r>
          </w:p>
        </w:tc>
        <w:tc>
          <w:tcPr>
            <w:tcW w:type="dxa" w:w="2880"/>
          </w:tcPr>
          <w:p>
            <w:pPr>
              <w:spacing w:after="40"/>
            </w:pPr>
            <w:r>
              <w:rPr>
                <w:sz w:val="16"/>
              </w:rPr>
            </w:r>
            <w:r>
              <w:rPr>
                <w:sz w:val="16"/>
              </w:rPr>
              <w:t>17,53%</w:t>
            </w:r>
          </w:p>
        </w:tc>
        <w:tc>
          <w:tcPr>
            <w:tcW w:type="dxa" w:w="2880"/>
          </w:tcPr>
          <w:p>
            <w:pPr>
              <w:spacing w:after="40"/>
            </w:pPr>
            <w:r>
              <w:rPr>
                <w:sz w:val="16"/>
              </w:rPr>
            </w:r>
            <w:r>
              <w:rPr>
                <w:sz w:val="16"/>
              </w:rPr>
              <w:t>Consob, operazione 29/09/2025</w:t>
            </w:r>
          </w:p>
        </w:tc>
      </w:tr>
      <w:tr>
        <w:tc>
          <w:tcPr>
            <w:tcW w:type="dxa" w:w="2880"/>
          </w:tcPr>
          <w:p>
            <w:pPr>
              <w:spacing w:after="40"/>
            </w:pPr>
            <w:r>
              <w:rPr>
                <w:sz w:val="16"/>
              </w:rPr>
            </w:r>
            <w:r>
              <w:rPr>
                <w:sz w:val="16"/>
              </w:rPr>
              <w:t>Gruppo Caltagirone</w:t>
            </w:r>
          </w:p>
        </w:tc>
        <w:tc>
          <w:tcPr>
            <w:tcW w:type="dxa" w:w="2880"/>
          </w:tcPr>
          <w:p>
            <w:pPr>
              <w:spacing w:after="40"/>
            </w:pPr>
            <w:r>
              <w:rPr>
                <w:sz w:val="16"/>
              </w:rPr>
            </w:r>
            <w:r>
              <w:rPr>
                <w:sz w:val="16"/>
              </w:rPr>
              <w:t xml:space="preserve">10,26% notificato / </w:t>
            </w:r>
            <w:r>
              <w:rPr>
                <w:b/>
                <w:sz w:val="16"/>
              </w:rPr>
              <w:t>13,49%</w:t>
            </w:r>
          </w:p>
        </w:tc>
        <w:tc>
          <w:tcPr>
            <w:tcW w:type="dxa" w:w="2880"/>
          </w:tcPr>
          <w:p>
            <w:pPr>
              <w:spacing w:after="40"/>
            </w:pPr>
            <w:r>
              <w:rPr>
                <w:sz w:val="16"/>
              </w:rPr>
            </w:r>
            <w:r>
              <w:rPr>
                <w:sz w:val="16"/>
              </w:rPr>
              <w:t>Consob / MPS al 20 maggio 2026</w:t>
            </w:r>
          </w:p>
        </w:tc>
      </w:tr>
      <w:tr>
        <w:tc>
          <w:tcPr>
            <w:tcW w:type="dxa" w:w="2880"/>
          </w:tcPr>
          <w:p>
            <w:pPr>
              <w:spacing w:after="40"/>
            </w:pPr>
            <w:r>
              <w:rPr>
                <w:sz w:val="16"/>
              </w:rPr>
            </w:r>
            <w:r>
              <w:rPr>
                <w:sz w:val="16"/>
              </w:rPr>
              <w:t>MEF</w:t>
            </w:r>
          </w:p>
        </w:tc>
        <w:tc>
          <w:tcPr>
            <w:tcW w:type="dxa" w:w="2880"/>
          </w:tcPr>
          <w:p>
            <w:pPr>
              <w:spacing w:after="40"/>
            </w:pPr>
            <w:r>
              <w:rPr>
                <w:sz w:val="16"/>
              </w:rPr>
            </w:r>
            <w:r>
              <w:rPr>
                <w:sz w:val="16"/>
              </w:rPr>
              <w:t>4,86%</w:t>
            </w:r>
          </w:p>
        </w:tc>
        <w:tc>
          <w:tcPr>
            <w:tcW w:type="dxa" w:w="2880"/>
          </w:tcPr>
          <w:p>
            <w:pPr>
              <w:spacing w:after="40"/>
            </w:pPr>
            <w:r>
              <w:rPr>
                <w:sz w:val="16"/>
              </w:rPr>
            </w:r>
            <w:r>
              <w:rPr>
                <w:sz w:val="16"/>
              </w:rPr>
              <w:t>Consob</w:t>
            </w:r>
          </w:p>
        </w:tc>
      </w:tr>
      <w:tr>
        <w:tc>
          <w:tcPr>
            <w:tcW w:type="dxa" w:w="2880"/>
          </w:tcPr>
          <w:p>
            <w:pPr>
              <w:spacing w:after="40"/>
            </w:pPr>
            <w:r>
              <w:rPr>
                <w:sz w:val="16"/>
              </w:rPr>
            </w:r>
            <w:r>
              <w:rPr>
                <w:sz w:val="16"/>
              </w:rPr>
              <w:t>BlackRock</w:t>
            </w:r>
          </w:p>
        </w:tc>
        <w:tc>
          <w:tcPr>
            <w:tcW w:type="dxa" w:w="2880"/>
          </w:tcPr>
          <w:p>
            <w:pPr>
              <w:spacing w:after="40"/>
            </w:pPr>
            <w:r>
              <w:rPr>
                <w:sz w:val="16"/>
              </w:rPr>
            </w:r>
            <w:r>
              <w:rPr>
                <w:sz w:val="16"/>
              </w:rPr>
              <w:t>4,97% aggregato</w:t>
            </w:r>
          </w:p>
        </w:tc>
        <w:tc>
          <w:tcPr>
            <w:tcW w:type="dxa" w:w="2880"/>
          </w:tcPr>
          <w:p>
            <w:pPr>
              <w:spacing w:after="40"/>
            </w:pPr>
            <w:r>
              <w:rPr>
                <w:sz w:val="16"/>
              </w:rPr>
            </w:r>
            <w:r>
              <w:rPr>
                <w:sz w:val="16"/>
              </w:rPr>
              <w:t>Mod. 120B 30/04/2026</w:t>
            </w:r>
          </w:p>
        </w:tc>
      </w:tr>
      <w:tr>
        <w:tc>
          <w:tcPr>
            <w:tcW w:type="dxa" w:w="2880"/>
          </w:tcPr>
          <w:p>
            <w:pPr>
              <w:spacing w:after="40"/>
            </w:pPr>
            <w:r>
              <w:rPr>
                <w:sz w:val="16"/>
              </w:rPr>
            </w:r>
            <w:r>
              <w:rPr>
                <w:sz w:val="16"/>
              </w:rPr>
              <w:t>Banco BPM (anche via Anima)</w:t>
            </w:r>
          </w:p>
        </w:tc>
        <w:tc>
          <w:tcPr>
            <w:tcW w:type="dxa" w:w="2880"/>
          </w:tcPr>
          <w:p>
            <w:pPr>
              <w:spacing w:after="40"/>
            </w:pPr>
            <w:r>
              <w:rPr>
                <w:sz w:val="16"/>
              </w:rPr>
            </w:r>
            <w:r>
              <w:rPr>
                <w:sz w:val="16"/>
              </w:rPr>
              <w:t>3,74%</w:t>
            </w:r>
          </w:p>
        </w:tc>
        <w:tc>
          <w:tcPr>
            <w:tcW w:type="dxa" w:w="2880"/>
          </w:tcPr>
          <w:p>
            <w:pPr>
              <w:spacing w:after="40"/>
            </w:pPr>
            <w:r>
              <w:rPr>
                <w:sz w:val="16"/>
              </w:rPr>
            </w:r>
            <w:r>
              <w:rPr>
                <w:sz w:val="16"/>
              </w:rPr>
              <w:t>Consob</w:t>
            </w:r>
          </w:p>
        </w:tc>
      </w:tr>
      <w:tr>
        <w:tc>
          <w:tcPr>
            <w:tcW w:type="dxa" w:w="2880"/>
          </w:tcPr>
          <w:p>
            <w:pPr>
              <w:spacing w:after="40"/>
            </w:pPr>
            <w:r>
              <w:rPr>
                <w:sz w:val="16"/>
              </w:rPr>
            </w:r>
            <w:r>
              <w:rPr>
                <w:sz w:val="16"/>
              </w:rPr>
              <w:t>Norges Bank ~3,1%, Vanguard ~2,6%</w:t>
            </w:r>
          </w:p>
        </w:tc>
        <w:tc>
          <w:tcPr>
            <w:tcW w:type="dxa" w:w="2880"/>
          </w:tcPr>
          <w:p>
            <w:pPr>
              <w:spacing w:after="40"/>
            </w:pPr>
            <w:r>
              <w:rPr>
                <w:sz w:val="16"/>
              </w:rPr>
            </w:r>
            <w:r>
              <w:rPr>
                <w:sz w:val="16"/>
              </w:rPr>
              <w:t>~5,7%</w:t>
            </w:r>
          </w:p>
        </w:tc>
        <w:tc>
          <w:tcPr>
            <w:tcW w:type="dxa" w:w="2880"/>
          </w:tcPr>
          <w:p>
            <w:pPr>
              <w:spacing w:after="40"/>
            </w:pPr>
            <w:r>
              <w:rPr>
                <w:sz w:val="16"/>
              </w:rPr>
            </w:r>
            <w:r>
              <w:rPr>
                <w:sz w:val="16"/>
              </w:rPr>
              <w:t>cronache assembleari</w:t>
            </w:r>
          </w:p>
        </w:tc>
      </w:tr>
      <w:tr>
        <w:tc>
          <w:tcPr>
            <w:tcW w:type="dxa" w:w="2880"/>
          </w:tcPr>
          <w:p>
            <w:pPr>
              <w:spacing w:after="40"/>
            </w:pPr>
            <w:r>
              <w:rPr>
                <w:sz w:val="16"/>
              </w:rPr>
            </w:r>
            <w:r>
              <w:rPr>
                <w:sz w:val="16"/>
              </w:rPr>
              <w:t>ISP (pre-offerta)</w:t>
            </w:r>
          </w:p>
        </w:tc>
        <w:tc>
          <w:tcPr>
            <w:tcW w:type="dxa" w:w="2880"/>
          </w:tcPr>
          <w:p>
            <w:pPr>
              <w:spacing w:after="40"/>
            </w:pPr>
            <w:r>
              <w:rPr>
                <w:sz w:val="16"/>
              </w:rPr>
            </w:r>
            <w:r>
              <w:rPr>
                <w:sz w:val="16"/>
              </w:rPr>
              <w:t>0,075% (2.266.510 az.)</w:t>
            </w:r>
          </w:p>
        </w:tc>
        <w:tc>
          <w:tcPr>
            <w:tcW w:type="dxa" w:w="2880"/>
          </w:tcPr>
          <w:p>
            <w:pPr>
              <w:spacing w:after="40"/>
            </w:pPr>
            <w:r>
              <w:rPr>
                <w:sz w:val="16"/>
              </w:rPr>
            </w:r>
            <w:r>
              <w:rPr>
                <w:sz w:val="16"/>
              </w:rPr>
              <w:t>comunicato 102</w:t>
            </w:r>
          </w:p>
        </w:tc>
      </w:tr>
    </w:tbl>
    <w:p/>
    <w:p>
      <w:r>
        <w:rPr>
          <w:b/>
        </w:rPr>
        <w:t>Massimo teorico raggiungibile se Delfin e Caltagirone non aderiscono: 68,98%.</w:t>
      </w:r>
      <w:r>
        <w:t xml:space="preserve"> Aggiungendo Banco BPM: </w:t>
      </w:r>
      <w:r>
        <w:rPr>
          <w:b/>
        </w:rPr>
        <w:t>65,24%</w:t>
      </w:r>
      <w:r>
        <w:t>. Ne segue che:</w:t>
      </w:r>
    </w:p>
    <w:p>
      <w:pPr>
        <w:pStyle w:val="ListBullet"/>
      </w:pPr>
      <w:r>
        <w:t xml:space="preserve">il </w:t>
      </w:r>
      <w:r>
        <w:rPr>
          <w:b/>
        </w:rPr>
        <w:t>66,67%</w:t>
      </w:r>
      <w:r>
        <w:t xml:space="preserve"> (Condizione Soglia) è raggiungibile senza Delfin e Caltagirone solo con un'adesione praticamente totale di tutto il resto del capitale: già la soglia minima non è scontata;</w:t>
      </w:r>
    </w:p>
    <w:p>
      <w:pPr>
        <w:pStyle w:val="ListBullet"/>
      </w:pPr>
      <w:r>
        <w:t xml:space="preserve">il </w:t>
      </w:r>
      <w:r>
        <w:rPr>
          <w:b/>
        </w:rPr>
        <w:t>90%</w:t>
      </w:r>
      <w:r>
        <w:t xml:space="preserve"> richiede l'adesione di </w:t>
      </w:r>
      <w:r>
        <w:rPr>
          <w:b/>
        </w:rPr>
        <w:t>entrambi</w:t>
      </w:r>
      <w:r>
        <w:t xml:space="preserve"> Delfin e Caltagirone (o l'acquisto delle loro quote). Se aderisce uno solo dei due, la soglia è </w:t>
      </w:r>
      <w:r>
        <w:rPr>
          <w:b/>
        </w:rPr>
        <w:t>aritmeticamente inaccessibile</w:t>
      </w:r>
      <w:r>
        <w:t xml:space="preserve">: con Delfin ma senza Caltagirone il massimo è 86,5%, con Caltagirone ma senza Delfin è 82,5%. Se aderiscono entrambi, restano da raccogliere 58,9 punti sui 68,9 detenuti da tutti gli altri soci, cioè </w:t>
      </w:r>
      <w:r>
        <w:rPr>
          <w:b/>
        </w:rPr>
        <w:t>l'85,5% del resto del capitale</w:t>
      </w:r>
      <w:r>
        <w:t xml:space="preserve">: il margine per il residuo "inerte" (retail, tracker, dormienti) è di 14,5 punti di quel bucket, e i soli fondi indicizzati (BlackRock, Vanguard, Norges) ne pesano circa 15. Per confronto, Banco BPM Vita si è fermata al </w:t>
      </w:r>
      <w:r>
        <w:rPr>
          <w:b/>
        </w:rPr>
        <w:t>89,949%</w:t>
      </w:r>
      <w:r>
        <w:t xml:space="preserve"> su Anima, 5 punti base sotto il 90%, e Anima è ancora quotata 17 mesi dopo.</w:t>
      </w:r>
    </w:p>
    <w:p>
      <w:r>
        <w:rPr>
          <w:b/>
        </w:rPr>
        <w:t>Conclusione del nodo A</w:t>
      </w:r>
      <w:r>
        <w:t>: non è un rischio di coda, è il ramo probabile. La pianificazione va costruita sul sotto-90% con il 90% come upside da massimizzare.</w:t>
      </w:r>
    </w:p>
    <w:p>
      <w:pPr>
        <w:pStyle w:val="Heading3"/>
      </w:pPr>
      <w:r>
        <w:t>3.2 Il sotto-90% non è uno stallo: è un binario lento</w:t>
      </w:r>
    </w:p>
    <w:p>
      <w:r>
        <w:t xml:space="preserve">Vale la pena dirlo esplicitamente, perché l'espressione "non si raggiunge la soglia" evoca un blocco che in realtà non c'è. </w:t>
      </w:r>
      <w:r>
        <w:rPr>
          <w:b/>
        </w:rPr>
        <w:t>Il mancato raggiungimento del 90% non incide su nulla di ciò che ISP ottiene al settlement.</w:t>
      </w:r>
      <w:r>
        <w:t xml:space="preserve"> Alla Data di Pagamento, con una partecipazione anche solo del 67%, ISP:</w:t>
      </w:r>
    </w:p>
    <w:p>
      <w:pPr>
        <w:pStyle w:val="ListBullet"/>
      </w:pPr>
      <w:r>
        <w:t xml:space="preserve">acquisisce il </w:t>
      </w:r>
      <w:r>
        <w:rPr>
          <w:b/>
        </w:rPr>
        <w:t>controllo di diritto</w:t>
      </w:r>
      <w:r>
        <w:t xml:space="preserve"> e la maggioranza dell'assemblea ordinaria;</w:t>
      </w:r>
    </w:p>
    <w:p>
      <w:pPr>
        <w:pStyle w:val="ListBullet"/>
      </w:pPr>
      <w:r>
        <w:rPr>
          <w:b/>
        </w:rPr>
        <w:t>consolida</w:t>
      </w:r>
      <w:r>
        <w:t xml:space="preserve"> MPS dalla data di acquisizione (IFRS 10.B35: rileva il </w:t>
      </w:r>
      <w:r>
        <w:rPr>
          <w:i/>
        </w:rPr>
        <w:t>potere</w:t>
      </w:r>
      <w:r>
        <w:t xml:space="preserve"> di nominare la maggioranza dell'organo, non il fatto che il rinnovo sia già avvenuto — nel precedente MPS/Mediobanca il controllo è stato riconosciuto dal 15 settembre 2025, con il nuovo consiglio nominato il 28 ottobre);</w:t>
      </w:r>
    </w:p>
    <w:p>
      <w:pPr>
        <w:pStyle w:val="ListBullet"/>
      </w:pPr>
      <w:r>
        <w:rPr>
          <w:b/>
        </w:rPr>
        <w:t>nomina il nuovo CdA</w:t>
      </w:r>
      <w:r>
        <w:t xml:space="preserve"> e governa la banca;</w:t>
      </w:r>
    </w:p>
    <w:p>
      <w:pPr>
        <w:pStyle w:val="ListBullet"/>
      </w:pPr>
      <w:r>
        <w:t xml:space="preserve">se è sopra il 66,67%, ha la </w:t>
      </w:r>
      <w:r>
        <w:rPr>
          <w:b/>
        </w:rPr>
        <w:t>maggioranza qualificata per deliberare la fusione</w:t>
      </w:r>
      <w:r>
        <w:t>.</w:t>
      </w:r>
    </w:p>
    <w:p>
      <w:r>
        <w:t xml:space="preserve">Ciò che non ottiene sono due cose sole, ma pesanti: </w:t>
      </w:r>
      <w:r>
        <w:rPr>
          <w:b/>
        </w:rPr>
        <w:t>le azioni residue</w:t>
      </w:r>
      <w:r>
        <w:t xml:space="preserve"> e </w:t>
      </w:r>
      <w:r>
        <w:rPr>
          <w:b/>
        </w:rPr>
        <w:t>il delisting</w:t>
      </w:r>
      <w:r>
        <w:t xml:space="preserve">. Sotto il 90% non esiste alcuno strumento coattivo per rilevare le minoranze: né l'obbligo di acquisto (art. 108, c. 2) né il diritto di acquisto (art. 111) sono azionabili, e il socio che non ha aderito ha il diritto di restare. La conseguenza è che MPS resta un emittente quotato, con un socio al 67-89% e minoranze all'11-33%, </w:t>
      </w:r>
      <w:r>
        <w:rPr>
          <w:b/>
        </w:rPr>
        <w:t>per il tempo necessario ad arrivare alla fusione</w:t>
      </w:r>
      <w:r>
        <w:t>.</w:t>
      </w:r>
    </w:p>
    <w:p>
      <w:r>
        <w:rPr>
          <w:b/>
        </w:rPr>
        <w:t>È la fusione lo strumento che elimina le minoranze senza il loro consenso.</w:t>
      </w:r>
      <w:r>
        <w:t xml:space="preserve"> Con l'efficacia della fusione le azioni MPS sono annullate e concambiate in azioni ISP per effetto di legge: le minoranze diventano azionisti ISP, MPS è cancellata e con essa la quotazione. Non serve il consenso dei soci di minoranza, non spetta loro il diritto di recesso (riceverebbero azioni ISP quotate su Euronext Milan, quindi non opera l'art. 2437-quinquies c.c.) e, una volta iscritto l'atto di fusione, l'invalidità della delibera non è più pronunciabile (art. 2504-quater c.c.). Serve però un percorso di </w:t>
      </w:r>
      <w:r>
        <w:rPr>
          <w:b/>
        </w:rPr>
        <w:t>8-15 mesi</w:t>
      </w:r>
      <w:r>
        <w:t>, le autorizzazioni e i due terzi del capitale rappresentato nelle assemblee straordinarie.</w:t>
      </w:r>
    </w:p>
    <w:p>
      <w:r>
        <w:t>Quindi, riassumendo la differenza fra i due rami: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p>
        </w:tc>
        <w:tc>
          <w:tcPr>
            <w:tcW w:type="dxa" w:w="2880"/>
          </w:tcPr>
          <w:p>
            <w:pPr>
              <w:spacing w:after="40"/>
            </w:pPr>
            <w:r>
              <w:rPr>
                <w:b/>
                <w:sz w:val="16"/>
              </w:rPr>
            </w:r>
            <w:r>
              <w:rPr>
                <w:b/>
                <w:sz w:val="16"/>
              </w:rPr>
              <w:t>≥90%</w:t>
            </w:r>
          </w:p>
        </w:tc>
        <w:tc>
          <w:tcPr>
            <w:tcW w:type="dxa" w:w="2880"/>
          </w:tcPr>
          <w:p>
            <w:pPr>
              <w:spacing w:after="40"/>
            </w:pPr>
            <w:r>
              <w:rPr>
                <w:b/>
                <w:sz w:val="16"/>
              </w:rPr>
            </w:r>
            <w:r>
              <w:rPr>
                <w:b/>
                <w:sz w:val="16"/>
              </w:rPr>
              <w:t>67-89%</w:t>
            </w:r>
          </w:p>
        </w:tc>
      </w:tr>
      <w:tr>
        <w:tc>
          <w:tcPr>
            <w:tcW w:type="dxa" w:w="2880"/>
          </w:tcPr>
          <w:p>
            <w:pPr>
              <w:spacing w:after="40"/>
            </w:pPr>
            <w:r>
              <w:rPr>
                <w:sz w:val="16"/>
              </w:rPr>
            </w:r>
            <w:r>
              <w:rPr>
                <w:sz w:val="16"/>
              </w:rPr>
              <w:t>Controllo e consolidamento</w:t>
            </w:r>
          </w:p>
        </w:tc>
        <w:tc>
          <w:tcPr>
            <w:tcW w:type="dxa" w:w="2880"/>
          </w:tcPr>
          <w:p>
            <w:pPr>
              <w:spacing w:after="40"/>
            </w:pPr>
            <w:r>
              <w:rPr>
                <w:sz w:val="16"/>
              </w:rPr>
            </w:r>
            <w:r>
              <w:rPr>
                <w:sz w:val="16"/>
              </w:rPr>
              <w:t>dal settlement</w:t>
            </w:r>
          </w:p>
        </w:tc>
        <w:tc>
          <w:tcPr>
            <w:tcW w:type="dxa" w:w="2880"/>
          </w:tcPr>
          <w:p>
            <w:pPr>
              <w:spacing w:after="40"/>
            </w:pPr>
            <w:r>
              <w:rPr>
                <w:sz w:val="16"/>
              </w:rPr>
            </w:r>
            <w:r>
              <w:rPr>
                <w:b/>
                <w:sz w:val="16"/>
              </w:rPr>
              <w:t>dal settlement, identico</w:t>
            </w:r>
          </w:p>
        </w:tc>
      </w:tr>
      <w:tr>
        <w:tc>
          <w:tcPr>
            <w:tcW w:type="dxa" w:w="2880"/>
          </w:tcPr>
          <w:p>
            <w:pPr>
              <w:spacing w:after="40"/>
            </w:pPr>
            <w:r>
              <w:rPr>
                <w:sz w:val="16"/>
              </w:rPr>
            </w:r>
            <w:r>
              <w:rPr>
                <w:sz w:val="16"/>
              </w:rPr>
              <w:t>Nomina del nuovo CdA</w:t>
            </w:r>
          </w:p>
        </w:tc>
        <w:tc>
          <w:tcPr>
            <w:tcW w:type="dxa" w:w="2880"/>
          </w:tcPr>
          <w:p>
            <w:pPr>
              <w:spacing w:after="40"/>
            </w:pPr>
            <w:r>
              <w:rPr>
                <w:sz w:val="16"/>
              </w:rPr>
            </w:r>
            <w:r>
              <w:rPr>
                <w:sz w:val="16"/>
              </w:rPr>
              <w:t>sì</w:t>
            </w:r>
          </w:p>
        </w:tc>
        <w:tc>
          <w:tcPr>
            <w:tcW w:type="dxa" w:w="2880"/>
          </w:tcPr>
          <w:p>
            <w:pPr>
              <w:spacing w:after="40"/>
            </w:pPr>
            <w:r>
              <w:rPr>
                <w:sz w:val="16"/>
              </w:rPr>
            </w:r>
            <w:r>
              <w:rPr>
                <w:b/>
                <w:sz w:val="16"/>
              </w:rPr>
              <w:t>sì, identico</w:t>
            </w:r>
          </w:p>
        </w:tc>
      </w:tr>
      <w:tr>
        <w:tc>
          <w:tcPr>
            <w:tcW w:type="dxa" w:w="2880"/>
          </w:tcPr>
          <w:p>
            <w:pPr>
              <w:spacing w:after="40"/>
            </w:pPr>
            <w:r>
              <w:rPr>
                <w:sz w:val="16"/>
              </w:rPr>
            </w:r>
            <w:r>
              <w:rPr>
                <w:sz w:val="16"/>
              </w:rPr>
              <w:t>Passaggio al 100%</w:t>
            </w:r>
          </w:p>
        </w:tc>
        <w:tc>
          <w:tcPr>
            <w:tcW w:type="dxa" w:w="2880"/>
          </w:tcPr>
          <w:p>
            <w:pPr>
              <w:spacing w:after="40"/>
            </w:pPr>
            <w:r>
              <w:rPr>
                <w:sz w:val="16"/>
              </w:rPr>
            </w:r>
            <w:r>
              <w:rPr>
                <w:sz w:val="16"/>
              </w:rPr>
              <w:t>procedura congiunta, 4-8 settimane</w:t>
            </w:r>
          </w:p>
        </w:tc>
        <w:tc>
          <w:tcPr>
            <w:tcW w:type="dxa" w:w="2880"/>
          </w:tcPr>
          <w:p>
            <w:pPr>
              <w:spacing w:after="40"/>
            </w:pPr>
            <w:r>
              <w:rPr>
                <w:sz w:val="16"/>
              </w:rPr>
            </w:r>
            <w:r>
              <w:rPr>
                <w:sz w:val="16"/>
              </w:rPr>
              <w:t>fusione, 8-15 mesi</w:t>
            </w:r>
          </w:p>
        </w:tc>
      </w:tr>
      <w:tr>
        <w:tc>
          <w:tcPr>
            <w:tcW w:type="dxa" w:w="2880"/>
          </w:tcPr>
          <w:p>
            <w:pPr>
              <w:spacing w:after="40"/>
            </w:pPr>
            <w:r>
              <w:rPr>
                <w:sz w:val="16"/>
              </w:rPr>
            </w:r>
            <w:r>
              <w:rPr>
                <w:sz w:val="16"/>
              </w:rPr>
              <w:t>Delisting</w:t>
            </w:r>
          </w:p>
        </w:tc>
        <w:tc>
          <w:tcPr>
            <w:tcW w:type="dxa" w:w="2880"/>
          </w:tcPr>
          <w:p>
            <w:pPr>
              <w:spacing w:after="40"/>
            </w:pPr>
            <w:r>
              <w:rPr>
                <w:sz w:val="16"/>
              </w:rPr>
            </w:r>
            <w:r>
              <w:rPr>
                <w:sz w:val="16"/>
              </w:rPr>
              <w:t>feb–mar 2027</w:t>
            </w:r>
          </w:p>
        </w:tc>
        <w:tc>
          <w:tcPr>
            <w:tcW w:type="dxa" w:w="2880"/>
          </w:tcPr>
          <w:p>
            <w:pPr>
              <w:spacing w:after="40"/>
            </w:pPr>
            <w:r>
              <w:rPr>
                <w:sz w:val="16"/>
              </w:rPr>
            </w:r>
            <w:r>
              <w:rPr>
                <w:sz w:val="16"/>
              </w:rPr>
              <w:t>set 2027 – mar 2028</w:t>
            </w:r>
          </w:p>
        </w:tc>
      </w:tr>
      <w:tr>
        <w:tc>
          <w:tcPr>
            <w:tcW w:type="dxa" w:w="2880"/>
          </w:tcPr>
          <w:p>
            <w:pPr>
              <w:spacing w:after="40"/>
            </w:pPr>
            <w:r>
              <w:rPr>
                <w:sz w:val="16"/>
              </w:rPr>
            </w:r>
            <w:r>
              <w:rPr>
                <w:sz w:val="16"/>
              </w:rPr>
              <w:t>Strumento</w:t>
            </w:r>
          </w:p>
        </w:tc>
        <w:tc>
          <w:tcPr>
            <w:tcW w:type="dxa" w:w="2880"/>
          </w:tcPr>
          <w:p>
            <w:pPr>
              <w:spacing w:after="40"/>
            </w:pPr>
            <w:r>
              <w:rPr>
                <w:sz w:val="16"/>
              </w:rPr>
            </w:r>
            <w:r>
              <w:rPr>
                <w:sz w:val="16"/>
              </w:rPr>
              <w:t>art. 111 + art. 108 TUF</w:t>
            </w:r>
          </w:p>
        </w:tc>
        <w:tc>
          <w:tcPr>
            <w:tcW w:type="dxa" w:w="2880"/>
          </w:tcPr>
          <w:p>
            <w:pPr>
              <w:spacing w:after="40"/>
            </w:pPr>
            <w:r>
              <w:rPr>
                <w:sz w:val="16"/>
              </w:rPr>
            </w:r>
            <w:r>
              <w:rPr>
                <w:sz w:val="16"/>
              </w:rPr>
              <w:t>artt. 2501 e ss. c.c. + art. 57 TUB</w:t>
            </w:r>
          </w:p>
        </w:tc>
      </w:tr>
      <w:tr>
        <w:tc>
          <w:tcPr>
            <w:tcW w:type="dxa" w:w="2880"/>
          </w:tcPr>
          <w:p>
            <w:pPr>
              <w:spacing w:after="40"/>
            </w:pPr>
            <w:r>
              <w:rPr>
                <w:sz w:val="16"/>
              </w:rPr>
            </w:r>
            <w:r>
              <w:rPr>
                <w:sz w:val="16"/>
              </w:rPr>
              <w:t>Consenso delle minoranze</w:t>
            </w:r>
          </w:p>
        </w:tc>
        <w:tc>
          <w:tcPr>
            <w:tcW w:type="dxa" w:w="2880"/>
          </w:tcPr>
          <w:p>
            <w:pPr>
              <w:spacing w:after="40"/>
            </w:pPr>
            <w:r>
              <w:rPr>
                <w:sz w:val="16"/>
              </w:rPr>
            </w:r>
            <w:r>
              <w:rPr>
                <w:sz w:val="16"/>
              </w:rPr>
              <w:t>non richiesto</w:t>
            </w:r>
          </w:p>
        </w:tc>
        <w:tc>
          <w:tcPr>
            <w:tcW w:type="dxa" w:w="2880"/>
          </w:tcPr>
          <w:p>
            <w:pPr>
              <w:spacing w:after="40"/>
            </w:pPr>
            <w:r>
              <w:rPr>
                <w:sz w:val="16"/>
              </w:rPr>
            </w:r>
            <w:r>
              <w:rPr>
                <w:sz w:val="16"/>
              </w:rPr>
              <w:t>non richiesto</w:t>
            </w:r>
          </w:p>
        </w:tc>
      </w:tr>
      <w:tr>
        <w:tc>
          <w:tcPr>
            <w:tcW w:type="dxa" w:w="2880"/>
          </w:tcPr>
          <w:p>
            <w:pPr>
              <w:spacing w:after="40"/>
            </w:pPr>
            <w:r>
              <w:rPr>
                <w:sz w:val="16"/>
              </w:rPr>
            </w:r>
            <w:r>
              <w:rPr>
                <w:sz w:val="16"/>
              </w:rPr>
              <w:t>Esborso di cassa aggiuntivo</w:t>
            </w:r>
          </w:p>
        </w:tc>
        <w:tc>
          <w:tcPr>
            <w:tcW w:type="dxa" w:w="2880"/>
          </w:tcPr>
          <w:p>
            <w:pPr>
              <w:spacing w:after="40"/>
            </w:pPr>
            <w:r>
              <w:rPr>
                <w:sz w:val="16"/>
              </w:rPr>
            </w:r>
            <w:r>
              <w:rPr>
                <w:sz w:val="16"/>
              </w:rPr>
              <w:t xml:space="preserve">corrispettivo in azioni + €1 (nessuna </w:t>
            </w:r>
            <w:r>
              <w:rPr>
                <w:i/>
                <w:sz w:val="16"/>
              </w:rPr>
              <w:t>cash alternative</w:t>
            </w:r>
            <w:r>
              <w:rPr>
                <w:sz w:val="16"/>
              </w:rPr>
              <w:t>)</w:t>
            </w:r>
          </w:p>
        </w:tc>
        <w:tc>
          <w:tcPr>
            <w:tcW w:type="dxa" w:w="2880"/>
          </w:tcPr>
          <w:p>
            <w:pPr>
              <w:spacing w:after="40"/>
            </w:pPr>
            <w:r>
              <w:rPr>
                <w:sz w:val="16"/>
              </w:rPr>
            </w:r>
            <w:r>
              <w:rPr>
                <w:sz w:val="16"/>
              </w:rPr>
              <w:t>nessuno (nessun recesso)</w:t>
            </w:r>
          </w:p>
        </w:tc>
      </w:tr>
    </w:tbl>
    <w:p/>
    <w:p>
      <w:r>
        <w:rPr>
          <w:b/>
        </w:rPr>
        <w:t>Il costo del ramo lento non è l'attesa in sé: è ciò che nel frattempo non si può fare in autonomia.</w:t>
      </w:r>
      <w:r>
        <w:t xml:space="preserve"> Per 8-15 mesi ogni operazione fra ISP e MPS è un'operazione con parti correlate con soglia di maggiore rilevanza al 2,5% e parere favorevole necessario di un comitato di soli indipendenti non correlati, su cui siedono per statuto consiglieri tratti da liste di minoranza. E le operazioni che servono a ISP sono esattamente quelle: trasferimento della quota AG a ISP Assicurazioni, riorganizzazioni per il carve-out, accordo di consolidamento fiscale. A questo si aggiungono il trattamento penalizzante delle minoranze nel CET1, la diluizione del beneficio Danish, il 25-30% dei dividendi che esce dal gruppo e la necessità di ridisegnare il remedy Unipol (par. 3.4).</w:t>
      </w:r>
    </w:p>
    <w:p>
      <w:r>
        <w:rPr>
          <w:b/>
        </w:rPr>
        <w:t>Lo stallo vero, quello sì da temere, sta sotto il 66,67%</w:t>
      </w:r>
      <w:r>
        <w:t xml:space="preserve"> — cioè solo se ISP rinuncia alla Condizione Soglia (par. 3.3, ramo A4). Sopra quella soglia il percorso è lento ma certo; sotto, il delisting può diventare irraggiungibile e la struttura con minoranze rilevanti può cristallizzarsi a tempo indeterminato. Il caso Banco BPM Vita/Anima è l'illustrazione del limbo: offerta chiusa al 89,949% in aprile 2025, nessun delisting, nessuna delibera di fusione, e Anima ancora quotata 17 mesi dopo. Lì però il limbo è una scelta, non un'impossibilità.</w:t>
      </w:r>
    </w:p>
    <w:p>
      <w:pPr>
        <w:pStyle w:val="Heading3"/>
      </w:pPr>
      <w:r>
        <w:t>3.3 La cascata degli esiti, con calendario</w:t>
      </w:r>
    </w:p>
    <w:p>
      <w:pPr>
        <w:pStyle w:val="Heading4"/>
      </w:pPr>
      <w:r>
        <w:t>Ramo A1 — ≥90% alla chiusura del periodo di adesione</w:t>
      </w:r>
    </w:p>
    <w:p>
      <w:r>
        <w:t>Scattano insieme il sell-out ex art. 108, c. 2 (ISP ha già dichiarato di non ripristinare il flottante) e il diritto di acquisto ex art. 111; la riapertura dei termini non si applicherebbe comunque (esenzione art. 40-bis, c. 3, lett. b)). Sequenza: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Giorno</w:t>
            </w:r>
          </w:p>
        </w:tc>
        <w:tc>
          <w:tcPr>
            <w:tcW w:type="dxa" w:w="4320"/>
          </w:tcPr>
          <w:p>
            <w:pPr>
              <w:spacing w:after="40"/>
            </w:pPr>
            <w:r>
              <w:rPr>
                <w:b/>
                <w:sz w:val="16"/>
              </w:rPr>
            </w:r>
            <w:r>
              <w:rPr>
                <w:b/>
                <w:sz w:val="16"/>
              </w:rPr>
              <w:t>Evento</w:t>
            </w:r>
          </w:p>
        </w:tc>
      </w:tr>
      <w:tr>
        <w:tc>
          <w:tcPr>
            <w:tcW w:type="dxa" w:w="4320"/>
          </w:tcPr>
          <w:p>
            <w:pPr>
              <w:spacing w:after="40"/>
            </w:pPr>
            <w:r>
              <w:rPr>
                <w:sz w:val="16"/>
              </w:rPr>
            </w:r>
            <w:r>
              <w:rPr>
                <w:sz w:val="16"/>
              </w:rPr>
              <w:t>4–5 gen</w:t>
            </w:r>
          </w:p>
        </w:tc>
        <w:tc>
          <w:tcPr>
            <w:tcW w:type="dxa" w:w="4320"/>
          </w:tcPr>
          <w:p>
            <w:pPr>
              <w:spacing w:after="40"/>
            </w:pPr>
            <w:r>
              <w:rPr>
                <w:sz w:val="16"/>
              </w:rPr>
            </w:r>
            <w:r>
              <w:rPr>
                <w:sz w:val="16"/>
              </w:rPr>
              <w:t>Comunicato risultati definitivi ex art. 41, c. 6, Reg. Emittenti</w:t>
            </w:r>
          </w:p>
        </w:tc>
      </w:tr>
      <w:tr>
        <w:tc>
          <w:tcPr>
            <w:tcW w:type="dxa" w:w="4320"/>
          </w:tcPr>
          <w:p>
            <w:pPr>
              <w:spacing w:after="40"/>
            </w:pPr>
            <w:r>
              <w:rPr>
                <w:sz w:val="16"/>
              </w:rPr>
            </w:r>
            <w:r>
              <w:rPr>
                <w:sz w:val="16"/>
              </w:rPr>
              <w:t>6 gen (S)</w:t>
            </w:r>
          </w:p>
        </w:tc>
        <w:tc>
          <w:tcPr>
            <w:tcW w:type="dxa" w:w="4320"/>
          </w:tcPr>
          <w:p>
            <w:pPr>
              <w:spacing w:after="40"/>
            </w:pPr>
            <w:r>
              <w:rPr>
                <w:sz w:val="16"/>
              </w:rPr>
            </w:r>
            <w:r>
              <w:rPr>
                <w:sz w:val="16"/>
              </w:rPr>
              <w:t>Settlement</w:t>
            </w:r>
          </w:p>
        </w:tc>
      </w:tr>
      <w:tr>
        <w:tc>
          <w:tcPr>
            <w:tcW w:type="dxa" w:w="4320"/>
          </w:tcPr>
          <w:p>
            <w:pPr>
              <w:spacing w:after="40"/>
            </w:pPr>
            <w:r>
              <w:rPr>
                <w:sz w:val="16"/>
              </w:rPr>
            </w:r>
            <w:r>
              <w:rPr>
                <w:sz w:val="16"/>
              </w:rPr>
              <w:t>S+1 / S+10</w:t>
            </w:r>
          </w:p>
        </w:tc>
        <w:tc>
          <w:tcPr>
            <w:tcW w:type="dxa" w:w="4320"/>
          </w:tcPr>
          <w:p>
            <w:pPr>
              <w:spacing w:after="40"/>
            </w:pPr>
            <w:r>
              <w:rPr>
                <w:sz w:val="16"/>
              </w:rPr>
            </w:r>
            <w:r>
              <w:rPr>
                <w:sz w:val="16"/>
              </w:rPr>
              <w:t>Accordo con Consob e Borsa Italiana sui termini della Procedura Congiunta; comunicato ex art. 50-quinquies, c. 2, Reg. Emittenti</w:t>
            </w:r>
          </w:p>
        </w:tc>
      </w:tr>
      <w:tr>
        <w:tc>
          <w:tcPr>
            <w:tcW w:type="dxa" w:w="4320"/>
          </w:tcPr>
          <w:p>
            <w:pPr>
              <w:spacing w:after="40"/>
            </w:pPr>
            <w:r>
              <w:rPr>
                <w:sz w:val="16"/>
              </w:rPr>
            </w:r>
            <w:r>
              <w:rPr>
                <w:sz w:val="16"/>
              </w:rPr>
              <w:t>~S+12 / S+40</w:t>
            </w:r>
          </w:p>
        </w:tc>
        <w:tc>
          <w:tcPr>
            <w:tcW w:type="dxa" w:w="4320"/>
          </w:tcPr>
          <w:p>
            <w:pPr>
              <w:spacing w:after="40"/>
            </w:pPr>
            <w:r>
              <w:rPr>
                <w:sz w:val="16"/>
              </w:rPr>
            </w:r>
            <w:r>
              <w:rPr>
                <w:sz w:val="16"/>
              </w:rPr>
              <w:t xml:space="preserve">Periodo per le richieste di vendita: </w:t>
            </w:r>
            <w:r>
              <w:rPr>
                <w:b/>
                <w:sz w:val="16"/>
              </w:rPr>
              <w:t>15-25 giorni di borsa aperta</w:t>
            </w:r>
            <w:r>
              <w:rPr>
                <w:sz w:val="16"/>
              </w:rPr>
              <w:t xml:space="preserve"> (art. 50-quinquies, c. 1)</w:t>
            </w:r>
          </w:p>
        </w:tc>
      </w:tr>
      <w:tr>
        <w:tc>
          <w:tcPr>
            <w:tcW w:type="dxa" w:w="4320"/>
          </w:tcPr>
          <w:p>
            <w:pPr>
              <w:spacing w:after="40"/>
            </w:pPr>
            <w:r>
              <w:rPr>
                <w:sz w:val="16"/>
              </w:rPr>
            </w:r>
            <w:r>
              <w:rPr>
                <w:sz w:val="16"/>
              </w:rPr>
              <w:t>~S+45</w:t>
            </w:r>
          </w:p>
        </w:tc>
        <w:tc>
          <w:tcPr>
            <w:tcW w:type="dxa" w:w="4320"/>
          </w:tcPr>
          <w:p>
            <w:pPr>
              <w:spacing w:after="40"/>
            </w:pPr>
            <w:r>
              <w:rPr>
                <w:sz w:val="16"/>
              </w:rPr>
            </w:r>
            <w:r>
              <w:rPr>
                <w:sz w:val="16"/>
              </w:rPr>
              <w:t xml:space="preserve">Regolamento, deposito del prezzo presso una banca, trasferimento ex art. 111, c. 3; sospensione e </w:t>
            </w:r>
            <w:r>
              <w:rPr>
                <w:b/>
                <w:sz w:val="16"/>
              </w:rPr>
              <w:t>revoca dalla quotazione</w:t>
            </w:r>
          </w:p>
        </w:tc>
      </w:tr>
      <w:tr>
        <w:tc>
          <w:tcPr>
            <w:tcW w:type="dxa" w:w="4320"/>
          </w:tcPr>
          <w:p>
            <w:pPr>
              <w:spacing w:after="40"/>
            </w:pPr>
            <w:r>
              <w:rPr>
                <w:sz w:val="16"/>
              </w:rPr>
            </w:r>
          </w:p>
        </w:tc>
        <w:tc>
          <w:tcPr>
            <w:tcW w:type="dxa" w:w="4320"/>
          </w:tcPr>
          <w:p>
            <w:pPr>
              <w:spacing w:after="40"/>
            </w:pPr>
            <w:r>
              <w:rPr>
                <w:sz w:val="16"/>
              </w:rPr>
            </w:r>
            <w:r>
              <w:rPr>
                <w:b/>
                <w:sz w:val="16"/>
              </w:rPr>
              <w:t>Delisting realistico: seconda metà di febbraio / prima metà di marzo 2027</w:t>
            </w:r>
          </w:p>
        </w:tc>
      </w:tr>
    </w:tbl>
    <w:p/>
    <w:p>
      <w:r>
        <w:t xml:space="preserve">Benchmark sui tempi settlement → delisting: ISP/UBI 2 mesi (5 ago → 5 ott 2020); Unipol/UnipolSai 2 mesi (3 mag → 3 lug 2024); Banca Ifis/illimity ~2,5 mesi. Tutti e tre sotto il vecchio regime a due gradini: con il nuovo art. 111 si salta il sell-out intermedio, quindi </w:t>
      </w:r>
      <w:r>
        <w:rPr>
          <w:b/>
        </w:rPr>
        <w:t>4-8 settimane</w:t>
      </w:r>
      <w:r>
        <w:t xml:space="preserve"> è la stima ragionevole.</w:t>
      </w:r>
    </w:p>
    <w:p>
      <w:r>
        <w:rPr>
          <w:b/>
        </w:rPr>
        <w:t>Corrispettivo della procedura</w:t>
      </w:r>
      <w:r>
        <w:t xml:space="preserve">: pari a quello dell'Offerta (1,600 azioni ISP + €1,000) se il 90% è raggiunto </w:t>
      </w:r>
      <w:r>
        <w:rPr>
          <w:i/>
        </w:rPr>
        <w:t>"esclusivamente a seguito di offerta pubblica totalitaria"</w:t>
      </w:r>
      <w:r>
        <w:t xml:space="preserve"> </w:t>
      </w:r>
      <w:r>
        <w:rPr>
          <w:b/>
        </w:rPr>
        <w:t>e</w:t>
      </w:r>
      <w:r>
        <w:t xml:space="preserve"> se — trattandosi di offerta volontaria — ISP ha acquistato per effetto dell'offerta titoli pari ad almeno il 90% del </w:t>
      </w:r>
      <w:r>
        <w:rPr>
          <w:i/>
        </w:rPr>
        <w:t>capitale con diritto di voto compreso nell'offerta</w:t>
      </w:r>
      <w:r>
        <w:t xml:space="preserve"> (art. 108, c. 3). Stessa forma dell'offerta, senza cash alternative (art. 108, c. 5 post-riforma).</w:t>
      </w:r>
    </w:p>
    <w:p>
      <w:pPr>
        <w:pStyle w:val="IntenseQuote"/>
      </w:pPr>
      <w:r>
        <w:rPr>
          <w:b/>
        </w:rPr>
        <w:t>Due trappole di pricing da presidiare nel Documento di Offerta.</w:t>
      </w:r>
      <w:r>
        <w:t xml:space="preserve"> 1. </w:t>
      </w:r>
      <w:r>
        <w:rPr>
          <w:b/>
        </w:rPr>
        <w:t>Acquisti fuori offerta.</w:t>
      </w:r>
      <w:r>
        <w:t xml:space="preserve"> ISP si riserva espressamente di comprare sul mercato prima e durante il Periodo di Adesione, e ha esteso la dichiarazione ex art. 111 anche al 90% raggiunto "per effetto di acquisti eventualmente effettuati al di fuori dell'Offerta". Ma se il superamento del 90% dipende in parte da acquisti </w:t>
      </w:r>
      <w:r>
        <w:rPr>
          <w:i/>
        </w:rPr>
        <w:t>successivi</w:t>
      </w:r>
      <w:r>
        <w:t xml:space="preserve"> al settlement, viene meno l'"esclusivamente a seguito di offerta pubblica totalitaria": il corrispettivo passa alla </w:t>
      </w:r>
      <w:r>
        <w:rPr>
          <w:b/>
        </w:rPr>
        <w:t>determinazione Consob</w:t>
      </w:r>
      <w:r>
        <w:t xml:space="preserve"> (art. 108, c. 4, e art. 50, c. 5, Reg. Emittenti), con criteri discrezionali e in via ordinaria in forma </w:t>
      </w:r>
      <w:r>
        <w:rPr>
          <w:b/>
        </w:rPr>
        <w:t>monetaria</w:t>
      </w:r>
      <w:r>
        <w:t xml:space="preserve">. Su un residuo del 10% significa un'uscita di cassa non pianificata nell'ordine di </w:t>
      </w:r>
      <w:r>
        <w:rPr>
          <w:b/>
        </w:rPr>
        <w:t>€3 miliardi</w:t>
      </w:r>
      <w:r>
        <w:t xml:space="preserve"> e 4-6 settimane di ritardo. Gli acquisti effettuati </w:t>
      </w:r>
      <w:r>
        <w:rPr>
          <w:b/>
        </w:rPr>
        <w:t>durante</w:t>
      </w:r>
      <w:r>
        <w:t xml:space="preserve"> il periodo di adesione sono invece computati nelle adesioni (art. 50, c. 9, lett. a), n. ii), Reg. Emittenti, a condizione del rispetto degli artt. 41 e 42): se si compra, si compra prima della chiusura. 2. </w:t>
      </w:r>
      <w:r>
        <w:rPr>
          <w:b/>
        </w:rPr>
        <w:t>Azioni proprie.</w:t>
      </w:r>
      <w:r>
        <w:t xml:space="preserve"> ISP computa le azioni proprie MPS al numeratore senza dedurle dal denominatore. Se il 90% si raggiunge </w:t>
      </w:r>
      <w:r>
        <w:rPr>
          <w:i/>
        </w:rPr>
        <w:t>grazie</w:t>
      </w:r>
      <w:r>
        <w:t xml:space="preserve"> a questo criterio, il test dell'art. 108, c. 3 (≥90% del capitale con diritto di voto </w:t>
      </w:r>
      <w:r>
        <w:rPr>
          <w:i/>
        </w:rPr>
        <w:t>compreso nell'offerta</w:t>
      </w:r>
      <w:r>
        <w:t>) può non essere soddisfatto, con lo stesso effetto di cui sopra. Da riconciliare numericamente prima della chiusura.</w:t>
      </w:r>
    </w:p>
    <w:p>
      <w:r>
        <w:rPr>
          <w:b/>
        </w:rPr>
        <w:t>Effetto sul resto dell'operazione</w:t>
      </w:r>
      <w:r>
        <w:t>: MPS al 100% e delistata entro fine febbraio/marzo 2027. Cadono liste di minoranza, riserva statutaria di seggi, comitato OPC, disciplina delle parti correlate sul trasferimento AG, minority interests nel CET1, doppio perimetro MAR, doppia attestazione 154-bis. Il carve-out e la cessione a Unipol dell'"intero capitale" diventano eseguibili come disegnati. La fusione MPS-ISP resta utile per semplificazione ma non è più sul percorso critico.</w:t>
      </w:r>
    </w:p>
    <w:p>
      <w:pPr>
        <w:pStyle w:val="Heading4"/>
      </w:pPr>
      <w:r>
        <w:t>Ramo A2 — 85-89,9%</w:t>
      </w:r>
    </w:p>
    <w:p>
      <w:r>
        <w:t>Nessun delisting automatico. MPS quotata con minoranze del 10-15%. Leve residue, in ordine di preferenza:</w:t>
      </w:r>
    </w:p>
    <w:p>
      <w:pPr>
        <w:pStyle w:val="ListNumber"/>
      </w:pPr>
      <w:r>
        <w:rPr>
          <w:b/>
        </w:rPr>
        <w:t>Riapertura dei termini</w:t>
      </w:r>
      <w:r>
        <w:t xml:space="preserve"> (se assoggettamento volontario dichiarato nel Documento di Offerta): 5 giorni di borsa aperta dal giorno successivo alla Data di Pagamento. Precedenti: +22,20 pp (BPER/Sondrio, 21-25 luglio 2025), +24,00 pp (MPS/Mediobanca, 16-22 settembre 2025). Da 86-89% la riapertura può bastare. </w:t>
      </w:r>
      <w:r>
        <w:rPr>
          <w:b/>
        </w:rPr>
        <w:t>È la leva a più alto rendimento e va decisa adesso</w:t>
      </w:r>
      <w:r>
        <w:t>, perché il periodo di adesione di 37 giorni non lascia spazio a proroghe.</w:t>
      </w:r>
    </w:p>
    <w:p>
      <w:pPr>
        <w:pStyle w:val="ListNumber"/>
      </w:pPr>
      <w:r>
        <w:rPr>
          <w:b/>
        </w:rPr>
        <w:t>Proroga del Periodo di Adesione</w:t>
      </w:r>
      <w:r>
        <w:t>: residuano ~3 giorni di borsa aperta entro il tetto dei 40.</w:t>
      </w:r>
    </w:p>
    <w:p>
      <w:pPr>
        <w:pStyle w:val="ListNumber"/>
      </w:pPr>
      <w:r>
        <w:rPr>
          <w:b/>
        </w:rPr>
        <w:t>Acquisti sul mercato post-settlement</w:t>
      </w:r>
      <w:r>
        <w:t>: possibili ma con la trappola di pricing del par. 3.3; inoltre l'esercitabilità dell'art. 111 su un 90% raggiunto per soli acquisti di mercato non è testualmente pacifica e non risultano orientamenti Consob pubblicati.</w:t>
      </w:r>
    </w:p>
    <w:p>
      <w:pPr>
        <w:pStyle w:val="ListNumber"/>
      </w:pPr>
      <w:r>
        <w:rPr>
          <w:b/>
        </w:rPr>
        <w:t>Seconda OPA volontaria</w:t>
      </w:r>
      <w:r>
        <w:t xml:space="preserve">: attenzione al nuovo </w:t>
      </w:r>
      <w:r>
        <w:rPr>
          <w:b/>
        </w:rPr>
        <w:t>art. 102, c. 8, TUF</w:t>
      </w:r>
      <w:r>
        <w:t xml:space="preserve"> ("put up or shut up"): se circolano indiscrezioni e la Consob fissa un termine, il silenzio o il diniego comporta il divieto di promuovere offerte sui titoli del medesimo emittente </w:t>
      </w:r>
      <w:r>
        <w:rPr>
          <w:b/>
        </w:rPr>
        <w:t>per dodici mesi</w:t>
      </w:r>
      <w:r>
        <w:t>. La comunicazione post-settlement va gestita con questo vincolo in mente.</w:t>
      </w:r>
    </w:p>
    <w:p>
      <w:r>
        <w:t>Se nessuna leva porta al 90%, si entra nel ramo A3.</w:t>
      </w:r>
    </w:p>
    <w:p>
      <w:pPr>
        <w:pStyle w:val="Heading4"/>
      </w:pPr>
      <w:r>
        <w:t>Ramo A3 — 66,67-84,9% (ramo probabile)</w:t>
      </w:r>
    </w:p>
    <w:p>
      <w:r>
        <w:t xml:space="preserve">MPS </w:t>
      </w:r>
      <w:r>
        <w:rPr>
          <w:b/>
        </w:rPr>
        <w:t>resta quotata</w:t>
      </w:r>
      <w:r>
        <w:t xml:space="preserve">, con minoranze del 15-33%, e il delisting passa solo dalla </w:t>
      </w:r>
      <w:r>
        <w:rPr>
          <w:b/>
        </w:rPr>
        <w:t>fusione per incorporazione in ISP</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Passaggio</w:t>
            </w:r>
          </w:p>
        </w:tc>
        <w:tc>
          <w:tcPr>
            <w:tcW w:type="dxa" w:w="2880"/>
          </w:tcPr>
          <w:p>
            <w:pPr>
              <w:spacing w:after="40"/>
            </w:pPr>
            <w:r>
              <w:rPr>
                <w:b/>
                <w:sz w:val="16"/>
              </w:rPr>
            </w:r>
            <w:r>
              <w:rPr>
                <w:b/>
                <w:sz w:val="16"/>
              </w:rPr>
              <w:t>Riferimento</w:t>
            </w:r>
          </w:p>
        </w:tc>
        <w:tc>
          <w:tcPr>
            <w:tcW w:type="dxa" w:w="2880"/>
          </w:tcPr>
          <w:p>
            <w:pPr>
              <w:spacing w:after="40"/>
            </w:pPr>
            <w:r>
              <w:rPr>
                <w:b/>
                <w:sz w:val="16"/>
              </w:rPr>
            </w:r>
            <w:r>
              <w:rPr>
                <w:b/>
                <w:sz w:val="16"/>
              </w:rPr>
              <w:t>Tempo</w:t>
            </w:r>
          </w:p>
        </w:tc>
      </w:tr>
      <w:tr>
        <w:tc>
          <w:tcPr>
            <w:tcW w:type="dxa" w:w="2880"/>
          </w:tcPr>
          <w:p>
            <w:pPr>
              <w:spacing w:after="40"/>
            </w:pPr>
            <w:r>
              <w:rPr>
                <w:sz w:val="16"/>
              </w:rPr>
            </w:r>
            <w:r>
              <w:rPr>
                <w:sz w:val="16"/>
              </w:rPr>
              <w:t>Progetto di fusione approvato dai due CdA</w:t>
            </w:r>
          </w:p>
        </w:tc>
        <w:tc>
          <w:tcPr>
            <w:tcW w:type="dxa" w:w="2880"/>
          </w:tcPr>
          <w:p>
            <w:pPr>
              <w:spacing w:after="40"/>
            </w:pPr>
            <w:r>
              <w:rPr>
                <w:sz w:val="16"/>
              </w:rPr>
            </w:r>
            <w:r>
              <w:rPr>
                <w:sz w:val="16"/>
              </w:rPr>
              <w:t>art. 2501-ter c.c.</w:t>
            </w:r>
          </w:p>
        </w:tc>
        <w:tc>
          <w:tcPr>
            <w:tcW w:type="dxa" w:w="2880"/>
          </w:tcPr>
          <w:p>
            <w:pPr>
              <w:spacing w:after="40"/>
            </w:pPr>
            <w:r>
              <w:rPr>
                <w:sz w:val="16"/>
              </w:rPr>
            </w:r>
            <w:r>
              <w:rPr>
                <w:sz w:val="16"/>
              </w:rPr>
              <w:t>—</w:t>
            </w:r>
          </w:p>
        </w:tc>
      </w:tr>
      <w:tr>
        <w:tc>
          <w:tcPr>
            <w:tcW w:type="dxa" w:w="2880"/>
          </w:tcPr>
          <w:p>
            <w:pPr>
              <w:spacing w:after="40"/>
            </w:pPr>
            <w:r>
              <w:rPr>
                <w:sz w:val="16"/>
              </w:rPr>
            </w:r>
            <w:r>
              <w:rPr>
                <w:sz w:val="16"/>
              </w:rPr>
              <w:t>Istanza di autorizzazione BCE</w:t>
            </w:r>
          </w:p>
        </w:tc>
        <w:tc>
          <w:tcPr>
            <w:tcW w:type="dxa" w:w="2880"/>
          </w:tcPr>
          <w:p>
            <w:pPr>
              <w:spacing w:after="40"/>
            </w:pPr>
            <w:r>
              <w:rPr>
                <w:sz w:val="16"/>
              </w:rPr>
            </w:r>
            <w:r>
              <w:rPr>
                <w:sz w:val="16"/>
              </w:rPr>
              <w:t>art. 57 TUB</w:t>
            </w:r>
          </w:p>
        </w:tc>
        <w:tc>
          <w:tcPr>
            <w:tcW w:type="dxa" w:w="2880"/>
          </w:tcPr>
          <w:p>
            <w:pPr>
              <w:spacing w:after="40"/>
            </w:pPr>
            <w:r>
              <w:rPr>
                <w:sz w:val="16"/>
              </w:rPr>
            </w:r>
            <w:r>
              <w:rPr>
                <w:sz w:val="16"/>
              </w:rPr>
              <w:t>6-13 settimane (MPS/MB: richiesta metà luglio 2026 → autorizzazione 3 settembre 2026)</w:t>
            </w:r>
          </w:p>
        </w:tc>
      </w:tr>
      <w:tr>
        <w:tc>
          <w:tcPr>
            <w:tcW w:type="dxa" w:w="2880"/>
          </w:tcPr>
          <w:p>
            <w:pPr>
              <w:spacing w:after="40"/>
            </w:pPr>
            <w:r>
              <w:rPr>
                <w:sz w:val="16"/>
              </w:rPr>
            </w:r>
            <w:r>
              <w:rPr>
                <w:sz w:val="16"/>
              </w:rPr>
              <w:t>Deposito/pubblicazione del progetto</w:t>
            </w:r>
          </w:p>
        </w:tc>
        <w:tc>
          <w:tcPr>
            <w:tcW w:type="dxa" w:w="2880"/>
          </w:tcPr>
          <w:p>
            <w:pPr>
              <w:spacing w:after="40"/>
            </w:pPr>
            <w:r>
              <w:rPr>
                <w:sz w:val="16"/>
              </w:rPr>
            </w:r>
            <w:r>
              <w:rPr>
                <w:sz w:val="16"/>
              </w:rPr>
              <w:t>art. 2501-ter, c. 4</w:t>
            </w:r>
          </w:p>
        </w:tc>
        <w:tc>
          <w:tcPr>
            <w:tcW w:type="dxa" w:w="2880"/>
          </w:tcPr>
          <w:p>
            <w:pPr>
              <w:spacing w:after="40"/>
            </w:pPr>
            <w:r>
              <w:rPr>
                <w:sz w:val="16"/>
              </w:rPr>
            </w:r>
            <w:r>
              <w:rPr>
                <w:sz w:val="16"/>
              </w:rPr>
              <w:t>≥30 giorni prima dell'assemblea</w:t>
            </w:r>
          </w:p>
        </w:tc>
      </w:tr>
      <w:tr>
        <w:tc>
          <w:tcPr>
            <w:tcW w:type="dxa" w:w="2880"/>
          </w:tcPr>
          <w:p>
            <w:pPr>
              <w:spacing w:after="40"/>
            </w:pPr>
            <w:r>
              <w:rPr>
                <w:sz w:val="16"/>
              </w:rPr>
            </w:r>
            <w:r>
              <w:rPr>
                <w:sz w:val="16"/>
              </w:rPr>
              <w:t>Relazione dell'esperto sulla congruità del concambio</w:t>
            </w:r>
          </w:p>
        </w:tc>
        <w:tc>
          <w:tcPr>
            <w:tcW w:type="dxa" w:w="2880"/>
          </w:tcPr>
          <w:p>
            <w:pPr>
              <w:spacing w:after="40"/>
            </w:pPr>
            <w:r>
              <w:rPr>
                <w:sz w:val="16"/>
              </w:rPr>
            </w:r>
            <w:r>
              <w:rPr>
                <w:sz w:val="16"/>
              </w:rPr>
              <w:t>art. 2501-sexies</w:t>
            </w:r>
          </w:p>
        </w:tc>
        <w:tc>
          <w:tcPr>
            <w:tcW w:type="dxa" w:w="2880"/>
          </w:tcPr>
          <w:p>
            <w:pPr>
              <w:spacing w:after="40"/>
            </w:pPr>
            <w:r>
              <w:rPr>
                <w:sz w:val="16"/>
              </w:rPr>
            </w:r>
            <w:r>
              <w:rPr>
                <w:sz w:val="16"/>
              </w:rPr>
              <w:t>in parallelo</w:t>
            </w:r>
          </w:p>
        </w:tc>
      </w:tr>
      <w:tr>
        <w:tc>
          <w:tcPr>
            <w:tcW w:type="dxa" w:w="2880"/>
          </w:tcPr>
          <w:p>
            <w:pPr>
              <w:spacing w:after="40"/>
            </w:pPr>
            <w:r>
              <w:rPr>
                <w:sz w:val="16"/>
              </w:rPr>
            </w:r>
            <w:r>
              <w:rPr>
                <w:sz w:val="16"/>
              </w:rPr>
              <w:t>Doppio documento informativo OPC (entrambe quotate)</w:t>
            </w:r>
          </w:p>
        </w:tc>
        <w:tc>
          <w:tcPr>
            <w:tcW w:type="dxa" w:w="2880"/>
          </w:tcPr>
          <w:p>
            <w:pPr>
              <w:spacing w:after="40"/>
            </w:pPr>
            <w:r>
              <w:rPr>
                <w:sz w:val="16"/>
              </w:rPr>
            </w:r>
            <w:r>
              <w:rPr>
                <w:sz w:val="16"/>
              </w:rPr>
              <w:t>Reg. Consob 17221/2010, art. 5</w:t>
            </w:r>
          </w:p>
        </w:tc>
        <w:tc>
          <w:tcPr>
            <w:tcW w:type="dxa" w:w="2880"/>
          </w:tcPr>
          <w:p>
            <w:pPr>
              <w:spacing w:after="40"/>
            </w:pPr>
            <w:r>
              <w:rPr>
                <w:sz w:val="16"/>
              </w:rPr>
            </w:r>
            <w:r>
              <w:rPr>
                <w:sz w:val="16"/>
              </w:rPr>
              <w:t>7 giorni dall'approvazione</w:t>
            </w:r>
          </w:p>
        </w:tc>
      </w:tr>
      <w:tr>
        <w:tc>
          <w:tcPr>
            <w:tcW w:type="dxa" w:w="2880"/>
          </w:tcPr>
          <w:p>
            <w:pPr>
              <w:spacing w:after="40"/>
            </w:pPr>
            <w:r>
              <w:rPr>
                <w:sz w:val="16"/>
              </w:rPr>
            </w:r>
            <w:r>
              <w:rPr>
                <w:sz w:val="16"/>
              </w:rPr>
              <w:t xml:space="preserve">Assemblee straordinarie: </w:t>
            </w:r>
            <w:r>
              <w:rPr>
                <w:b/>
                <w:sz w:val="16"/>
              </w:rPr>
              <w:t>2/3 del capitale rappresentato</w:t>
            </w:r>
          </w:p>
        </w:tc>
        <w:tc>
          <w:tcPr>
            <w:tcW w:type="dxa" w:w="2880"/>
          </w:tcPr>
          <w:p>
            <w:pPr>
              <w:spacing w:after="40"/>
            </w:pPr>
            <w:r>
              <w:rPr>
                <w:sz w:val="16"/>
              </w:rPr>
            </w:r>
            <w:r>
              <w:rPr>
                <w:sz w:val="16"/>
              </w:rPr>
              <w:t>artt. 2368-2369 c.c.</w:t>
            </w:r>
          </w:p>
        </w:tc>
        <w:tc>
          <w:tcPr>
            <w:tcW w:type="dxa" w:w="2880"/>
          </w:tcPr>
          <w:p>
            <w:pPr>
              <w:spacing w:after="40"/>
            </w:pPr>
            <w:r>
              <w:rPr>
                <w:sz w:val="16"/>
              </w:rPr>
            </w:r>
            <w:r>
              <w:rPr>
                <w:sz w:val="16"/>
              </w:rPr>
              <w:t>—</w:t>
            </w:r>
          </w:p>
        </w:tc>
      </w:tr>
      <w:tr>
        <w:tc>
          <w:tcPr>
            <w:tcW w:type="dxa" w:w="2880"/>
          </w:tcPr>
          <w:p>
            <w:pPr>
              <w:spacing w:after="40"/>
            </w:pPr>
            <w:r>
              <w:rPr>
                <w:sz w:val="16"/>
              </w:rPr>
            </w:r>
            <w:r>
              <w:rPr>
                <w:sz w:val="16"/>
              </w:rPr>
              <w:t xml:space="preserve">Opposizione dei creditori </w:t>
            </w:r>
            <w:r>
              <w:rPr>
                <w:b/>
                <w:sz w:val="16"/>
              </w:rPr>
              <w:t>ridotta a 15 giorni</w:t>
            </w:r>
            <w:r>
              <w:rPr>
                <w:sz w:val="16"/>
              </w:rPr>
              <w:t xml:space="preserve"> per le banche</w:t>
            </w:r>
          </w:p>
        </w:tc>
        <w:tc>
          <w:tcPr>
            <w:tcW w:type="dxa" w:w="2880"/>
          </w:tcPr>
          <w:p>
            <w:pPr>
              <w:spacing w:after="40"/>
            </w:pPr>
            <w:r>
              <w:rPr>
                <w:sz w:val="16"/>
              </w:rPr>
            </w:r>
            <w:r>
              <w:rPr>
                <w:sz w:val="16"/>
              </w:rPr>
              <w:t>art. 57 TUB (vs 60 giorni art. 2503 c.c.)</w:t>
            </w:r>
          </w:p>
        </w:tc>
        <w:tc>
          <w:tcPr>
            <w:tcW w:type="dxa" w:w="2880"/>
          </w:tcPr>
          <w:p>
            <w:pPr>
              <w:spacing w:after="40"/>
            </w:pPr>
            <w:r>
              <w:rPr>
                <w:sz w:val="16"/>
              </w:rPr>
            </w:r>
            <w:r>
              <w:rPr>
                <w:sz w:val="16"/>
              </w:rPr>
              <w:t>15 giorni</w:t>
            </w:r>
          </w:p>
        </w:tc>
      </w:tr>
      <w:tr>
        <w:tc>
          <w:tcPr>
            <w:tcW w:type="dxa" w:w="2880"/>
          </w:tcPr>
          <w:p>
            <w:pPr>
              <w:spacing w:after="40"/>
            </w:pPr>
            <w:r>
              <w:rPr>
                <w:sz w:val="16"/>
              </w:rPr>
            </w:r>
            <w:r>
              <w:rPr>
                <w:sz w:val="16"/>
              </w:rPr>
              <w:t>Consultazioni sindacali</w:t>
            </w:r>
          </w:p>
        </w:tc>
        <w:tc>
          <w:tcPr>
            <w:tcW w:type="dxa" w:w="2880"/>
          </w:tcPr>
          <w:p>
            <w:pPr>
              <w:spacing w:after="40"/>
            </w:pPr>
            <w:r>
              <w:rPr>
                <w:sz w:val="16"/>
              </w:rPr>
            </w:r>
            <w:r>
              <w:rPr>
                <w:sz w:val="16"/>
              </w:rPr>
              <w:t>art. 47 L. 428/1990</w:t>
            </w:r>
          </w:p>
        </w:tc>
        <w:tc>
          <w:tcPr>
            <w:tcW w:type="dxa" w:w="2880"/>
          </w:tcPr>
          <w:p>
            <w:pPr>
              <w:spacing w:after="40"/>
            </w:pPr>
            <w:r>
              <w:rPr>
                <w:sz w:val="16"/>
              </w:rPr>
            </w:r>
            <w:r>
              <w:rPr>
                <w:sz w:val="16"/>
              </w:rPr>
              <w:t>in parallelo</w:t>
            </w:r>
          </w:p>
        </w:tc>
      </w:tr>
      <w:tr>
        <w:tc>
          <w:tcPr>
            <w:tcW w:type="dxa" w:w="2880"/>
          </w:tcPr>
          <w:p>
            <w:pPr>
              <w:spacing w:after="40"/>
            </w:pPr>
            <w:r>
              <w:rPr>
                <w:sz w:val="16"/>
              </w:rPr>
            </w:r>
            <w:r>
              <w:rPr>
                <w:sz w:val="16"/>
              </w:rPr>
              <w:t>Atto di fusione, iscrizione, efficacia e delisting</w:t>
            </w:r>
          </w:p>
        </w:tc>
        <w:tc>
          <w:tcPr>
            <w:tcW w:type="dxa" w:w="2880"/>
          </w:tcPr>
          <w:p>
            <w:pPr>
              <w:spacing w:after="40"/>
            </w:pPr>
            <w:r>
              <w:rPr>
                <w:sz w:val="16"/>
              </w:rPr>
            </w:r>
            <w:r>
              <w:rPr>
                <w:sz w:val="16"/>
              </w:rPr>
              <w:t>art. 2504-bis c.c.</w:t>
            </w:r>
          </w:p>
        </w:tc>
        <w:tc>
          <w:tcPr>
            <w:tcW w:type="dxa" w:w="2880"/>
          </w:tcPr>
          <w:p>
            <w:pPr>
              <w:spacing w:after="40"/>
            </w:pPr>
            <w:r>
              <w:rPr>
                <w:sz w:val="16"/>
              </w:rPr>
            </w:r>
            <w:r>
              <w:rPr>
                <w:sz w:val="16"/>
              </w:rPr>
              <w:t>—</w:t>
            </w:r>
          </w:p>
        </w:tc>
      </w:tr>
    </w:tbl>
    <w:p/>
    <w:p>
      <w:r>
        <w:rPr>
          <w:b/>
        </w:rPr>
        <w:t>Durata dal settlement al delisting</w:t>
      </w:r>
      <w:r>
        <w:t xml:space="preserve">: 8,6 mesi nel </w:t>
      </w:r>
      <w:r>
        <w:rPr>
          <w:i/>
        </w:rPr>
        <w:t>best case</w:t>
      </w:r>
      <w:r>
        <w:t xml:space="preserve"> BPER/Sondrio (settlement 1 agosto 2025 → efficacia 20 aprile 2026); ~15 mesi nel </w:t>
      </w:r>
      <w:r>
        <w:rPr>
          <w:i/>
        </w:rPr>
        <w:t>base case</w:t>
      </w:r>
      <w:r>
        <w:t xml:space="preserve"> MPS/Mediobanca (settlement 29 settembre 2025 → efficacia attesa entro fine 2026, con assemblea del 29 ottobre 2026). Tradotto su pag. 4: </w:t>
      </w:r>
      <w:r>
        <w:rPr>
          <w:b/>
        </w:rPr>
        <w:t>delisting fra settembre 2027 e marzo 2028</w:t>
      </w:r>
      <w:r>
        <w:t>.</w:t>
      </w:r>
    </w:p>
    <w:p>
      <w:r>
        <w:t>Note tecniche:</w:t>
      </w:r>
    </w:p>
    <w:p>
      <w:pPr>
        <w:pStyle w:val="ListBullet"/>
      </w:pPr>
      <w:r>
        <w:rPr>
          <w:b/>
        </w:rPr>
        <w:t>Nessun diritto di recesso</w:t>
      </w:r>
      <w:r>
        <w:t xml:space="preserve"> per le minoranze MPS: riceverebbero azioni ISP quotate su EXM, quindi non opera l'art. 2437-quinquies c.c. (confermato nel precedente MPS/Mediobanca). Nessun esborso di cassa per recessi, nessun contenzioso sul valore di liquidazione.</w:t>
      </w:r>
    </w:p>
    <w:p>
      <w:pPr>
        <w:pStyle w:val="ListBullet"/>
      </w:pPr>
      <w:r>
        <w:rPr>
          <w:b/>
        </w:rPr>
        <w:t>Art. 2504-quater c.c.</w:t>
      </w:r>
      <w:r>
        <w:t>: eseguite le iscrizioni dell'atto di fusione, l'invalidità non è più pronunciabile; resta il risarcimento. Il contenzioso delle minoranze si sposta dall'impugnativa al danno, e la difesa si costruisce sulla documentazione del processo (parere del comitato OPC, fairness opinion, relazione dell'esperto), non sulla resistenza processuale.</w:t>
      </w:r>
    </w:p>
    <w:p>
      <w:pPr>
        <w:pStyle w:val="ListBullet"/>
      </w:pPr>
      <w:r>
        <w:rPr>
          <w:b/>
        </w:rPr>
        <w:t>Aritmetica dei 2/3, ed è la ragione d'essere della Condizione Soglia</w:t>
      </w:r>
      <w:r>
        <w:t xml:space="preserve">: nelle quotate l'assemblea straordinaria delibera con il voto favorevole di almeno due terzi del capitale </w:t>
      </w:r>
      <w:r>
        <w:rPr>
          <w:i/>
        </w:rPr>
        <w:t>rappresentato in assemblea</w:t>
      </w:r>
      <w:r>
        <w:t xml:space="preserve">. Se ISP detiene almeno il 66,67% del capitale, quella maggioranza è </w:t>
      </w:r>
      <w:r>
        <w:rPr>
          <w:b/>
        </w:rPr>
        <w:t>garantita qualunque sia l'affluenza</w:t>
      </w:r>
      <w:r>
        <w:t xml:space="preserve">, perché i soci diversi da ISP non possono rappresentare più del 33,33%. È esattamente per questo che la Condizione Soglia è fissata al 66,67% e non al 50% più un'azione: è la soglia che rende certa la via della fusione anche nello scenario peggiore di mobilitazione delle minoranze. </w:t>
      </w:r>
      <w:r>
        <w:rPr>
          <w:b/>
        </w:rPr>
        <w:t>Sotto il 66,67% la fusione diventa invece una funzione dell'affluenza</w:t>
      </w:r>
      <w:r>
        <w:t xml:space="preserve">: l'affluenza di </w:t>
      </w:r>
      <w:r>
        <w:rPr>
          <w:i/>
        </w:rPr>
        <w:t>break-even</w:t>
      </w:r>
      <w:r>
        <w:t xml:space="preserve"> è pari alla quota ISP divisa per 0,6667 (ISP al 60% → 90% di affluenza; ISP al 55% → 82,5%), e una minoranza organizzata farebbe precisamente della mobilitazione il proprio obiettivo. All'assemblea MPS del 15 aprile 2026 l'affluenza è stata di circa il 65% del capitale, ma un'assemblea di fusione contestata mobiliterebbe molto di più. </w:t>
      </w:r>
      <w:r>
        <w:rPr>
          <w:b/>
        </w:rPr>
        <w:t>Sotto il 66,67% la fusione non è garantita</w:t>
      </w:r>
      <w:r>
        <w:t>: è il motivo per cui la Condizione Soglia è fissata lì, e il motivo per cui la rinuncia parziale alla Condizione Soglia va decisa con questa aritmetica alla mano, non solo con quella del consolidamento.</w:t>
      </w:r>
    </w:p>
    <w:p>
      <w:pPr>
        <w:pStyle w:val="Heading4"/>
      </w:pPr>
      <w:r>
        <w:t>Ramo A4 — sotto il 66,67%</w:t>
      </w:r>
    </w:p>
    <w:p>
      <w:r>
        <w:t xml:space="preserve">Decisione binaria: rinuncia (anche parziale) alla Condizione Soglia o decadenza dell'Offerta. In caso di rinuncia a, per ipotesi, il 55-60%: consolidamento contabile e prudenziale sì, maggioranza dell'assemblea ordinaria sì, ma </w:t>
      </w:r>
      <w:r>
        <w:rPr>
          <w:b/>
        </w:rPr>
        <w:t>maggioranza dell'assemblea straordinaria non garantita</w:t>
      </w:r>
      <w:r>
        <w:t xml:space="preserve"> → nessuna via certa al delisting, nessuna modifica statutaria certa, struttura con minoranze del 40%+ a tempo indefinito, remedy Unipol da ridisegnare integralmente. Da notare che l'OPA da consolidamento (art. 106, c. 3, lett. b), TUF, ora al 10% dopo la riforma) </w:t>
      </w:r>
      <w:r>
        <w:rPr>
          <w:b/>
        </w:rPr>
        <w:t>non scatta</w:t>
      </w:r>
      <w:r>
        <w:t>, perché presuppone che il soggetto non detenga la maggioranza dei diritti di voto in assemblea ordinaria.</w:t>
      </w:r>
    </w:p>
    <w:p>
      <w:pPr>
        <w:pStyle w:val="Heading4"/>
      </w:pPr>
      <w:r>
        <w:t>Strumenti non disponibili nella finestra temporale</w:t>
      </w:r>
    </w:p>
    <w:p>
      <w:pPr>
        <w:pStyle w:val="ListBullet"/>
      </w:pPr>
      <w:r>
        <w:rPr>
          <w:b/>
        </w:rPr>
        <w:t>Acquisto totalitario su autorizzazione dei soci (nuovo art. 112-bis TUF)</w:t>
      </w:r>
      <w:r>
        <w:t xml:space="preserve">: attuazione Consob attesa entro il </w:t>
      </w:r>
      <w:r>
        <w:rPr>
          <w:b/>
        </w:rPr>
        <w:t>29 aprile 2027</w:t>
      </w:r>
      <w:r>
        <w:t xml:space="preserve">. Anche quando disponibile, richiede il voto favorevole di almeno 3/4 del capitale rappresentato </w:t>
      </w:r>
      <w:r>
        <w:rPr>
          <w:b/>
        </w:rPr>
        <w:t>e</w:t>
      </w:r>
      <w:r>
        <w:t xml:space="preserve"> della maggioranza dei soci presenti diversi dal proponente e dal socio con oltre 1/10 del capitale: un </w:t>
      </w:r>
      <w:r>
        <w:rPr>
          <w:b/>
        </w:rPr>
        <w:t>whitewash che consegna un veto alle minoranze</w:t>
      </w:r>
      <w:r>
        <w:t>. Non è una via praticabile per un socio di controllo.</w:t>
      </w:r>
    </w:p>
    <w:p>
      <w:pPr>
        <w:pStyle w:val="ListBullet"/>
      </w:pPr>
      <w:r>
        <w:rPr>
          <w:b/>
        </w:rPr>
        <w:t>Down-listing su MTF (nuovo art. 133, c. 1-bis, TUF)</w:t>
      </w:r>
      <w:r>
        <w:t xml:space="preserve">: stessa scadenza di attuazione, preavviso di 2 mesi e </w:t>
      </w:r>
      <w:r>
        <w:rPr>
          <w:b/>
        </w:rPr>
        <w:t>diritto di recesso ex art. 2437-quinquies c.c.</w:t>
      </w:r>
      <w:r>
        <w:t>. Da tenere in osservazione come opzione intermedia se la fusione slitta oltre i 12 mesi: riduce i costi di compliance e liquida in cassa una parte delle minoranze, ma va budgetato l'esborso del recesso (media dei prezzi dei 6 mesi).</w:t>
      </w:r>
    </w:p>
    <w:p>
      <w:pPr>
        <w:pStyle w:val="Heading3"/>
      </w:pPr>
      <w:r>
        <w:t>3.4 Su cosa variano gli scenari: le dimensioni di impatto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6"/>
              </w:rPr>
            </w:r>
            <w:r>
              <w:rPr>
                <w:b/>
                <w:sz w:val="16"/>
              </w:rPr>
              <w:t>#</w:t>
            </w:r>
          </w:p>
        </w:tc>
        <w:tc>
          <w:tcPr>
            <w:tcW w:type="dxa" w:w="2160"/>
          </w:tcPr>
          <w:p>
            <w:pPr>
              <w:spacing w:after="40"/>
            </w:pPr>
            <w:r>
              <w:rPr>
                <w:b/>
                <w:sz w:val="16"/>
              </w:rPr>
            </w:r>
            <w:r>
              <w:rPr>
                <w:b/>
                <w:sz w:val="16"/>
              </w:rPr>
              <w:t>Dimensione</w:t>
            </w:r>
          </w:p>
        </w:tc>
        <w:tc>
          <w:tcPr>
            <w:tcW w:type="dxa" w:w="2160"/>
          </w:tcPr>
          <w:p>
            <w:pPr>
              <w:spacing w:after="40"/>
            </w:pPr>
            <w:r>
              <w:rPr>
                <w:b/>
                <w:sz w:val="16"/>
              </w:rPr>
            </w:r>
            <w:r>
              <w:rPr>
                <w:b/>
                <w:sz w:val="16"/>
              </w:rPr>
              <w:t>≥90% (A1)</w:t>
            </w:r>
          </w:p>
        </w:tc>
        <w:tc>
          <w:tcPr>
            <w:tcW w:type="dxa" w:w="2160"/>
          </w:tcPr>
          <w:p>
            <w:pPr>
              <w:spacing w:after="40"/>
            </w:pPr>
            <w:r>
              <w:rPr>
                <w:b/>
                <w:sz w:val="16"/>
              </w:rPr>
            </w:r>
            <w:r>
              <w:rPr>
                <w:b/>
                <w:sz w:val="16"/>
              </w:rPr>
              <w:t>Sotto il 90% (A2/A3)</w:t>
            </w:r>
          </w:p>
        </w:tc>
      </w:tr>
      <w:tr>
        <w:tc>
          <w:tcPr>
            <w:tcW w:type="dxa" w:w="2160"/>
          </w:tcPr>
          <w:p>
            <w:pPr>
              <w:spacing w:after="40"/>
            </w:pPr>
            <w:r>
              <w:rPr>
                <w:sz w:val="16"/>
              </w:rPr>
            </w:r>
            <w:r>
              <w:rPr>
                <w:sz w:val="16"/>
              </w:rPr>
              <w:t>1</w:t>
            </w:r>
          </w:p>
        </w:tc>
        <w:tc>
          <w:tcPr>
            <w:tcW w:type="dxa" w:w="2160"/>
          </w:tcPr>
          <w:p>
            <w:pPr>
              <w:spacing w:after="40"/>
            </w:pPr>
            <w:r>
              <w:rPr>
                <w:sz w:val="16"/>
              </w:rPr>
            </w:r>
            <w:r>
              <w:rPr>
                <w:sz w:val="16"/>
              </w:rPr>
              <w:t>Delisting</w:t>
            </w:r>
          </w:p>
        </w:tc>
        <w:tc>
          <w:tcPr>
            <w:tcW w:type="dxa" w:w="2160"/>
          </w:tcPr>
          <w:p>
            <w:pPr>
              <w:spacing w:after="40"/>
            </w:pPr>
            <w:r>
              <w:rPr>
                <w:sz w:val="16"/>
              </w:rPr>
            </w:r>
            <w:r>
              <w:rPr>
                <w:sz w:val="16"/>
              </w:rPr>
              <w:t>Feb–mar 2027, procedura congiunta</w:t>
            </w:r>
          </w:p>
        </w:tc>
        <w:tc>
          <w:tcPr>
            <w:tcW w:type="dxa" w:w="2160"/>
          </w:tcPr>
          <w:p>
            <w:pPr>
              <w:spacing w:after="40"/>
            </w:pPr>
            <w:r>
              <w:rPr>
                <w:sz w:val="16"/>
              </w:rPr>
            </w:r>
            <w:r>
              <w:rPr>
                <w:sz w:val="16"/>
              </w:rPr>
              <w:t>Solo via fusione: set 2027 – mar 2028</w:t>
            </w:r>
          </w:p>
        </w:tc>
      </w:tr>
      <w:tr>
        <w:tc>
          <w:tcPr>
            <w:tcW w:type="dxa" w:w="2160"/>
          </w:tcPr>
          <w:p>
            <w:pPr>
              <w:spacing w:after="40"/>
            </w:pPr>
            <w:r>
              <w:rPr>
                <w:sz w:val="16"/>
              </w:rPr>
            </w:r>
            <w:r>
              <w:rPr>
                <w:sz w:val="16"/>
              </w:rPr>
              <w:t>2</w:t>
            </w:r>
          </w:p>
        </w:tc>
        <w:tc>
          <w:tcPr>
            <w:tcW w:type="dxa" w:w="2160"/>
          </w:tcPr>
          <w:p>
            <w:pPr>
              <w:spacing w:after="40"/>
            </w:pPr>
            <w:r>
              <w:rPr>
                <w:sz w:val="16"/>
              </w:rPr>
            </w:r>
            <w:r>
              <w:rPr>
                <w:sz w:val="16"/>
              </w:rPr>
              <w:t>Partecipazione finale</w:t>
            </w:r>
          </w:p>
        </w:tc>
        <w:tc>
          <w:tcPr>
            <w:tcW w:type="dxa" w:w="2160"/>
          </w:tcPr>
          <w:p>
            <w:pPr>
              <w:spacing w:after="40"/>
            </w:pPr>
            <w:r>
              <w:rPr>
                <w:sz w:val="16"/>
              </w:rPr>
            </w:r>
            <w:r>
              <w:rPr>
                <w:sz w:val="16"/>
              </w:rPr>
              <w:t>100%</w:t>
            </w:r>
          </w:p>
        </w:tc>
        <w:tc>
          <w:tcPr>
            <w:tcW w:type="dxa" w:w="2160"/>
          </w:tcPr>
          <w:p>
            <w:pPr>
              <w:spacing w:after="40"/>
            </w:pPr>
            <w:r>
              <w:rPr>
                <w:sz w:val="16"/>
              </w:rPr>
            </w:r>
            <w:r>
              <w:rPr>
                <w:sz w:val="16"/>
              </w:rPr>
              <w:t>67-89%, minoranze 11-33% fino alla fusione</w:t>
            </w:r>
          </w:p>
        </w:tc>
      </w:tr>
      <w:tr>
        <w:tc>
          <w:tcPr>
            <w:tcW w:type="dxa" w:w="2160"/>
          </w:tcPr>
          <w:p>
            <w:pPr>
              <w:spacing w:after="40"/>
            </w:pPr>
            <w:r>
              <w:rPr>
                <w:sz w:val="16"/>
              </w:rPr>
            </w:r>
            <w:r>
              <w:rPr>
                <w:sz w:val="16"/>
              </w:rPr>
              <w:t>3</w:t>
            </w:r>
          </w:p>
        </w:tc>
        <w:tc>
          <w:tcPr>
            <w:tcW w:type="dxa" w:w="2160"/>
          </w:tcPr>
          <w:p>
            <w:pPr>
              <w:spacing w:after="40"/>
            </w:pPr>
            <w:r>
              <w:rPr>
                <w:sz w:val="16"/>
              </w:rPr>
            </w:r>
            <w:r>
              <w:rPr>
                <w:sz w:val="16"/>
              </w:rPr>
              <w:t>CET1 consolidato</w:t>
            </w:r>
          </w:p>
        </w:tc>
        <w:tc>
          <w:tcPr>
            <w:tcW w:type="dxa" w:w="2160"/>
          </w:tcPr>
          <w:p>
            <w:pPr>
              <w:spacing w:after="40"/>
            </w:pPr>
            <w:r>
              <w:rPr>
                <w:sz w:val="16"/>
              </w:rPr>
            </w:r>
            <w:r>
              <w:rPr>
                <w:sz w:val="16"/>
              </w:rPr>
              <w:t>Nessuna minoranza</w:t>
            </w:r>
          </w:p>
        </w:tc>
        <w:tc>
          <w:tcPr>
            <w:tcW w:type="dxa" w:w="2160"/>
          </w:tcPr>
          <w:p>
            <w:pPr>
              <w:spacing w:after="40"/>
            </w:pPr>
            <w:r>
              <w:rPr>
                <w:sz w:val="16"/>
              </w:rPr>
            </w:r>
            <w:r>
              <w:rPr>
                <w:sz w:val="16"/>
              </w:rPr>
              <w:t xml:space="preserve">Minority interests riconosciuti </w:t>
            </w:r>
            <w:r>
              <w:rPr>
                <w:b/>
                <w:sz w:val="16"/>
              </w:rPr>
              <w:t>solo entro il cap dell'art. 84 CRR</w:t>
            </w:r>
            <w:r>
              <w:rPr>
                <w:sz w:val="16"/>
              </w:rPr>
              <w:t xml:space="preserve">, RWA consolidati al </w:t>
            </w:r>
            <w:r>
              <w:rPr>
                <w:b/>
                <w:sz w:val="16"/>
              </w:rPr>
              <w:t>100%</w:t>
            </w:r>
            <w:r>
              <w:rPr>
                <w:sz w:val="16"/>
              </w:rPr>
              <w:t>, avviamento dedotto al 100% (EBA, Report on prudential consolidation, gennaio 2026). Valutare l'istanza per la deroga introdotta da CRR3 all'art. 84 (Guida BCE su opzioni e discrezionalità, 24 luglio 2025)</w:t>
            </w:r>
          </w:p>
        </w:tc>
      </w:tr>
      <w:tr>
        <w:tc>
          <w:tcPr>
            <w:tcW w:type="dxa" w:w="2160"/>
          </w:tcPr>
          <w:p>
            <w:pPr>
              <w:spacing w:after="40"/>
            </w:pPr>
            <w:r>
              <w:rPr>
                <w:sz w:val="16"/>
              </w:rPr>
            </w:r>
            <w:r>
              <w:rPr>
                <w:sz w:val="16"/>
              </w:rPr>
              <w:t>4</w:t>
            </w:r>
          </w:p>
        </w:tc>
        <w:tc>
          <w:tcPr>
            <w:tcW w:type="dxa" w:w="2160"/>
          </w:tcPr>
          <w:p>
            <w:pPr>
              <w:spacing w:after="40"/>
            </w:pPr>
            <w:r>
              <w:rPr>
                <w:sz w:val="16"/>
              </w:rPr>
            </w:r>
            <w:r>
              <w:rPr>
                <w:sz w:val="16"/>
              </w:rPr>
              <w:t>Danish Compromise su AG</w:t>
            </w:r>
          </w:p>
        </w:tc>
        <w:tc>
          <w:tcPr>
            <w:tcW w:type="dxa" w:w="2160"/>
          </w:tcPr>
          <w:p>
            <w:pPr>
              <w:spacing w:after="40"/>
            </w:pPr>
            <w:r>
              <w:rPr>
                <w:sz w:val="16"/>
              </w:rPr>
            </w:r>
            <w:r>
              <w:rPr>
                <w:sz w:val="16"/>
              </w:rPr>
              <w:t>Catena pulita, nessuna diluizione</w:t>
            </w:r>
          </w:p>
        </w:tc>
        <w:tc>
          <w:tcPr>
            <w:tcW w:type="dxa" w:w="2160"/>
          </w:tcPr>
          <w:p>
            <w:pPr>
              <w:spacing w:after="40"/>
            </w:pPr>
            <w:r>
              <w:rPr>
                <w:sz w:val="16"/>
              </w:rPr>
            </w:r>
            <w:r>
              <w:rPr>
                <w:sz w:val="16"/>
              </w:rPr>
              <w:t xml:space="preserve">Condizione dell'art. 49(1)(e)(v) CRR soddisfatta (serve l'inclusione nel perimetro di consolidamento, non il 100%), </w:t>
            </w:r>
            <w:r>
              <w:rPr>
                <w:b/>
                <w:sz w:val="16"/>
              </w:rPr>
              <w:t>ma il beneficio in bps è diluito</w:t>
            </w:r>
            <w:r>
              <w:rPr>
                <w:sz w:val="16"/>
              </w:rPr>
              <w:t xml:space="preserve">: RWA al 250% consolidato per intero, capitale riconosciuto pro-quota. </w:t>
            </w:r>
            <w:r>
              <w:rPr>
                <w:i/>
                <w:sz w:val="16"/>
              </w:rPr>
              <w:t>Inferenza analitica: non risultano Q&amp;A EBA o passaggi della Guida BCE sul punto specifico — da confermare</w:t>
            </w:r>
          </w:p>
        </w:tc>
      </w:tr>
      <w:tr>
        <w:tc>
          <w:tcPr>
            <w:tcW w:type="dxa" w:w="2160"/>
          </w:tcPr>
          <w:p>
            <w:pPr>
              <w:spacing w:after="40"/>
            </w:pPr>
            <w:r>
              <w:rPr>
                <w:sz w:val="16"/>
              </w:rPr>
            </w:r>
            <w:r>
              <w:rPr>
                <w:sz w:val="16"/>
              </w:rPr>
              <w:t>5</w:t>
            </w:r>
          </w:p>
        </w:tc>
        <w:tc>
          <w:tcPr>
            <w:tcW w:type="dxa" w:w="2160"/>
          </w:tcPr>
          <w:p>
            <w:pPr>
              <w:spacing w:after="40"/>
            </w:pPr>
            <w:r>
              <w:rPr>
                <w:sz w:val="16"/>
              </w:rPr>
            </w:r>
            <w:r>
              <w:rPr>
                <w:sz w:val="16"/>
              </w:rPr>
              <w:t>Trasferimento quota AG a ISP Assicurazioni</w:t>
            </w:r>
          </w:p>
        </w:tc>
        <w:tc>
          <w:tcPr>
            <w:tcW w:type="dxa" w:w="2160"/>
          </w:tcPr>
          <w:p>
            <w:pPr>
              <w:spacing w:after="40"/>
            </w:pPr>
            <w:r>
              <w:rPr>
                <w:sz w:val="16"/>
              </w:rPr>
            </w:r>
            <w:r>
              <w:rPr>
                <w:sz w:val="16"/>
              </w:rPr>
              <w:t>Atto infragruppo</w:t>
            </w:r>
          </w:p>
        </w:tc>
        <w:tc>
          <w:tcPr>
            <w:tcW w:type="dxa" w:w="2160"/>
          </w:tcPr>
          <w:p>
            <w:pPr>
              <w:spacing w:after="40"/>
            </w:pPr>
            <w:r>
              <w:rPr>
                <w:sz w:val="16"/>
              </w:rPr>
            </w:r>
            <w:r>
              <w:rPr>
                <w:b/>
                <w:sz w:val="16"/>
              </w:rPr>
              <w:t>OPC di maggiore rilevanza</w:t>
            </w:r>
            <w:r>
              <w:rPr>
                <w:sz w:val="16"/>
              </w:rPr>
              <w:t xml:space="preserve"> con soglia ridotta al </w:t>
            </w:r>
            <w:r>
              <w:rPr>
                <w:b/>
                <w:sz w:val="16"/>
              </w:rPr>
              <w:t>2,5%</w:t>
            </w:r>
            <w:r>
              <w:rPr>
                <w:sz w:val="16"/>
              </w:rPr>
              <w:t xml:space="preserve"> (All. 3, § 1.2, Reg. 17221/2010, perché la controparte è la controllante quotata); comitato di soli indipendenti non correlati, </w:t>
            </w:r>
            <w:r>
              <w:rPr>
                <w:b/>
                <w:sz w:val="16"/>
              </w:rPr>
              <w:t>parere favorevole necessario</w:t>
            </w:r>
            <w:r>
              <w:rPr>
                <w:sz w:val="16"/>
              </w:rPr>
              <w:t xml:space="preserve">, fairness opinion, documento informativo, art. 2497 c.c. L'esenzione infragruppo dell'art. 14, c. 2, </w:t>
            </w:r>
            <w:r>
              <w:rPr>
                <w:b/>
                <w:sz w:val="16"/>
              </w:rPr>
              <w:t>non è disponibile alla target</w:t>
            </w:r>
            <w:r>
              <w:rPr>
                <w:sz w:val="16"/>
              </w:rPr>
              <w:t xml:space="preserve"> (la controparte è la controllante, non una controllata) e nel precedente MPS/Mediobanca non è stata usata nemmeno dall'acquirente. Prassi consigliata: eseguire il trasferimento </w:t>
            </w:r>
            <w:r>
              <w:rPr>
                <w:b/>
                <w:sz w:val="16"/>
              </w:rPr>
              <w:t>dopo</w:t>
            </w:r>
            <w:r>
              <w:rPr>
                <w:sz w:val="16"/>
              </w:rPr>
              <w:t xml:space="preserve"> la fusione (è ciò che ha fatto MPS con la quota Generali) → </w:t>
            </w:r>
            <w:r>
              <w:rPr>
                <w:b/>
                <w:sz w:val="16"/>
              </w:rPr>
              <w:t>il beneficio Danish slitta ulteriormente</w:t>
            </w:r>
          </w:p>
        </w:tc>
      </w:tr>
      <w:tr>
        <w:tc>
          <w:tcPr>
            <w:tcW w:type="dxa" w:w="2160"/>
          </w:tcPr>
          <w:p>
            <w:pPr>
              <w:spacing w:after="40"/>
            </w:pPr>
            <w:r>
              <w:rPr>
                <w:sz w:val="16"/>
              </w:rPr>
            </w:r>
            <w:r>
              <w:rPr>
                <w:sz w:val="16"/>
              </w:rPr>
              <w:t>6</w:t>
            </w:r>
          </w:p>
        </w:tc>
        <w:tc>
          <w:tcPr>
            <w:tcW w:type="dxa" w:w="2160"/>
          </w:tcPr>
          <w:p>
            <w:pPr>
              <w:spacing w:after="40"/>
            </w:pPr>
            <w:r>
              <w:rPr>
                <w:sz w:val="16"/>
              </w:rPr>
            </w:r>
            <w:r>
              <w:rPr>
                <w:sz w:val="16"/>
              </w:rPr>
              <w:t>Remedy Unipol</w:t>
            </w:r>
          </w:p>
        </w:tc>
        <w:tc>
          <w:tcPr>
            <w:tcW w:type="dxa" w:w="2160"/>
          </w:tcPr>
          <w:p>
            <w:pPr>
              <w:spacing w:after="40"/>
            </w:pPr>
            <w:r>
              <w:rPr>
                <w:sz w:val="16"/>
              </w:rPr>
            </w:r>
            <w:r>
              <w:rPr>
                <w:sz w:val="16"/>
              </w:rPr>
              <w:t>Cedibile l'"intero capitale" dell'entità, MPS stessa inclusa</w:t>
            </w:r>
          </w:p>
        </w:tc>
        <w:tc>
          <w:tcPr>
            <w:tcW w:type="dxa" w:w="2160"/>
          </w:tcPr>
          <w:p>
            <w:pPr>
              <w:spacing w:after="40"/>
            </w:pPr>
            <w:r>
              <w:rPr>
                <w:sz w:val="16"/>
              </w:rPr>
            </w:r>
            <w:r>
              <w:rPr>
                <w:b/>
                <w:sz w:val="16"/>
              </w:rPr>
              <w:t>Struttura da ridisegnare</w:t>
            </w:r>
            <w:r>
              <w:rPr>
                <w:sz w:val="16"/>
              </w:rPr>
              <w:t xml:space="preserve">: l'intero capitale di MPS non è cedibile con minoranze in essere, e una cessione del controllo di MPS quotata a Unipol farebbe scattare un'OPA obbligatoria in capo a Unipol. Serve una newco con conferimento delle 635 filiali e delle strutture centrali → delibere MPS, profili OPC, IFRS 5, tempi. </w:t>
            </w:r>
            <w:r>
              <w:rPr>
                <w:b/>
                <w:sz w:val="16"/>
              </w:rPr>
              <w:t>Rischio di sforamento della scadenza degli impegni antitrust</w:t>
            </w:r>
            <w:r>
              <w:rPr>
                <w:sz w:val="16"/>
              </w:rPr>
              <w:t>, che sono condizione di efficacia dell'Offerta</w:t>
            </w:r>
          </w:p>
        </w:tc>
      </w:tr>
      <w:tr>
        <w:tc>
          <w:tcPr>
            <w:tcW w:type="dxa" w:w="2160"/>
          </w:tcPr>
          <w:p>
            <w:pPr>
              <w:spacing w:after="40"/>
            </w:pPr>
            <w:r>
              <w:rPr>
                <w:sz w:val="16"/>
              </w:rPr>
            </w:r>
            <w:r>
              <w:rPr>
                <w:sz w:val="16"/>
              </w:rPr>
              <w:t>7</w:t>
            </w:r>
          </w:p>
        </w:tc>
        <w:tc>
          <w:tcPr>
            <w:tcW w:type="dxa" w:w="2160"/>
          </w:tcPr>
          <w:p>
            <w:pPr>
              <w:spacing w:after="40"/>
            </w:pPr>
            <w:r>
              <w:rPr>
                <w:sz w:val="16"/>
              </w:rPr>
            </w:r>
            <w:r>
              <w:rPr>
                <w:sz w:val="16"/>
              </w:rPr>
              <w:t>Composizione del nuovo CdA MPS</w:t>
            </w:r>
          </w:p>
        </w:tc>
        <w:tc>
          <w:tcPr>
            <w:tcW w:type="dxa" w:w="2160"/>
          </w:tcPr>
          <w:p>
            <w:pPr>
              <w:spacing w:after="40"/>
            </w:pPr>
            <w:r>
              <w:rPr>
                <w:sz w:val="16"/>
              </w:rPr>
            </w:r>
            <w:r>
              <w:rPr>
                <w:sz w:val="16"/>
              </w:rPr>
              <w:t>Lista unica ISP, nessun seggio di minoranza</w:t>
            </w:r>
          </w:p>
        </w:tc>
        <w:tc>
          <w:tcPr>
            <w:tcW w:type="dxa" w:w="2160"/>
          </w:tcPr>
          <w:p>
            <w:pPr>
              <w:spacing w:after="40"/>
            </w:pPr>
            <w:r>
              <w:rPr>
                <w:sz w:val="16"/>
              </w:rPr>
            </w:r>
            <w:r>
              <w:rPr>
                <w:sz w:val="16"/>
              </w:rPr>
              <w:t xml:space="preserve">Statuto MPS art. 15, c. 7.1: </w:t>
            </w:r>
            <w:r>
              <w:rPr>
                <w:b/>
                <w:sz w:val="16"/>
              </w:rPr>
              <w:t>almeno 2 consiglieri</w:t>
            </w:r>
            <w:r>
              <w:rPr>
                <w:sz w:val="16"/>
              </w:rPr>
              <w:t xml:space="preserve"> alle liste di minoranza; c. 7.3: </w:t>
            </w:r>
            <w:r>
              <w:rPr>
                <w:b/>
                <w:sz w:val="16"/>
              </w:rPr>
              <w:t>almeno 1</w:t>
            </w:r>
            <w:r>
              <w:rPr>
                <w:sz w:val="16"/>
              </w:rPr>
              <w:t xml:space="preserve"> alla lista di minoranza non collegata. Soglia di presentazione delle liste: </w:t>
            </w:r>
            <w:r>
              <w:rPr>
                <w:b/>
                <w:sz w:val="16"/>
              </w:rPr>
              <w:t>0,5%</w:t>
            </w:r>
            <w:r>
              <w:rPr>
                <w:sz w:val="16"/>
              </w:rPr>
              <w:t xml:space="preserve"> per il 2026 (determina Consob n. 155 del 27 gennaio 2026). Con Assogestioni (che nell'aprile 2026 ha presentato lista con lo 0,78% e ottenuto un seggio) la presentazione è quasi certa. Quei consiglieri siederanno nel comitato OPC che deve pronunciarsi sul punto 5</w:t>
            </w:r>
          </w:p>
        </w:tc>
      </w:tr>
      <w:tr>
        <w:tc>
          <w:tcPr>
            <w:tcW w:type="dxa" w:w="2160"/>
          </w:tcPr>
          <w:p>
            <w:pPr>
              <w:spacing w:after="40"/>
            </w:pPr>
            <w:r>
              <w:rPr>
                <w:sz w:val="16"/>
              </w:rPr>
            </w:r>
            <w:r>
              <w:rPr>
                <w:sz w:val="16"/>
              </w:rPr>
              <w:t>8</w:t>
            </w:r>
          </w:p>
        </w:tc>
        <w:tc>
          <w:tcPr>
            <w:tcW w:type="dxa" w:w="2160"/>
          </w:tcPr>
          <w:p>
            <w:pPr>
              <w:spacing w:after="40"/>
            </w:pPr>
            <w:r>
              <w:rPr>
                <w:sz w:val="16"/>
              </w:rPr>
            </w:r>
            <w:r>
              <w:rPr>
                <w:sz w:val="16"/>
              </w:rPr>
              <w:t>Collegio Sindacale MPS</w:t>
            </w:r>
          </w:p>
        </w:tc>
        <w:tc>
          <w:tcPr>
            <w:tcW w:type="dxa" w:w="2160"/>
          </w:tcPr>
          <w:p>
            <w:pPr>
              <w:spacing w:after="40"/>
            </w:pPr>
            <w:r>
              <w:rPr>
                <w:sz w:val="16"/>
              </w:rPr>
            </w:r>
            <w:r>
              <w:rPr>
                <w:sz w:val="16"/>
              </w:rPr>
              <w:t>Cessa con la fusione</w:t>
            </w:r>
          </w:p>
        </w:tc>
        <w:tc>
          <w:tcPr>
            <w:tcW w:type="dxa" w:w="2160"/>
          </w:tcPr>
          <w:p>
            <w:pPr>
              <w:spacing w:after="40"/>
            </w:pPr>
            <w:r>
              <w:rPr>
                <w:sz w:val="16"/>
              </w:rPr>
            </w:r>
            <w:r>
              <w:rPr>
                <w:b/>
                <w:sz w:val="16"/>
              </w:rPr>
              <w:t>Non sostituibile</w:t>
            </w:r>
            <w:r>
              <w:rPr>
                <w:sz w:val="16"/>
              </w:rPr>
              <w:t xml:space="preserve">: revoca solo per giusta causa e con decreto del tribunale (art. 2400, c. 2, c.c.; art. 25, c. 9, statuto). In carica per gli esercizi 2026-2028, con </w:t>
            </w:r>
            <w:r>
              <w:rPr>
                <w:b/>
                <w:sz w:val="16"/>
              </w:rPr>
              <w:t>presidenza espressa dalla lista di minoranza</w:t>
            </w:r>
            <w:r>
              <w:rPr>
                <w:sz w:val="16"/>
              </w:rPr>
              <w:t xml:space="preserve"> (Pierluigi Pace). Vale in </w:t>
            </w:r>
            <w:r>
              <w:rPr>
                <w:i/>
                <w:sz w:val="16"/>
              </w:rPr>
              <w:t>tutti</w:t>
            </w:r>
            <w:r>
              <w:rPr>
                <w:sz w:val="16"/>
              </w:rPr>
              <w:t xml:space="preserve"> gli scenari</w:t>
            </w:r>
          </w:p>
        </w:tc>
      </w:tr>
      <w:tr>
        <w:tc>
          <w:tcPr>
            <w:tcW w:type="dxa" w:w="2160"/>
          </w:tcPr>
          <w:p>
            <w:pPr>
              <w:spacing w:after="40"/>
            </w:pPr>
            <w:r>
              <w:rPr>
                <w:sz w:val="16"/>
              </w:rPr>
            </w:r>
            <w:r>
              <w:rPr>
                <w:sz w:val="16"/>
              </w:rPr>
              <w:t>9</w:t>
            </w:r>
          </w:p>
        </w:tc>
        <w:tc>
          <w:tcPr>
            <w:tcW w:type="dxa" w:w="2160"/>
          </w:tcPr>
          <w:p>
            <w:pPr>
              <w:spacing w:after="40"/>
            </w:pPr>
            <w:r>
              <w:rPr>
                <w:sz w:val="16"/>
              </w:rPr>
            </w:r>
            <w:r>
              <w:rPr>
                <w:sz w:val="16"/>
              </w:rPr>
              <w:t>Bilancio FY2026 e reporting package</w:t>
            </w:r>
          </w:p>
        </w:tc>
        <w:tc>
          <w:tcPr>
            <w:tcW w:type="dxa" w:w="2160"/>
          </w:tcPr>
          <w:p>
            <w:pPr>
              <w:spacing w:after="40"/>
            </w:pPr>
            <w:r>
              <w:rPr>
                <w:sz w:val="16"/>
              </w:rPr>
            </w:r>
            <w:r>
              <w:rPr>
                <w:sz w:val="16"/>
              </w:rPr>
              <w:t>Come da pag. 4: approvato dal CdA uscente, nessun reporting package (nessun consolidamento 2026)</w:t>
            </w:r>
          </w:p>
        </w:tc>
        <w:tc>
          <w:tcPr>
            <w:tcW w:type="dxa" w:w="2160"/>
          </w:tcPr>
          <w:p>
            <w:pPr>
              <w:spacing w:after="40"/>
            </w:pPr>
            <w:r>
              <w:rPr>
                <w:sz w:val="16"/>
              </w:rPr>
            </w:r>
            <w:r>
              <w:rPr>
                <w:sz w:val="16"/>
              </w:rPr>
              <w:t xml:space="preserve">Idem, ma la scelta di </w:t>
            </w:r>
            <w:r>
              <w:rPr>
                <w:i/>
                <w:sz w:val="16"/>
              </w:rPr>
              <w:t>policy</w:t>
            </w:r>
            <w:r>
              <w:rPr>
                <w:sz w:val="16"/>
              </w:rPr>
              <w:t xml:space="preserve"> sul bilancio FY2026 resta in mano a un organo non nominato da ISP e incide sui valori di apertura della PPA</w:t>
            </w:r>
          </w:p>
        </w:tc>
      </w:tr>
      <w:tr>
        <w:tc>
          <w:tcPr>
            <w:tcW w:type="dxa" w:w="2160"/>
          </w:tcPr>
          <w:p>
            <w:pPr>
              <w:spacing w:after="40"/>
            </w:pPr>
            <w:r>
              <w:rPr>
                <w:sz w:val="16"/>
              </w:rPr>
            </w:r>
            <w:r>
              <w:rPr>
                <w:sz w:val="16"/>
              </w:rPr>
              <w:t>10</w:t>
            </w:r>
          </w:p>
        </w:tc>
        <w:tc>
          <w:tcPr>
            <w:tcW w:type="dxa" w:w="2160"/>
          </w:tcPr>
          <w:p>
            <w:pPr>
              <w:spacing w:after="40"/>
            </w:pPr>
            <w:r>
              <w:rPr>
                <w:sz w:val="16"/>
              </w:rPr>
            </w:r>
            <w:r>
              <w:rPr>
                <w:sz w:val="16"/>
              </w:rPr>
              <w:t>Revisori</w:t>
            </w:r>
          </w:p>
        </w:tc>
        <w:tc>
          <w:tcPr>
            <w:tcW w:type="dxa" w:w="2160"/>
          </w:tcPr>
          <w:p>
            <w:pPr>
              <w:spacing w:after="40"/>
            </w:pPr>
            <w:r>
              <w:rPr>
                <w:sz w:val="16"/>
              </w:rPr>
            </w:r>
            <w:r>
              <w:rPr>
                <w:sz w:val="16"/>
              </w:rPr>
              <w:t>Allineamento deciso dal socio unico</w:t>
            </w:r>
          </w:p>
        </w:tc>
        <w:tc>
          <w:tcPr>
            <w:tcW w:type="dxa" w:w="2160"/>
          </w:tcPr>
          <w:p>
            <w:pPr>
              <w:spacing w:after="40"/>
            </w:pPr>
            <w:r>
              <w:rPr>
                <w:sz w:val="16"/>
              </w:rPr>
            </w:r>
            <w:r>
              <w:rPr>
                <w:sz w:val="16"/>
              </w:rPr>
              <w:t>Delibera dell'</w:t>
            </w:r>
            <w:r>
              <w:rPr>
                <w:b/>
                <w:sz w:val="16"/>
              </w:rPr>
              <w:t>assemblea MPS su proposta motivata del Collegio Sindacale</w:t>
            </w:r>
            <w:r>
              <w:rPr>
                <w:sz w:val="16"/>
              </w:rPr>
              <w:t xml:space="preserve"> (art. 13 D.lgs. 39/2010), con le minoranze che votano. Il cambio di controllo è giusta causa di revoca; il nuovo incarico decorre di norma dall'esercizio successivo (precedente Mediobanca: controllo 15 settembre 2025 → delibera 28 ottobre 2025 → PwC dal 2026). Va fatta la gap analysis incrociata sui servizi non-audit (art. 5 Reg. UE 537/2014)</w:t>
            </w:r>
          </w:p>
        </w:tc>
      </w:tr>
      <w:tr>
        <w:tc>
          <w:tcPr>
            <w:tcW w:type="dxa" w:w="2160"/>
          </w:tcPr>
          <w:p>
            <w:pPr>
              <w:spacing w:after="40"/>
            </w:pPr>
            <w:r>
              <w:rPr>
                <w:sz w:val="16"/>
              </w:rPr>
            </w:r>
            <w:r>
              <w:rPr>
                <w:sz w:val="16"/>
              </w:rPr>
              <w:t>11</w:t>
            </w:r>
          </w:p>
        </w:tc>
        <w:tc>
          <w:tcPr>
            <w:tcW w:type="dxa" w:w="2160"/>
          </w:tcPr>
          <w:p>
            <w:pPr>
              <w:spacing w:after="40"/>
            </w:pPr>
            <w:r>
              <w:rPr>
                <w:sz w:val="16"/>
              </w:rPr>
            </w:r>
            <w:r>
              <w:rPr>
                <w:sz w:val="16"/>
              </w:rPr>
              <w:t>Consolidato fiscale e DTA</w:t>
            </w:r>
          </w:p>
        </w:tc>
        <w:tc>
          <w:tcPr>
            <w:tcW w:type="dxa" w:w="2160"/>
          </w:tcPr>
          <w:p>
            <w:pPr>
              <w:spacing w:after="40"/>
            </w:pPr>
            <w:r>
              <w:rPr>
                <w:sz w:val="16"/>
              </w:rPr>
            </w:r>
            <w:r>
              <w:rPr>
                <w:sz w:val="16"/>
              </w:rPr>
              <w:t>Da FY2028 comunque (art. 120, c. 2, TUIR), salvo tecniche di allineamento dell'esercizio</w:t>
            </w:r>
          </w:p>
        </w:tc>
        <w:tc>
          <w:tcPr>
            <w:tcW w:type="dxa" w:w="2160"/>
          </w:tcPr>
          <w:p>
            <w:pPr>
              <w:spacing w:after="40"/>
            </w:pPr>
            <w:r>
              <w:rPr>
                <w:sz w:val="16"/>
              </w:rPr>
            </w:r>
            <w:r>
              <w:rPr>
                <w:sz w:val="16"/>
              </w:rPr>
              <w:t>Idem, ma l'</w:t>
            </w:r>
            <w:r>
              <w:rPr>
                <w:b/>
                <w:sz w:val="16"/>
              </w:rPr>
              <w:t>accordo di consolidamento</w:t>
            </w:r>
            <w:r>
              <w:rPr>
                <w:sz w:val="16"/>
              </w:rPr>
              <w:t xml:space="preserve"> diventa un'OPC e il 25-30% del reddito che alimenta la fiscal unit appartiene economicamente alle minoranze. Limiti al riporto delle perdite in fusione: art. 172, c. 7, TUIR (limite del patrimonio netto da relazione giurata di stima) e test di vitalità; disapplicazione infragruppo ex art. 177-ter TUIR e D.M. 27 giugno 2025 </w:t>
            </w:r>
            <w:r>
              <w:rPr>
                <w:b/>
                <w:sz w:val="16"/>
              </w:rPr>
              <w:t>solo per le perdite maturate dopo l'ingresso nel gruppo</w:t>
            </w:r>
          </w:p>
        </w:tc>
      </w:tr>
      <w:tr>
        <w:tc>
          <w:tcPr>
            <w:tcW w:type="dxa" w:w="2160"/>
          </w:tcPr>
          <w:p>
            <w:pPr>
              <w:spacing w:after="40"/>
            </w:pPr>
            <w:r>
              <w:rPr>
                <w:sz w:val="16"/>
              </w:rPr>
            </w:r>
            <w:r>
              <w:rPr>
                <w:sz w:val="16"/>
              </w:rPr>
              <w:t>12</w:t>
            </w:r>
          </w:p>
        </w:tc>
        <w:tc>
          <w:tcPr>
            <w:tcW w:type="dxa" w:w="2160"/>
          </w:tcPr>
          <w:p>
            <w:pPr>
              <w:spacing w:after="40"/>
            </w:pPr>
            <w:r>
              <w:rPr>
                <w:sz w:val="16"/>
              </w:rPr>
            </w:r>
            <w:r>
              <w:rPr>
                <w:sz w:val="16"/>
              </w:rPr>
              <w:t>MREL / risoluzione</w:t>
            </w:r>
          </w:p>
        </w:tc>
        <w:tc>
          <w:tcPr>
            <w:tcW w:type="dxa" w:w="2160"/>
          </w:tcPr>
          <w:p>
            <w:pPr>
              <w:spacing w:after="40"/>
            </w:pPr>
            <w:r>
              <w:rPr>
                <w:sz w:val="16"/>
              </w:rPr>
            </w:r>
            <w:r>
              <w:rPr>
                <w:sz w:val="16"/>
              </w:rPr>
              <w:t>Semplificazione con la fusione</w:t>
            </w:r>
          </w:p>
        </w:tc>
        <w:tc>
          <w:tcPr>
            <w:tcW w:type="dxa" w:w="2160"/>
          </w:tcPr>
          <w:p>
            <w:pPr>
              <w:spacing w:after="40"/>
            </w:pPr>
            <w:r>
              <w:rPr>
                <w:sz w:val="16"/>
              </w:rPr>
            </w:r>
            <w:r>
              <w:rPr>
                <w:sz w:val="16"/>
              </w:rPr>
              <w:t xml:space="preserve">MPS diventa entità </w:t>
            </w:r>
            <w:r>
              <w:rPr>
                <w:b/>
                <w:sz w:val="16"/>
              </w:rPr>
              <w:t>non</w:t>
            </w:r>
            <w:r>
              <w:rPr>
                <w:sz w:val="16"/>
              </w:rPr>
              <w:t xml:space="preserve"> di risoluzione con </w:t>
            </w:r>
            <w:r>
              <w:rPr>
                <w:b/>
                <w:sz w:val="16"/>
              </w:rPr>
              <w:t>internal MREL</w:t>
            </w:r>
            <w:r>
              <w:rPr>
                <w:sz w:val="16"/>
              </w:rPr>
              <w:t xml:space="preserve"> a livello individuale/sub-consolidato; gli strumenti già collocati sul mercato non sono di norma idonei a soddisfarlo → possibile shortfall da colmare con emissioni intragruppo, garanzie o waiver SRB (stesso Stato membro = condizione favorevole)</w:t>
            </w:r>
          </w:p>
        </w:tc>
      </w:tr>
      <w:tr>
        <w:tc>
          <w:tcPr>
            <w:tcW w:type="dxa" w:w="2160"/>
          </w:tcPr>
          <w:p>
            <w:pPr>
              <w:spacing w:after="40"/>
            </w:pPr>
            <w:r>
              <w:rPr>
                <w:sz w:val="16"/>
              </w:rPr>
            </w:r>
            <w:r>
              <w:rPr>
                <w:sz w:val="16"/>
              </w:rPr>
              <w:t>13</w:t>
            </w:r>
          </w:p>
        </w:tc>
        <w:tc>
          <w:tcPr>
            <w:tcW w:type="dxa" w:w="2160"/>
          </w:tcPr>
          <w:p>
            <w:pPr>
              <w:spacing w:after="40"/>
            </w:pPr>
            <w:r>
              <w:rPr>
                <w:sz w:val="16"/>
              </w:rPr>
            </w:r>
            <w:r>
              <w:rPr>
                <w:sz w:val="16"/>
              </w:rPr>
              <w:t>Dividendi e fungibilità del capitale</w:t>
            </w:r>
          </w:p>
        </w:tc>
        <w:tc>
          <w:tcPr>
            <w:tcW w:type="dxa" w:w="2160"/>
          </w:tcPr>
          <w:p>
            <w:pPr>
              <w:spacing w:after="40"/>
            </w:pPr>
            <w:r>
              <w:rPr>
                <w:sz w:val="16"/>
              </w:rPr>
            </w:r>
            <w:r>
              <w:rPr>
                <w:sz w:val="16"/>
              </w:rPr>
              <w:t>Piena</w:t>
            </w:r>
          </w:p>
        </w:tc>
        <w:tc>
          <w:tcPr>
            <w:tcW w:type="dxa" w:w="2160"/>
          </w:tcPr>
          <w:p>
            <w:pPr>
              <w:spacing w:after="40"/>
            </w:pPr>
            <w:r>
              <w:rPr>
                <w:sz w:val="16"/>
              </w:rPr>
            </w:r>
            <w:r>
              <w:rPr>
                <w:sz w:val="16"/>
              </w:rPr>
              <w:t>Il 25-30% di ogni distribuzione MPS esce dal gruppo; il capitale trattenuto è riconosciuto solo parzialmente nel CET1 consolidato</w:t>
            </w:r>
          </w:p>
        </w:tc>
      </w:tr>
      <w:tr>
        <w:tc>
          <w:tcPr>
            <w:tcW w:type="dxa" w:w="2160"/>
          </w:tcPr>
          <w:p>
            <w:pPr>
              <w:spacing w:after="40"/>
            </w:pPr>
            <w:r>
              <w:rPr>
                <w:sz w:val="16"/>
              </w:rPr>
            </w:r>
            <w:r>
              <w:rPr>
                <w:sz w:val="16"/>
              </w:rPr>
              <w:t>14</w:t>
            </w:r>
          </w:p>
        </w:tc>
        <w:tc>
          <w:tcPr>
            <w:tcW w:type="dxa" w:w="2160"/>
          </w:tcPr>
          <w:p>
            <w:pPr>
              <w:spacing w:after="40"/>
            </w:pPr>
            <w:r>
              <w:rPr>
                <w:sz w:val="16"/>
              </w:rPr>
            </w:r>
            <w:r>
              <w:rPr>
                <w:sz w:val="16"/>
              </w:rPr>
              <w:t>Costi di quotazione e MAR</w:t>
            </w:r>
          </w:p>
        </w:tc>
        <w:tc>
          <w:tcPr>
            <w:tcW w:type="dxa" w:w="2160"/>
          </w:tcPr>
          <w:p>
            <w:pPr>
              <w:spacing w:after="40"/>
            </w:pPr>
            <w:r>
              <w:rPr>
                <w:sz w:val="16"/>
              </w:rPr>
            </w:r>
            <w:r>
              <w:rPr>
                <w:sz w:val="16"/>
              </w:rPr>
              <w:t>Cessano</w:t>
            </w:r>
          </w:p>
        </w:tc>
        <w:tc>
          <w:tcPr>
            <w:tcW w:type="dxa" w:w="2160"/>
          </w:tcPr>
          <w:p>
            <w:pPr>
              <w:spacing w:after="40"/>
            </w:pPr>
            <w:r>
              <w:rPr>
                <w:sz w:val="16"/>
              </w:rPr>
            </w:r>
            <w:r>
              <w:rPr>
                <w:sz w:val="16"/>
              </w:rPr>
              <w:t>Doppio perimetro MAR sugli stessi fatti (progetto di fusione, concambio, autorizzazioni) → protocollo di disclosure congiunta e registri insider coordinati; informativa periodica, 123-bis, 123-ter, contributi; poteri di Borsa Italiana sul flottante insufficiente</w:t>
            </w:r>
          </w:p>
        </w:tc>
      </w:tr>
      <w:tr>
        <w:tc>
          <w:tcPr>
            <w:tcW w:type="dxa" w:w="2160"/>
          </w:tcPr>
          <w:p>
            <w:pPr>
              <w:spacing w:after="40"/>
            </w:pPr>
            <w:r>
              <w:rPr>
                <w:sz w:val="16"/>
              </w:rPr>
            </w:r>
            <w:r>
              <w:rPr>
                <w:sz w:val="16"/>
              </w:rPr>
              <w:t>15</w:t>
            </w:r>
          </w:p>
        </w:tc>
        <w:tc>
          <w:tcPr>
            <w:tcW w:type="dxa" w:w="2160"/>
          </w:tcPr>
          <w:p>
            <w:pPr>
              <w:spacing w:after="40"/>
            </w:pPr>
            <w:r>
              <w:rPr>
                <w:sz w:val="16"/>
              </w:rPr>
            </w:r>
            <w:r>
              <w:rPr>
                <w:sz w:val="16"/>
              </w:rPr>
              <w:t>Contenzioso minoranze</w:t>
            </w:r>
          </w:p>
        </w:tc>
        <w:tc>
          <w:tcPr>
            <w:tcW w:type="dxa" w:w="2160"/>
          </w:tcPr>
          <w:p>
            <w:pPr>
              <w:spacing w:after="40"/>
            </w:pPr>
            <w:r>
              <w:rPr>
                <w:sz w:val="16"/>
              </w:rPr>
            </w:r>
            <w:r>
              <w:rPr>
                <w:sz w:val="16"/>
              </w:rPr>
              <w:t>Assente</w:t>
            </w:r>
          </w:p>
        </w:tc>
        <w:tc>
          <w:tcPr>
            <w:tcW w:type="dxa" w:w="2160"/>
          </w:tcPr>
          <w:p>
            <w:pPr>
              <w:spacing w:after="40"/>
            </w:pPr>
            <w:r>
              <w:rPr>
                <w:sz w:val="16"/>
              </w:rPr>
            </w:r>
            <w:r>
              <w:rPr>
                <w:sz w:val="16"/>
              </w:rPr>
              <w:t>Con minoranze ≥2,5% l'</w:t>
            </w:r>
            <w:r>
              <w:rPr>
                <w:b/>
                <w:sz w:val="16"/>
              </w:rPr>
              <w:t>azione sociale di responsabilità ex art. 2393-bis c.c.</w:t>
            </w:r>
            <w:r>
              <w:rPr>
                <w:sz w:val="16"/>
              </w:rPr>
              <w:t xml:space="preserve"> è attivabile; art. 2373 c.c. (voto determinante del socio in conflitto + danno anche potenziale); art. 2497 c.c. con onere di provare </w:t>
            </w:r>
            <w:r>
              <w:rPr>
                <w:b/>
                <w:sz w:val="16"/>
              </w:rPr>
              <w:t>vantaggi compensativi concreti, certi e quantificabili</w:t>
            </w:r>
            <w:r>
              <w:rPr>
                <w:sz w:val="16"/>
              </w:rPr>
              <w:t xml:space="preserve"> (Cass. 16707/2004), senza necessità di preventiva escussione della eterodiretta (Cass. 29139/2017). Nella scalata a Mediobanca sono arrivati ~45 esposti alla Consob: il primo canale è amministrativo, non giudiziario</w:t>
            </w:r>
          </w:p>
        </w:tc>
      </w:tr>
      <w:tr>
        <w:tc>
          <w:tcPr>
            <w:tcW w:type="dxa" w:w="2160"/>
          </w:tcPr>
          <w:p>
            <w:pPr>
              <w:spacing w:after="40"/>
            </w:pPr>
            <w:r>
              <w:rPr>
                <w:sz w:val="16"/>
              </w:rPr>
            </w:r>
            <w:r>
              <w:rPr>
                <w:sz w:val="16"/>
              </w:rPr>
              <w:t>16</w:t>
            </w:r>
          </w:p>
        </w:tc>
        <w:tc>
          <w:tcPr>
            <w:tcW w:type="dxa" w:w="2160"/>
          </w:tcPr>
          <w:p>
            <w:pPr>
              <w:spacing w:after="40"/>
            </w:pPr>
            <w:r>
              <w:rPr>
                <w:sz w:val="16"/>
              </w:rPr>
            </w:r>
            <w:r>
              <w:rPr>
                <w:sz w:val="16"/>
              </w:rPr>
              <w:t>Sostituzione degli organi</w:t>
            </w:r>
          </w:p>
        </w:tc>
        <w:tc>
          <w:tcPr>
            <w:tcW w:type="dxa" w:w="2160"/>
          </w:tcPr>
          <w:p>
            <w:pPr>
              <w:spacing w:after="40"/>
            </w:pPr>
            <w:r>
              <w:rPr>
                <w:sz w:val="16"/>
              </w:rPr>
            </w:r>
            <w:r>
              <w:rPr>
                <w:sz w:val="16"/>
              </w:rPr>
              <w:t>Con il 100% e MPS delistata, in giorni</w:t>
            </w:r>
          </w:p>
        </w:tc>
        <w:tc>
          <w:tcPr>
            <w:tcW w:type="dxa" w:w="2160"/>
          </w:tcPr>
          <w:p>
            <w:pPr>
              <w:spacing w:after="40"/>
            </w:pPr>
            <w:r>
              <w:rPr>
                <w:sz w:val="16"/>
              </w:rPr>
            </w:r>
            <w:r>
              <w:rPr>
                <w:sz w:val="16"/>
              </w:rPr>
              <w:t>40 giorni di avviso + 25 di deposito liste + 21 di pubblicazione, con esito certo ma composizione non interamente controllata</w:t>
            </w:r>
          </w:p>
        </w:tc>
      </w:tr>
    </w:tbl>
    <w:p/>
    <w:p>
      <w:pPr>
        <w:pStyle w:val="Heading3"/>
      </w:pPr>
      <w:r>
        <w:t>3.5 Approfondimento: il remedy Unipol e il carve-out nei due rami</w:t>
      </w:r>
    </w:p>
    <w:p>
      <w:r>
        <w:t xml:space="preserve">È la dimensione in cui i due nodi si sommano, ed è l'unica in cui il ritardo non è solo un costo interno ma un </w:t>
      </w:r>
      <w:r>
        <w:rPr>
          <w:b/>
        </w:rPr>
        <w:t>rischio di inadempimento verso l'Autorità</w:t>
      </w:r>
      <w:r>
        <w:t>. Va tenuta distinta da tutte le altre.</w:t>
      </w:r>
    </w:p>
    <w:p>
      <w:pPr>
        <w:pStyle w:val="Heading4"/>
      </w:pPr>
      <w:r>
        <w:t>Cosa cambia: non l'impegno di Unipol, ma l'oggetto della compravendita</w:t>
      </w:r>
    </w:p>
    <w:p>
      <w:r>
        <w:t xml:space="preserve">L'impegno di Unipol è subordinato al perfezionamento dell'Offerta, all'adesione di MPS all'Accordo e alle autorizzazioni: </w:t>
      </w:r>
      <w:r>
        <w:rPr>
          <w:b/>
        </w:rPr>
        <w:t>non è condizionato al raggiungimento del 90%</w:t>
      </w:r>
      <w:r>
        <w:t>. Unipol quindi non "esce". Cambia però ciò che si può vendere:</w:t>
      </w:r>
    </w:p>
    <w:p>
      <w:pPr>
        <w:pStyle w:val="ListBullet"/>
      </w:pPr>
      <w:r>
        <w:rPr>
          <w:b/>
        </w:rPr>
        <w:t>Ramo ≥90%</w:t>
      </w:r>
      <w:r>
        <w:t xml:space="preserve">: MPS, delistata e interamente posseduta, conserva il marchio e può essere </w:t>
      </w:r>
      <w:r>
        <w:rPr>
          <w:i/>
        </w:rPr>
        <w:t>essa stessa</w:t>
      </w:r>
      <w:r>
        <w:t xml:space="preserve"> l'"entità giuridica bancaria" il cui intero capitale viene ceduto, come previsto in via principale dall'Accordo. Attenzione a come funziona in concreto: in questo ramo </w:t>
      </w:r>
      <w:r>
        <w:rPr>
          <w:b/>
        </w:rPr>
        <w:t>il carve-out va nella direzione opposta a quella intuitiva</w:t>
      </w:r>
      <w:r>
        <w:t xml:space="preserve">. Non si estrae ciò che si vende, si estrae </w:t>
      </w:r>
      <w:r>
        <w:rPr>
          <w:b/>
        </w:rPr>
        <w:t>ciò che si trattiene</w:t>
      </w:r>
      <w:r>
        <w:t xml:space="preserve"> — le circa 625 filiali che restano a ISP, Mediobanca e il resto del perimetro — lasciando dentro MPS le 635 filiali, le strutture centrali e il marchio; poi si cede il 100% delle azioni MPS. È la struttura più semplice in assoluto perché l'estrazione è un'operazione </w:t>
      </w:r>
      <w:r>
        <w:rPr>
          <w:b/>
        </w:rPr>
        <w:t>interamente infragruppo</w:t>
      </w:r>
      <w:r>
        <w:t xml:space="preserve"> in una società al 100%: nessuna disciplina sulle parti correlate, nessuna minoranza da tutelare, nessun profilo ex art. 2497 c.c. E l'atto finale è la cessione di un pacchetto azionario, non la costruzione di una banca.</w:t>
      </w:r>
    </w:p>
    <w:p>
      <w:pPr>
        <w:pStyle w:val="ListBullet"/>
      </w:pPr>
      <w:r>
        <w:rPr>
          <w:b/>
        </w:rPr>
        <w:t>Ramo sotto-90%</w:t>
      </w:r>
      <w:r>
        <w:t xml:space="preserve">: quella strada è </w:t>
      </w:r>
      <w:r>
        <w:rPr>
          <w:b/>
        </w:rPr>
        <w:t>preclusa</w:t>
      </w:r>
      <w:r>
        <w:t xml:space="preserve">, per due ragioni indipendenti. (i) L'"intero capitale" di MPS non è nella disponibilità di ISP finché esistono minoranze. (ii) Anche volendo cedere il solo pacchetto ISP, Unipol supererebbe il 30% di un emittente quotato e sarebbe tenuta a </w:t>
      </w:r>
      <w:r>
        <w:rPr>
          <w:b/>
        </w:rPr>
        <w:t>un'OPA obbligatoria</w:t>
      </w:r>
      <w:r>
        <w:t xml:space="preserve"> ex art. 106, c. 1, TUF sulle azioni MPS residue: un esito che nessuna delle due parti vuole e che trasformerebbe il remedy in un'operazione cash di dimensioni non previste. Si ricade quindi sulla struttura alternativa già contemplata dall'Accordo ("</w:t>
      </w:r>
      <w:r>
        <w:rPr>
          <w:i/>
        </w:rPr>
        <w:t>eventualmente</w:t>
      </w:r>
      <w:r>
        <w:t xml:space="preserve"> identificata nello stesso Emittente"): </w:t>
      </w:r>
      <w:r>
        <w:rPr>
          <w:b/>
        </w:rPr>
        <w:t>una newco bancaria</w:t>
      </w:r>
      <w:r>
        <w:t xml:space="preserve"> in cui conferire le 635 filiali e le strutture centrali, con il marchio, e di cui cedere il 100%.</w:t>
      </w:r>
    </w:p>
    <w:p>
      <w:pPr>
        <w:pStyle w:val="Heading4"/>
      </w:pPr>
      <w:r>
        <w:t>Quanto costa, in tempo, la struttura newco</w:t>
      </w:r>
    </w:p>
    <w:p>
      <w:r>
        <w:t xml:space="preserve">La newco </w:t>
      </w:r>
      <w:r>
        <w:rPr>
          <w:b/>
        </w:rPr>
        <w:t>non deve attendere la fusione</w:t>
      </w:r>
      <w:r>
        <w:t>: può essere costituita e alimentata mentre MPS è ancora quotata, purché il CdA MPS deliberi. Il ritardo è quindi di mesi, non di un anno — a condizione che la governance collabori. Gli anelli della catena:</w:t>
      </w:r>
    </w:p>
    <w:p>
      <w:pPr>
        <w:pStyle w:val="ListNumber"/>
      </w:pPr>
      <w:r>
        <w:rPr>
          <w:b/>
        </w:rPr>
        <w:t>Delibera di adesione di MPS all'Accordo Unipol</w:t>
      </w:r>
      <w:r>
        <w:t xml:space="preserve"> (necessaria in ogni scenario).</w:t>
      </w:r>
    </w:p>
    <w:p>
      <w:pPr>
        <w:pStyle w:val="ListNumber"/>
      </w:pPr>
      <w:r>
        <w:rPr>
          <w:b/>
        </w:rPr>
        <w:t>Autorizzazione all'attività bancaria per il veicolo</w:t>
      </w:r>
      <w:r>
        <w:t xml:space="preserve"> (art. 14 TUB, istruttoria BCE): iter per sua natura pluri-mensile. </w:t>
      </w:r>
      <w:r>
        <w:rPr>
          <w:i/>
        </w:rPr>
        <w:t>Da verificare se Unipol possa apportare un veicolo già autorizzato: dopo la cessione di Unipol Banca a BPER nel 2019 il gruppo non dispone di una banca controllata, e BPER è partecipata al ~30% ma non controllata.</w:t>
      </w:r>
    </w:p>
    <w:p>
      <w:pPr>
        <w:pStyle w:val="ListNumber"/>
      </w:pPr>
      <w:r>
        <w:rPr>
          <w:b/>
        </w:rPr>
        <w:t>Conferimento o cessione del compendio</w:t>
      </w:r>
      <w:r>
        <w:t xml:space="preserve"> con lo strumento dell'art. 58 TUB (cessione di aziende, rami d'azienda e rapporti giuridici individuabili in blocco, con pubblicità collettiva verso creditori e debitori): è il binario che rende gestibile il trasferimento di 635 filiali. In alternativa la scissione, che però richiede l'assemblea straordinaria e i due terzi.</w:t>
      </w:r>
    </w:p>
    <w:p>
      <w:pPr>
        <w:pStyle w:val="ListNumber"/>
      </w:pPr>
      <w:r>
        <w:rPr>
          <w:b/>
        </w:rPr>
        <w:t>Consultazioni sindacali ex art. 47 L. 428/1990</w:t>
      </w:r>
      <w:r>
        <w:t xml:space="preserve"> su un perimetro di 635 filiali e delle strutture centrali: è il passaggio più sottovalutato in termini di calendario.</w:t>
      </w:r>
    </w:p>
    <w:p>
      <w:pPr>
        <w:pStyle w:val="ListNumber"/>
      </w:pPr>
      <w:r>
        <w:rPr>
          <w:b/>
        </w:rPr>
        <w:t>Carve-out IT, migrazione e separazione operativa</w:t>
      </w:r>
      <w:r>
        <w:t>, necessari perché il veicolo possa "operare come banca in modo indipendente" secondo la lettera dell'Accordo.</w:t>
      </w:r>
    </w:p>
    <w:p>
      <w:r>
        <w:t xml:space="preserve">Da notare, per non sovrastimare il delta: i punti 3, 4 e 5 esistono </w:t>
      </w:r>
      <w:r>
        <w:rPr>
          <w:b/>
        </w:rPr>
        <w:t>in entrambi i rami</w:t>
      </w:r>
      <w:r>
        <w:t xml:space="preserve">, perché anche nel ramo ≥90% bisogna estrarre da MPS le circa 625 filiali trattenute, con lo stesso art. 58 TUB e le stesse consultazioni sindacali. Il costo incrementale specifico del ramo sotto-90% è quindi concentrato in tre voci: </w:t>
      </w:r>
      <w:r>
        <w:rPr>
          <w:b/>
        </w:rPr>
        <w:t>l'autorizzazione bancaria del veicolo</w:t>
      </w:r>
      <w:r>
        <w:t xml:space="preserve">, il fatto di dover eseguire l'operazione </w:t>
      </w:r>
      <w:r>
        <w:rPr>
          <w:b/>
        </w:rPr>
        <w:t>dentro una società quotata con minoranze</w:t>
      </w:r>
      <w:r>
        <w:t xml:space="preserve"> (con quanto ne segue sul prezzo, v. oltre) e </w:t>
      </w:r>
      <w:r>
        <w:rPr>
          <w:b/>
        </w:rPr>
        <w:t>l'impossibilità di chiudere con una semplice cessione di azioni</w:t>
      </w:r>
      <w:r>
        <w:t>, che obbliga a rinegoziare con Unipol l'oggetto del contratto.</w:t>
      </w:r>
    </w:p>
    <w:p>
      <w:pPr>
        <w:pStyle w:val="Heading4"/>
      </w:pPr>
      <w:r>
        <w:t>Il vincolo che governa tutto: la scadenza degli impegni antitrust</w:t>
      </w:r>
    </w:p>
    <w:p>
      <w:r>
        <w:t xml:space="preserve">Il calendario non lo decidono ISP e Unipol, lo decide la decisione dell'AGCM. </w:t>
      </w:r>
      <w:r>
        <w:rPr>
          <w:b/>
        </w:rPr>
        <w:t>L'istruttoria approfondita è stata avviata il 14 settembre 2026</w:t>
      </w:r>
      <w:r>
        <w:t xml:space="preserve">, quindi il pacchetto di rimedi e i relativi termini si stanno negoziando adesso. Nella prassi dei remedy la cessione ha una </w:t>
      </w:r>
      <w:r>
        <w:rPr>
          <w:b/>
        </w:rPr>
        <w:t>scadenza vincolante</w:t>
      </w:r>
      <w:r>
        <w:t xml:space="preserve"> e, in caso di sforamento, l'intervento di un </w:t>
      </w:r>
      <w:r>
        <w:rPr>
          <w:i/>
        </w:rPr>
        <w:t>divestiture trustee</w:t>
      </w:r>
      <w:r>
        <w:t xml:space="preserve"> che vende senza vincolo di prezzo minimo.</w:t>
      </w:r>
    </w:p>
    <w:p>
      <w:pPr>
        <w:pStyle w:val="IntenseQuote"/>
      </w:pPr>
      <w:r>
        <w:rPr>
          <w:b/>
        </w:rPr>
        <w:t>Raccomandazione</w:t>
      </w:r>
      <w:r>
        <w:t xml:space="preserve">: la tempistica da negoziare con l'AGCM va costruita sullo scenario </w:t>
      </w:r>
      <w:r>
        <w:rPr>
          <w:b/>
        </w:rPr>
        <w:t>newco</w:t>
      </w:r>
      <w:r>
        <w:t xml:space="preserve">, non su quello della cessione del pacchetto MPS, perché il sotto-90% è il ramo probabile (par. 3.1). Assumere termini calibrati sulla struttura semplice significa accettare oggi un rischio di inadempimento, o una vendita tramite trustee a condizioni peggiori, per un evento la cui probabilità non dipende da ISP. Da segnalare che ISP ha rappresentato all'Autorità che </w:t>
      </w:r>
      <w:r>
        <w:rPr>
          <w:b/>
        </w:rPr>
        <w:t>445 delle 635 filiali sono già identificate in via definitiva</w:t>
      </w:r>
      <w:r>
        <w:t xml:space="preserve"> e le restanti </w:t>
      </w:r>
      <w:r>
        <w:rPr>
          <w:b/>
        </w:rPr>
        <w:t>190 solo in via preliminare</w:t>
      </w:r>
      <w:r>
        <w:t>: è su queste ultime che si concentrerà il negoziato, ed è l'occasione per allineare perimetro e termini.</w:t>
      </w:r>
    </w:p>
    <w:p>
      <w:pPr>
        <w:pStyle w:val="Heading4"/>
      </w:pPr>
      <w:r>
        <w:t>Il rischio specifico sul prezzo, nel ramo sotto-90%</w:t>
      </w:r>
    </w:p>
    <w:p>
      <w:r>
        <w:t xml:space="preserve">Se il venditore è MPS (struttura preferibile: la cessione a Unipol è verso un terzo e quindi </w:t>
      </w:r>
      <w:r>
        <w:rPr>
          <w:b/>
        </w:rPr>
        <w:t>non</w:t>
      </w:r>
      <w:r>
        <w:t xml:space="preserve"> è un'operazione con parti correlate, mentre farebbe passare ISP come venditore intermedio la trasformerebbe in un'OPC di maggiore rilevanza), allora MPS incassa i €3-3,5 miliardi e </w:t>
      </w:r>
      <w:r>
        <w:rPr>
          <w:b/>
        </w:rPr>
        <w:t>il 25-30% di quel valore appartiene economicamente alle minoranze</w:t>
      </w:r>
      <w:r>
        <w:t>. Due conseguenze:</w:t>
      </w:r>
    </w:p>
    <w:p>
      <w:pPr>
        <w:pStyle w:val="ListBullet"/>
      </w:pPr>
      <w:r>
        <w:t xml:space="preserve">il </w:t>
      </w:r>
      <w:r>
        <w:rPr>
          <w:b/>
        </w:rPr>
        <w:t>CdA MPS ha già messo a verbale pubblicamente</w:t>
      </w:r>
      <w:r>
        <w:t>, nel comunicato del 16 luglio 2026, che la valorizzazione della rete ceduta è inferiore ai multipli medi osservati per le banche italiane e che la disaggregazione degli sportelli indebolirebbe il marchio. In un MPS quotato quella posizione, ripresa da consiglieri di lista di minoranza e da un comitato che chiederà una fairness opinion, è una carta documentale già scritta contro l'operazione;</w:t>
      </w:r>
    </w:p>
    <w:p>
      <w:pPr>
        <w:pStyle w:val="ListBullet"/>
      </w:pPr>
      <w:r>
        <w:t xml:space="preserve">non è un veto — in consiglio decide la maggioranza — ma è </w:t>
      </w:r>
      <w:r>
        <w:rPr>
          <w:b/>
        </w:rPr>
        <w:t>materiale per un'azione ex art. 2497 c.c. o ex art. 2393-bis c.c.</w:t>
      </w:r>
      <w:r>
        <w:t xml:space="preserve"> (soglia del 2,5%, banalmente raggiungibile con minoranze a doppia cifra), in cui l'onere di provare vantaggi compensativi concreti, certi e quantificabili ricade su ISP. Presidio: processo competitivo documentato o, in mancanza, fairness opinion indipendente e motivazione analitica ex art. 2497-ter c.c.</w:t>
      </w:r>
    </w:p>
    <w:p>
      <w:pPr>
        <w:pStyle w:val="Heading4"/>
      </w:pPr>
      <w:r>
        <w:t>Opzione alternativa da valutare</w:t>
      </w:r>
    </w:p>
    <w:p>
      <w:r>
        <w:t xml:space="preserve">Cedere il compendio </w:t>
      </w:r>
      <w:r>
        <w:rPr>
          <w:b/>
        </w:rPr>
        <w:t>direttamente in un veicolo bancario già esistente della controparte</w:t>
      </w:r>
      <w:r>
        <w:t xml:space="preserve"> — nella logica dell'operazione, BPER, dove Unipol è poco sotto il 30% e dove la banca acquisita è comunque destinata ad approdare — eviterebbe di costruire e autorizzare una banca standalone. Il vincolo è di natura antitrust, non societaria: l'Autorità valuta l'</w:t>
      </w:r>
      <w:r>
        <w:rPr>
          <w:b/>
        </w:rPr>
        <w:t>idoneità dell'acquirente a ripristinare la concorrenza</w:t>
      </w:r>
      <w:r>
        <w:t xml:space="preserve"> nei mercati locali interessati, e trasferire filiali a un operatore già presente e forte negli stessi bacini può non rimediare la concentrazione. È probabilmente la ragione per cui la struttura prevede una banca autonoma operante sotto il marchio MPS. Da esplorare con i consulenti antitrust prima di irrigidire il perimetro.</w:t>
      </w:r>
    </w:p>
    <w:p>
      <w:pPr>
        <w:pStyle w:val="Heading4"/>
      </w:pPr>
      <w:r>
        <w:t>E la voce "finalizzazione carve-out entro aprile-maggio"?</w:t>
      </w:r>
    </w:p>
    <w:p>
      <w:r>
        <w:t xml:space="preserve">Va letta separatamente dalla cessione. Quella milestone riguarda </w:t>
      </w:r>
      <w:r>
        <w:rPr>
          <w:b/>
        </w:rPr>
        <w:t>le analisi e la mappatura del perimetro</w:t>
      </w:r>
      <w:r>
        <w:t xml:space="preserve">, e non dipende dal nodo A: dipende dall'accesso ai dati e alla collaborazione delle strutture MPS, cioè </w:t>
      </w:r>
      <w:r>
        <w:rPr>
          <w:b/>
        </w:rPr>
        <w:t>dal nodo B</w:t>
      </w:r>
      <w:r>
        <w:t xml:space="preserve">. È il motivo per cui l'art. 61, c. 4, TUB (par. 6) è il presidio più rilevante anche su questo capitolo. Conseguenza contabile: se al primo consolidato (31 marzo 2027) il veicolo non esiste e il perimetro non è definito, la classificazione </w:t>
      </w:r>
      <w:r>
        <w:rPr>
          <w:b/>
        </w:rPr>
        <w:t>IFRS 5</w:t>
      </w:r>
      <w:r>
        <w:t xml:space="preserve"> del compendio difficilmente è sostenibile — manca la disponibilità per la vendita immediata nelle condizioni attuali — e il carve-out resta gestibile solo in </w:t>
      </w:r>
      <w:r>
        <w:rPr>
          <w:i/>
        </w:rPr>
        <w:t>disclosure</w:t>
      </w:r>
      <w:r>
        <w:t xml:space="preserve">. L'eccezione al termine dei dodici mesi prevista da IFRS 5.9 e B1(a) copre i ritardi imposti da </w:t>
      </w:r>
      <w:r>
        <w:rPr>
          <w:b/>
        </w:rPr>
        <w:t>terzi</w:t>
      </w:r>
      <w:r>
        <w:t xml:space="preserve"> (tipicamente le autorizzazioni), non quelli riconducibili al venditore.</w:t>
      </w:r>
    </w:p>
    <w:p>
      <w:r>
        <w:br w:type="page"/>
      </w:r>
    </w:p>
    <w:p>
      <w:pPr>
        <w:pStyle w:val="Heading2"/>
      </w:pPr>
      <w:r>
        <w:t>4. NODO B — Il CdA MPS non si dimette</w:t>
      </w:r>
    </w:p>
    <w:p>
      <w:pPr>
        <w:pStyle w:val="Heading3"/>
      </w:pPr>
      <w:r>
        <w:t>4.1 Il punto di partenza: chi c'è in consiglio</w:t>
      </w:r>
    </w:p>
    <w:p>
      <w:r>
        <w:t xml:space="preserve">CdA nominato dall'assemblea del </w:t>
      </w:r>
      <w:r>
        <w:rPr>
          <w:b/>
        </w:rPr>
        <w:t>15 aprile 2026</w:t>
      </w:r>
      <w:r>
        <w:t xml:space="preserve"> per gli esercizi </w:t>
      </w:r>
      <w:r>
        <w:rPr>
          <w:b/>
        </w:rPr>
        <w:t>2026-2027-2028</w:t>
      </w:r>
      <w:r>
        <w:t xml:space="preserve"> (scadenza: assemblea di approvazione del bilancio 2028, primavera 2029), </w:t>
      </w:r>
      <w:r>
        <w:rPr>
          <w:b/>
        </w:rPr>
        <w:t>15 componenti</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Lista</w:t>
            </w:r>
          </w:p>
        </w:tc>
        <w:tc>
          <w:tcPr>
            <w:tcW w:type="dxa" w:w="2880"/>
          </w:tcPr>
          <w:p>
            <w:pPr>
              <w:spacing w:after="40"/>
            </w:pPr>
            <w:r>
              <w:rPr>
                <w:b/>
                <w:sz w:val="16"/>
              </w:rPr>
            </w:r>
            <w:r>
              <w:rPr>
                <w:b/>
                <w:sz w:val="16"/>
              </w:rPr>
              <w:t>Voti</w:t>
            </w:r>
          </w:p>
        </w:tc>
        <w:tc>
          <w:tcPr>
            <w:tcW w:type="dxa" w:w="2880"/>
          </w:tcPr>
          <w:p>
            <w:pPr>
              <w:spacing w:after="40"/>
            </w:pPr>
            <w:r>
              <w:rPr>
                <w:b/>
                <w:sz w:val="16"/>
              </w:rPr>
            </w:r>
            <w:r>
              <w:rPr>
                <w:b/>
                <w:sz w:val="16"/>
              </w:rPr>
              <w:t>Seggi</w:t>
            </w:r>
          </w:p>
        </w:tc>
      </w:tr>
      <w:tr>
        <w:tc>
          <w:tcPr>
            <w:tcW w:type="dxa" w:w="2880"/>
          </w:tcPr>
          <w:p>
            <w:pPr>
              <w:spacing w:after="40"/>
            </w:pPr>
            <w:r>
              <w:rPr>
                <w:sz w:val="16"/>
              </w:rPr>
            </w:r>
            <w:r>
              <w:rPr>
                <w:sz w:val="16"/>
              </w:rPr>
              <w:t>PLT Holding / PLT S.p.A. (1,03% del capitale)</w:t>
            </w:r>
          </w:p>
        </w:tc>
        <w:tc>
          <w:tcPr>
            <w:tcW w:type="dxa" w:w="2880"/>
          </w:tcPr>
          <w:p>
            <w:pPr>
              <w:spacing w:after="40"/>
            </w:pPr>
            <w:r>
              <w:rPr>
                <w:sz w:val="16"/>
              </w:rPr>
            </w:r>
            <w:r>
              <w:rPr>
                <w:sz w:val="16"/>
              </w:rPr>
              <w:t>49,95%</w:t>
            </w:r>
          </w:p>
        </w:tc>
        <w:tc>
          <w:tcPr>
            <w:tcW w:type="dxa" w:w="2880"/>
          </w:tcPr>
          <w:p>
            <w:pPr>
              <w:spacing w:after="40"/>
            </w:pPr>
            <w:r>
              <w:rPr>
                <w:sz w:val="16"/>
              </w:rPr>
            </w:r>
            <w:r>
              <w:rPr>
                <w:b/>
                <w:sz w:val="16"/>
              </w:rPr>
              <w:t>8</w:t>
            </w:r>
            <w:r>
              <w:rPr>
                <w:sz w:val="16"/>
              </w:rPr>
              <w:t xml:space="preserve"> — fra cui Cesare Bisoni (poi presidente) e Luigi Lovaglio (poi AD e DG)</w:t>
            </w:r>
          </w:p>
        </w:tc>
      </w:tr>
      <w:tr>
        <w:tc>
          <w:tcPr>
            <w:tcW w:type="dxa" w:w="2880"/>
          </w:tcPr>
          <w:p>
            <w:pPr>
              <w:spacing w:after="40"/>
            </w:pPr>
            <w:r>
              <w:rPr>
                <w:sz w:val="16"/>
              </w:rPr>
            </w:r>
            <w:r>
              <w:rPr>
                <w:sz w:val="16"/>
              </w:rPr>
              <w:t>Lista del CdA uscente (art. 147-ter.1 TUF)</w:t>
            </w:r>
          </w:p>
        </w:tc>
        <w:tc>
          <w:tcPr>
            <w:tcW w:type="dxa" w:w="2880"/>
          </w:tcPr>
          <w:p>
            <w:pPr>
              <w:spacing w:after="40"/>
            </w:pPr>
            <w:r>
              <w:rPr>
                <w:sz w:val="16"/>
              </w:rPr>
            </w:r>
            <w:r>
              <w:rPr>
                <w:sz w:val="16"/>
              </w:rPr>
              <w:t>38,80%</w:t>
            </w:r>
          </w:p>
        </w:tc>
        <w:tc>
          <w:tcPr>
            <w:tcW w:type="dxa" w:w="2880"/>
          </w:tcPr>
          <w:p>
            <w:pPr>
              <w:spacing w:after="40"/>
            </w:pPr>
            <w:r>
              <w:rPr>
                <w:sz w:val="16"/>
              </w:rPr>
            </w:r>
            <w:r>
              <w:rPr>
                <w:sz w:val="16"/>
              </w:rPr>
              <w:t>6</w:t>
            </w:r>
          </w:p>
        </w:tc>
      </w:tr>
      <w:tr>
        <w:tc>
          <w:tcPr>
            <w:tcW w:type="dxa" w:w="2880"/>
          </w:tcPr>
          <w:p>
            <w:pPr>
              <w:spacing w:after="40"/>
            </w:pPr>
            <w:r>
              <w:rPr>
                <w:sz w:val="16"/>
              </w:rPr>
            </w:r>
            <w:r>
              <w:rPr>
                <w:sz w:val="16"/>
              </w:rPr>
              <w:t>Assogestioni (0,78%)</w:t>
            </w:r>
          </w:p>
        </w:tc>
        <w:tc>
          <w:tcPr>
            <w:tcW w:type="dxa" w:w="2880"/>
          </w:tcPr>
          <w:p>
            <w:pPr>
              <w:spacing w:after="40"/>
            </w:pPr>
            <w:r>
              <w:rPr>
                <w:sz w:val="16"/>
              </w:rPr>
            </w:r>
            <w:r>
              <w:rPr>
                <w:sz w:val="16"/>
              </w:rPr>
              <w:t>6,94%</w:t>
            </w:r>
          </w:p>
        </w:tc>
        <w:tc>
          <w:tcPr>
            <w:tcW w:type="dxa" w:w="2880"/>
          </w:tcPr>
          <w:p>
            <w:pPr>
              <w:spacing w:after="40"/>
            </w:pPr>
            <w:r>
              <w:rPr>
                <w:sz w:val="16"/>
              </w:rPr>
            </w:r>
            <w:r>
              <w:rPr>
                <w:sz w:val="16"/>
              </w:rPr>
              <w:t>1</w:t>
            </w:r>
          </w:p>
        </w:tc>
      </w:tr>
    </w:tbl>
    <w:p/>
    <w:p>
      <w:r>
        <w:t xml:space="preserve">Presidente </w:t>
      </w:r>
      <w:r>
        <w:rPr>
          <w:b/>
        </w:rPr>
        <w:t>Cesare Bisoni</w:t>
      </w:r>
      <w:r>
        <w:t xml:space="preserve">, vicepresidenti Mazzarella e Corradini, AD e DG </w:t>
      </w:r>
      <w:r>
        <w:rPr>
          <w:b/>
        </w:rPr>
        <w:t>Luigi Lovaglio</w:t>
      </w:r>
      <w:r>
        <w:t xml:space="preserve">: tutte nomine approvate con </w:t>
      </w:r>
      <w:r>
        <w:rPr>
          <w:b/>
        </w:rPr>
        <w:t>8 voti su 15</w:t>
      </w:r>
      <w:r>
        <w:t xml:space="preserve">, con 5 contrari e 2 astenuti. Il 25 marzo 2026 il consiglio </w:t>
      </w:r>
      <w:r>
        <w:rPr>
          <w:i/>
        </w:rPr>
        <w:t>precedente</w:t>
      </w:r>
      <w:r>
        <w:t xml:space="preserve"> aveva revocato le deleghe a Lovaglio; il 20 agosto 2026 la delibera sulle due OPS difensive è passata </w:t>
      </w:r>
      <w:r>
        <w:rPr>
          <w:b/>
        </w:rPr>
        <w:t>a maggioranza e non all'unanimità</w:t>
      </w:r>
      <w:r>
        <w:t>. A inizio settembre 2026 sono stati cooptati Gianluca Brancadoro e Alessandro Caltagirone in sostituzione di Palermo e Vivaldi, attingendo ai primi non eletti della lista di minoranza come prescritto dall'art. 15, c. 10, lett. b), dello statuto.</w:t>
      </w:r>
    </w:p>
    <w:p>
      <w:pPr>
        <w:pStyle w:val="IntenseQuote"/>
      </w:pPr>
      <w:r>
        <w:rPr>
          <w:b/>
        </w:rPr>
        <w:t>Lettura operativa</w:t>
      </w:r>
      <w:r>
        <w:t xml:space="preserve">: il consiglio è strutturalmente </w:t>
      </w:r>
      <w:r>
        <w:rPr>
          <w:b/>
        </w:rPr>
        <w:t>spaccato</w:t>
      </w:r>
      <w:r>
        <w:t xml:space="preserve">, e questo ha due implicazioni di segno opposto che vanno tenute insieme. Da un lato, un rifiuto compatto e prolungato di dimettersi è meno probabile che in un board omogeneo, e — come si vede al par. 4.2 — </w:t>
      </w:r>
      <w:r>
        <w:rPr>
          <w:b/>
        </w:rPr>
        <w:t>non servono 15 dimissioni, ne bastano 8</w:t>
      </w:r>
      <w:r>
        <w:t xml:space="preserve">. Dall'altro, </w:t>
      </w:r>
      <w:r>
        <w:rPr>
          <w:b/>
        </w:rPr>
        <w:t>non si può assumere che quelle 8 siano disponibili</w:t>
      </w:r>
      <w:r>
        <w:t>: le linee di frattura del consiglio non coincidono con la linea pro/contro l'Offerta, alcuni consiglieri della lista che ha vinto ad aprile si sono poi collocati fra i contrari all'operazione, e le cooptazioni di inizio settembre hanno spostato ulteriormente gli equilibri. Il conteggio va rifatto nominativamente e aggiornato, non dedotto dall'appartenenza alle liste dell'aprile 2026.</w:t>
      </w:r>
    </w:p>
    <w:p>
      <w:pPr>
        <w:pStyle w:val="Heading3"/>
      </w:pPr>
      <w:r>
        <w:t>4.2 La clausola statutaria che governa tutto: art. 15, c. 10</w:t>
      </w:r>
    </w:p>
    <w:p>
      <w:pPr>
        <w:pStyle w:val="IntenseQuote"/>
      </w:pPr>
      <w:r>
        <w:t xml:space="preserve">"Qualora venga a cessare la maggioranza degli amministratori, deve intendersi dimissionario l'intero Consiglio di Amministrazione con effetto dal momento della sua ricostituzione. Gli Amministratori possono essere revocati dall'Assemblea in qualunque momento, salvo il diritto dell'amministratore al risarcimento dei danni, se la revoca avviene senza giusta causa." </w:t>
      </w:r>
      <w:r>
        <w:rPr>
          <w:i/>
        </w:rPr>
        <w:t xml:space="preserve">(testo come risultante dalle modifiche dell'assemblea straordinaria del 4 febbraio 2026, autorizzate dalla BCE il 4 marzo 2026 e iscritte il 5 marzo 2026 — </w:t>
      </w:r>
      <w:r>
        <w:rPr>
          <w:i/>
        </w:rPr>
        <w:t>da riconciliare sul testo statutario consolidato</w:t>
      </w:r>
      <w:r>
        <w:rPr>
          <w:i/>
        </w:rPr>
        <w:t>)</w:t>
      </w:r>
    </w:p>
    <w:p>
      <w:r>
        <w:t xml:space="preserve">È una </w:t>
      </w:r>
      <w:r>
        <w:rPr>
          <w:i/>
        </w:rPr>
        <w:t>simul stabunt simul cadent</w:t>
      </w:r>
      <w:r>
        <w:t xml:space="preserve"> </w:t>
      </w:r>
      <w:r>
        <w:rPr>
          <w:b/>
        </w:rPr>
        <w:t>attenuata e a effetto differito</w:t>
      </w:r>
      <w:r>
        <w:t>. Conseguenze:</w:t>
      </w:r>
    </w:p>
    <w:p>
      <w:pPr>
        <w:pStyle w:val="ListBullet"/>
      </w:pPr>
      <w:r>
        <w:rPr>
          <w:b/>
        </w:rPr>
        <w:t>Presupposto</w:t>
      </w:r>
      <w:r>
        <w:t xml:space="preserve">: cessazione di </w:t>
      </w:r>
      <w:r>
        <w:rPr>
          <w:b/>
        </w:rPr>
        <w:t>8 amministratori su 15</w:t>
      </w:r>
      <w:r>
        <w:t>, per qualunque causa (dimissioni, revoca, decadenza).</w:t>
      </w:r>
    </w:p>
    <w:p>
      <w:pPr>
        <w:pStyle w:val="ListBullet"/>
      </w:pPr>
      <w:r>
        <w:rPr>
          <w:b/>
        </w:rPr>
        <w:t>Effetto</w:t>
      </w:r>
      <w:r>
        <w:t xml:space="preserve">: l'intero consiglio è dimissionario </w:t>
      </w:r>
      <w:r>
        <w:rPr>
          <w:b/>
        </w:rPr>
        <w:t>con effetto dalla ricostituzione</w:t>
      </w:r>
      <w:r>
        <w:t xml:space="preserve"> → nessun vuoto gestorio, ma nessuna scorciatoia.</w:t>
      </w:r>
    </w:p>
    <w:p>
      <w:pPr>
        <w:pStyle w:val="ListBullet"/>
      </w:pPr>
      <w:r>
        <w:rPr>
          <w:b/>
        </w:rPr>
        <w:t>Conseguenza procedurale</w:t>
      </w:r>
      <w:r>
        <w:t xml:space="preserve">: si applica l'art. 2386, c. 4, c.c. — l'assemblea per la nomina del </w:t>
      </w:r>
      <w:r>
        <w:rPr>
          <w:b/>
        </w:rPr>
        <w:t>nuovo consiglio</w:t>
      </w:r>
      <w:r>
        <w:t xml:space="preserve"> (integrale) è </w:t>
      </w:r>
      <w:r>
        <w:rPr>
          <w:b/>
        </w:rPr>
        <w:t>convocata d'urgenza dagli amministratori rimasti in carica</w:t>
      </w:r>
      <w:r>
        <w:t>. Lo statuto MPS non esercita l'opzione di rimettere la convocazione al Collegio Sindacale.</w:t>
      </w:r>
    </w:p>
    <w:p>
      <w:pPr>
        <w:pStyle w:val="ListBullet"/>
      </w:pPr>
      <w:r>
        <w:rPr>
          <w:b/>
        </w:rPr>
        <w:t>Conseguenza sostanziale</w:t>
      </w:r>
      <w:r>
        <w:t xml:space="preserve">: rinnovo </w:t>
      </w:r>
      <w:r>
        <w:rPr>
          <w:b/>
        </w:rPr>
        <w:t>integrale</w:t>
      </w:r>
      <w:r>
        <w:t xml:space="preserve"> con </w:t>
      </w:r>
      <w:r>
        <w:rPr>
          <w:b/>
        </w:rPr>
        <w:t>voto di lista</w:t>
      </w:r>
      <w:r>
        <w:t xml:space="preserve"> e termini pieni (40 / 25 / 21 giorni). </w:t>
      </w:r>
      <w:r>
        <w:rPr>
          <w:b/>
        </w:rPr>
        <w:t>Non esiste la via "revoco 8 e nomino 8 a maggioranza semplice"</w:t>
      </w:r>
      <w:r>
        <w:t xml:space="preserve">: la clausola trasforma qualunque rimozione di massa in un rinnovo integrale. Il punto è stato deciso nel precedente TIM (Trib. Milano, 23 aprile 2018, che ha sospeso la delibera del Collegio Sindacale di integrazione dell'o.d.g. dell'assemblea di bilancio) e argomentato nel parere Marchetti: </w:t>
      </w:r>
      <w:r>
        <w:rPr>
          <w:i/>
        </w:rPr>
        <w:t>"la ricostituzione dell'intero Consiglio cessato deve avvenire in un unico contesto in modo da rendere pienamente applicabile la regola (e questa davvero non può essere derogata) sul voto di lista"</w:t>
      </w:r>
      <w:r>
        <w:t>.</w:t>
      </w:r>
    </w:p>
    <w:p>
      <w:pPr>
        <w:pStyle w:val="ListBullet"/>
      </w:pPr>
      <w:r>
        <w:rPr>
          <w:b/>
        </w:rPr>
        <w:t>Ma la clausola vincola anche il consiglio ostile</w:t>
      </w:r>
      <w:r>
        <w:t xml:space="preserve">: ottenute 8 cessazioni, i 7 superstiti hanno un </w:t>
      </w:r>
      <w:r>
        <w:rPr>
          <w:b/>
        </w:rPr>
        <w:t>obbligo di legge</w:t>
      </w:r>
      <w:r>
        <w:t xml:space="preserve"> di convocare d'urgenza. La sua violazione integra "omissione o ingiustificato ritardo" ex art. 2406, c. 1, c.c. e fa scattare il dovere del Collegio Sindacale. </w:t>
      </w:r>
      <w:r>
        <w:rPr>
          <w:b/>
        </w:rPr>
        <w:t>La strategia negoziale va quindi calibrata su 8 dimissioni, non su 15.</w:t>
      </w:r>
    </w:p>
    <w:p>
      <w:pPr>
        <w:pStyle w:val="Heading3"/>
      </w:pPr>
      <w:r>
        <w:t>4.3 Il rischio più serio non è il ritardo: è che il consiglio conservi poteri pieni</w:t>
      </w:r>
    </w:p>
    <w:p>
      <w:pPr>
        <w:pStyle w:val="IntenseQuote"/>
      </w:pPr>
      <w:r>
        <w:rPr>
          <w:b/>
        </w:rPr>
        <w:t>Cass. civ., Sez. I, 4 giugno 2003, n. 8912</w:t>
      </w:r>
      <w:r>
        <w:t xml:space="preserve"> — "il secondo comma dell'art. 2385 c.c. non è norma limitativa delle loro attribuzioni nel periodo di proroga; deve pertanto escludersi che i compiti di gestione di detti amministratori siano circoscritti, in tale periodo, agli atti di ordinaria amministrazione."</w:t>
      </w:r>
    </w:p>
    <w:p>
      <w:r>
        <w:t>Qui va tenuta una distinzione che è facile perdere, e che cambia gli argomenti disponibili:</w:t>
      </w:r>
    </w:p>
    <w:p>
      <w:pPr>
        <w:pStyle w:val="ListBullet"/>
      </w:pPr>
      <w:r>
        <w:rPr>
          <w:b/>
        </w:rPr>
        <w:t>se si dimette la maggioranza</w:t>
      </w:r>
      <w:r>
        <w:t xml:space="preserve">, il consiglio è dimissionario e resta in carica in </w:t>
      </w:r>
      <w:r>
        <w:rPr>
          <w:i/>
        </w:rPr>
        <w:t>prorogatio</w:t>
      </w:r>
      <w:r>
        <w:t xml:space="preserve"> fino alla ricostituzione, </w:t>
      </w:r>
      <w:r>
        <w:rPr>
          <w:b/>
        </w:rPr>
        <w:t>con poteri pieni</w:t>
      </w:r>
      <w:r>
        <w:t xml:space="preserve"> di ordinaria e straordinaria amministrazione (Cass. 8912/2003). Il vincolo è funzionale: gli amministratori in proroga devono adoperarsi per la tempestiva ricostituzione dell'organo, e condotte ostruzionistiche sono contestabili ex art. 2392 c.c.;</w:t>
      </w:r>
    </w:p>
    <w:p>
      <w:pPr>
        <w:pStyle w:val="ListBullet"/>
      </w:pPr>
      <w:r>
        <w:rPr>
          <w:b/>
        </w:rPr>
        <w:t>se la maggioranza non si dimette, non c'è alcuna prorogatio</w:t>
      </w:r>
      <w:r>
        <w:t xml:space="preserve">: il consiglio è semplicemente </w:t>
      </w:r>
      <w:r>
        <w:rPr>
          <w:b/>
        </w:rPr>
        <w:t>in carica a pieno titolo</w:t>
      </w:r>
      <w:r>
        <w:t xml:space="preserve">, con un mandato che scade nella primavera 2029 e senza alcuna attenuazione dei propri poteri né alcun dovere di "adoperarsi per la ricostituzione". È lo scenario in cui gli argomenti fondati sulla prorogatio </w:t>
      </w:r>
      <w:r>
        <w:rPr>
          <w:b/>
        </w:rPr>
        <w:t>non sono utilizzabili</w:t>
      </w:r>
      <w:r>
        <w:t>, ed è un errore ricorrente assumere il contrario.</w:t>
      </w:r>
    </w:p>
    <w:p>
      <w:r>
        <w:t xml:space="preserve">In entrambi i casi, nella finestra fra il settlement e l'insediamento del nuovo consiglio l'organo in carica decide su: adesione all'Accordo Unipol, perimetro e struttura del carve-out, esecuzione della Fusione MB, trasferimento della quota AG, schemi di bilancio FY2026, retention del management, presentazione della propria lista ex art. 147-ter.1 TUF. E in quella finestra </w:t>
      </w:r>
      <w:r>
        <w:rPr>
          <w:b/>
        </w:rPr>
        <w:t>non opera più né la passivity rule dell'art. 104 TUF né la protezione delle Condizioni di Efficacia (iv) e (v)</w:t>
      </w:r>
      <w:r>
        <w:t>, che si esauriscono alla Data di Pagamento.</w:t>
      </w:r>
    </w:p>
    <w:p>
      <w:r>
        <w:rPr>
          <w:b/>
        </w:rPr>
        <w:t>Asimmetria sulla revoca</w:t>
      </w:r>
      <w:r>
        <w:t xml:space="preserve">: la prorogatio dell'art. 2385 c.c. copre solo dimissioni e scadenza, </w:t>
      </w:r>
      <w:r>
        <w:rPr>
          <w:b/>
        </w:rPr>
        <w:t>non la revoca</w:t>
      </w:r>
      <w:r>
        <w:t xml:space="preserve">. Per Trib. Roma, 13 novembre 2018, l'amministratore revocato non conserva poteri in prorogatio e si applica l'ultimo comma dell'art. 2386 c.c. → se si revocano </w:t>
      </w:r>
      <w:r>
        <w:rPr>
          <w:i/>
        </w:rPr>
        <w:t>tutti</w:t>
      </w:r>
      <w:r>
        <w:t xml:space="preserve"> gli amministratori senza nominare contestualmente i sostituti, la gestione interinale passa al </w:t>
      </w:r>
      <w:r>
        <w:rPr>
          <w:b/>
        </w:rPr>
        <w:t>Collegio Sindacale con soli poteri di ordinaria amministrazione</w:t>
      </w:r>
      <w:r>
        <w:t xml:space="preserve">: per una </w:t>
      </w:r>
      <w:r>
        <w:rPr>
          <w:i/>
        </w:rPr>
        <w:t>significant institution</w:t>
      </w:r>
      <w:r>
        <w:t xml:space="preserve"> è uno scenario da evitare. </w:t>
      </w:r>
      <w:r>
        <w:rPr>
          <w:b/>
        </w:rPr>
        <w:t>Revoca e nomina devono stare nello stesso ordine del giorno e nella stessa assemblea.</w:t>
      </w:r>
    </w:p>
    <w:p>
      <w:pPr>
        <w:pStyle w:val="Heading3"/>
      </w:pPr>
      <w:r>
        <w:t>4.3-bis Il limite della direzione e coordinamento: non è una linea di comando sui dipendenti</w:t>
      </w:r>
    </w:p>
    <w:p>
      <w:r>
        <w:t>Questo è il punto operativo più sottovalutato dell'intero nodo B, ed è dove l'art. 61, c. 4, TUB (par. 6) smette di funzionare.</w:t>
      </w:r>
    </w:p>
    <w:p>
      <w:r>
        <w:t xml:space="preserve">L'esercizio della direzione e coordinamento, per la capogruppo di un gruppo bancario, </w:t>
      </w:r>
      <w:r>
        <w:rPr>
          <w:b/>
        </w:rPr>
        <w:t>è un dovere e non solo un diritto</w:t>
      </w:r>
      <w:r>
        <w:t xml:space="preserve">: l'art. 61, c. 1, TUB stabilisce che la capogruppo </w:t>
      </w:r>
      <w:r>
        <w:rPr>
          <w:i/>
        </w:rPr>
        <w:t>"esercita le funzioni di direzione e coordinamento del gruppo bancario, assicurando, tra l'altro, il rispetto delle norme che disciplinano l'attività bancaria su base consolidata"</w:t>
      </w:r>
      <w:r>
        <w:t>, e l'assoggettamento va reso pubblico ex art. 2497-bis c.c. Non è quindi in discussione la legittimazione di ISP a impartire direttive dal giorno del settlement.</w:t>
      </w:r>
    </w:p>
    <w:p>
      <w:r>
        <w:t>Il problema è un altro e va distinto con precisione: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Oggetto</w:t>
            </w:r>
          </w:p>
        </w:tc>
        <w:tc>
          <w:tcPr>
            <w:tcW w:type="dxa" w:w="4320"/>
          </w:tcPr>
          <w:p>
            <w:pPr>
              <w:spacing w:after="40"/>
            </w:pPr>
            <w:r>
              <w:rPr>
                <w:b/>
                <w:sz w:val="16"/>
              </w:rPr>
            </w:r>
            <w:r>
              <w:rPr>
                <w:b/>
                <w:sz w:val="16"/>
              </w:rPr>
              <w:t>L'art. 61, c. 4, TUB funziona?</w:t>
            </w:r>
          </w:p>
        </w:tc>
      </w:tr>
      <w:tr>
        <w:tc>
          <w:tcPr>
            <w:tcW w:type="dxa" w:w="4320"/>
          </w:tcPr>
          <w:p>
            <w:pPr>
              <w:spacing w:after="40"/>
            </w:pPr>
            <w:r>
              <w:rPr>
                <w:sz w:val="16"/>
              </w:rPr>
            </w:r>
            <w:r>
              <w:rPr>
                <w:sz w:val="16"/>
              </w:rPr>
              <w:t>Dati, flussi per il consolidato, reporting package, informativa di vigilanza, ICAAP/ILAAP, accesso delle funzioni di controllo di gruppo</w:t>
            </w:r>
          </w:p>
        </w:tc>
        <w:tc>
          <w:tcPr>
            <w:tcW w:type="dxa" w:w="4320"/>
          </w:tcPr>
          <w:p>
            <w:pPr>
              <w:spacing w:after="40"/>
            </w:pPr>
            <w:r>
              <w:rPr>
                <w:sz w:val="16"/>
              </w:rPr>
            </w:r>
            <w:r>
              <w:rPr>
                <w:b/>
                <w:sz w:val="16"/>
              </w:rPr>
              <w:t>Sì.</w:t>
            </w:r>
            <w:r>
              <w:rPr>
                <w:sz w:val="16"/>
              </w:rPr>
              <w:t xml:space="preserve"> È esattamente il contenuto della norma: gli amministratori della controllata </w:t>
            </w:r>
            <w:r>
              <w:rPr>
                <w:i/>
                <w:sz w:val="16"/>
              </w:rPr>
              <w:t>"sono tenuti a fornire ogni dato e informazione"</w:t>
            </w:r>
            <w:r>
              <w:rPr>
                <w:sz w:val="16"/>
              </w:rPr>
              <w:t xml:space="preserve"> e a prestare </w:t>
            </w:r>
            <w:r>
              <w:rPr>
                <w:i/>
                <w:sz w:val="16"/>
              </w:rPr>
              <w:t>"la necessaria collaborazione per il rispetto delle norme sulla vigilanza su base consolidata"</w:t>
            </w:r>
          </w:p>
        </w:tc>
      </w:tr>
      <w:tr>
        <w:tc>
          <w:tcPr>
            <w:tcW w:type="dxa" w:w="4320"/>
          </w:tcPr>
          <w:p>
            <w:pPr>
              <w:spacing w:after="40"/>
            </w:pPr>
            <w:r>
              <w:rPr>
                <w:sz w:val="16"/>
              </w:rPr>
            </w:r>
            <w:r>
              <w:rPr>
                <w:sz w:val="16"/>
              </w:rPr>
              <w:t>Scelte di business, campagne commerciali, pricing, obiettivi di rete, decisioni sul personale</w:t>
            </w:r>
          </w:p>
        </w:tc>
        <w:tc>
          <w:tcPr>
            <w:tcW w:type="dxa" w:w="4320"/>
          </w:tcPr>
          <w:p>
            <w:pPr>
              <w:spacing w:after="40"/>
            </w:pPr>
            <w:r>
              <w:rPr>
                <w:sz w:val="16"/>
              </w:rPr>
            </w:r>
            <w:r>
              <w:rPr>
                <w:b/>
                <w:sz w:val="16"/>
              </w:rPr>
              <w:t>No.</w:t>
            </w:r>
            <w:r>
              <w:rPr>
                <w:sz w:val="16"/>
              </w:rPr>
              <w:t xml:space="preserve"> Il potere dell'art. 61, c. 4, è funzionalmente circoscritto all'esecuzione delle istruzioni di vigilanza nell'interesse della stabilità del gruppo; la giurisprudenza ha censurato regolamenti di gruppo che ne ricavavano un potere di direzione più ampio</w:t>
            </w:r>
          </w:p>
        </w:tc>
      </w:tr>
    </w:tbl>
    <w:p/>
    <w:p>
      <w:r>
        <w:t xml:space="preserve">La conseguenza pratica è netta. </w:t>
      </w:r>
      <w:r>
        <w:rPr>
          <w:b/>
        </w:rPr>
        <w:t>Finché il consiglio MPS è in carica, l'organo amministrativo e l'AD restano l'unica fonte legittima di istruzioni per i dipendenti e i dirigenti di MPS, e sono il datore di lavoro.</w:t>
      </w:r>
      <w:r>
        <w:t xml:space="preserve"> Un responsabile di rete che eseguisse istruzioni provenienti da ISP contro le direttive del proprio consiglio non commetterebbe un illecito verso ISP — non ha alcun rapporto con ISP — ma un'inadempienza verso il proprio datore di lavoro, con esposizione disciplinare e, nei casi gravi, a un licenziamento che sarebbe </w:t>
      </w:r>
      <w:r>
        <w:rPr>
          <w:b/>
        </w:rPr>
        <w:t>giuridicamente valido</w:t>
      </w:r>
      <w:r>
        <w:t xml:space="preserve">. Il rischio, in altre parole, </w:t>
      </w:r>
      <w:r>
        <w:rPr>
          <w:b/>
        </w:rPr>
        <w:t>ricadrebbe sulle persone di MPS, non su ISP</w:t>
      </w:r>
      <w:r>
        <w:t>.</w:t>
      </w:r>
    </w:p>
    <w:p>
      <w:r>
        <w:t>Ne seguono tre indicazioni operative:</w:t>
      </w:r>
    </w:p>
    <w:p>
      <w:pPr>
        <w:pStyle w:val="ListNumber"/>
      </w:pPr>
      <w:r>
        <w:rPr>
          <w:b/>
        </w:rPr>
        <w:t>Non chiedere ai dirigenti MPS di bypassare il proprio consiglio.</w:t>
      </w:r>
      <w:r>
        <w:t xml:space="preserve"> Nella finestra interinale i contatti diretti fra le linee di business vanno incanalati in richieste formali all'organo amministrativo di MPS, o nel perimetro "dati e vigilanza" dell'art. 61, c. 4, TUB, che è coperto. Tutto ciò che è gestione va chiesto al consiglio, non alla struttura.</w:t>
      </w:r>
    </w:p>
    <w:p>
      <w:pPr>
        <w:pStyle w:val="ListNumber"/>
      </w:pPr>
      <w:r>
        <w:rPr>
          <w:b/>
        </w:rPr>
        <w:t>Chi subisse conseguenze per aver collaborato va tutelato</w:t>
      </w:r>
      <w:r>
        <w:t>, e l'atto ritorsivo va documentato: un provvedimento disciplinare o un licenziamento adottato per punire la collaborazione con l'azionista di controllo è un atto ostile che incide sulla continuità operativa e alimenta sia la responsabilità ex art. 2392 c.c. sia il dossier di giusta causa per la revoca (par. 4.4). Il rimedio è risarcitorio e successivo, non impeditivo: non evita il danno, lo fa pagare.</w:t>
      </w:r>
    </w:p>
    <w:p>
      <w:pPr>
        <w:pStyle w:val="ListNumber"/>
      </w:pPr>
      <w:r>
        <w:rPr>
          <w:b/>
        </w:rPr>
        <w:t>La leva vera, nella finestra interinale, è il dossier documentale, non il comando.</w:t>
      </w:r>
      <w:r>
        <w:t xml:space="preserve"> Verbalizzare le richieste, i rifiuti e i relativi effetti serve a tre cose insieme: costituire la giusta causa, fondare l'eventuale azione di responsabilità e dare al supervisore evidenza di un problema di governance nella controllata di cui ISP ha già chiesto conto.</w:t>
      </w:r>
    </w:p>
    <w:p>
      <w:r>
        <w:rPr>
          <w:b/>
        </w:rPr>
        <w:t>Corollario di pianificazione</w:t>
      </w:r>
      <w:r>
        <w:t xml:space="preserve">: l'asimmetria fra i due scenari non è nei tempi della nomina (par. 4.4) ma nella </w:t>
      </w:r>
      <w:r>
        <w:rPr>
          <w:b/>
        </w:rPr>
        <w:t>capacità di governare il business</w:t>
      </w:r>
      <w:r>
        <w:t xml:space="preserve"> fra il settlement e l'insediamento. Se il consiglio si dimette, ISP indirizza di fatto la gestione attraverso chi resta in carica con il consenso di questi. Se non si dimette, ISP nella sostanza </w:t>
      </w:r>
      <w:r>
        <w:rPr>
          <w:b/>
        </w:rPr>
        <w:t>non governa MPS per 50-90 giorni</w:t>
      </w:r>
      <w:r>
        <w:t>, pur avendone la proprietà: è questo, e non il calendario assembleare, il costo da mettere a piano.</w:t>
      </w:r>
    </w:p>
    <w:p>
      <w:pPr>
        <w:pStyle w:val="Heading3"/>
      </w:pPr>
      <w:r>
        <w:t>4.4 Il playbook: cosa fare, in che ordine, con quali tempi</w:t>
      </w:r>
    </w:p>
    <w:p>
      <w:r>
        <w:t xml:space="preserve">Assumo settlement al giorno </w:t>
      </w:r>
      <w:r>
        <w:rPr>
          <w:b/>
        </w:rPr>
        <w:t>S</w:t>
      </w:r>
      <w:r>
        <w:t xml:space="preserve"> (6 gennaio 2027 nella timeline di pag. 4) e ISP fra il 67% e il 100%.</w:t>
      </w:r>
    </w:p>
    <w:p>
      <w:pPr>
        <w:pStyle w:val="Heading4"/>
      </w:pPr>
      <w:r>
        <w:t>Percorso 0 — Prima del settlement (da attivare adesso)</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Azione</w:t>
            </w:r>
          </w:p>
        </w:tc>
        <w:tc>
          <w:tcPr>
            <w:tcW w:type="dxa" w:w="4320"/>
          </w:tcPr>
          <w:p>
            <w:pPr>
              <w:spacing w:after="40"/>
            </w:pPr>
            <w:r>
              <w:rPr>
                <w:b/>
                <w:sz w:val="16"/>
              </w:rPr>
            </w:r>
            <w:r>
              <w:rPr>
                <w:b/>
                <w:sz w:val="16"/>
              </w:rPr>
              <w:t>Note</w:t>
            </w:r>
          </w:p>
        </w:tc>
      </w:tr>
      <w:tr>
        <w:tc>
          <w:tcPr>
            <w:tcW w:type="dxa" w:w="4320"/>
          </w:tcPr>
          <w:p>
            <w:pPr>
              <w:spacing w:after="40"/>
            </w:pPr>
            <w:r>
              <w:rPr>
                <w:sz w:val="16"/>
              </w:rPr>
            </w:r>
            <w:r>
              <w:rPr>
                <w:sz w:val="16"/>
              </w:rPr>
              <w:t xml:space="preserve">Negoziare </w:t>
            </w:r>
            <w:r>
              <w:rPr>
                <w:b/>
                <w:sz w:val="16"/>
              </w:rPr>
              <w:t>dimissioni a efficacia differita</w:t>
            </w:r>
            <w:r>
              <w:rPr>
                <w:sz w:val="16"/>
              </w:rPr>
              <w:t xml:space="preserve"> ("con efficacia dalla data dell'assemblea"), con </w:t>
            </w:r>
            <w:r>
              <w:rPr>
                <w:b/>
                <w:sz w:val="16"/>
              </w:rPr>
              <w:t>convocazione contestuale</w:t>
            </w:r>
          </w:p>
        </w:tc>
        <w:tc>
          <w:tcPr>
            <w:tcW w:type="dxa" w:w="4320"/>
          </w:tcPr>
          <w:p>
            <w:pPr>
              <w:spacing w:after="40"/>
            </w:pPr>
            <w:r>
              <w:rPr>
                <w:sz w:val="16"/>
              </w:rPr>
            </w:r>
            <w:r>
              <w:rPr>
                <w:sz w:val="16"/>
              </w:rPr>
              <w:t xml:space="preserve">È il modello Mediobanca del 18 settembre 2025: 14 consiglieri su 15 dimissionari, convocazione nella stessa riunione, assemblea a 40 giorni esatti, </w:t>
            </w:r>
            <w:r>
              <w:rPr>
                <w:b/>
                <w:sz w:val="16"/>
              </w:rPr>
              <w:t>nuovo board a 42 giorni dal settlement</w:t>
            </w:r>
            <w:r>
              <w:rPr>
                <w:sz w:val="16"/>
              </w:rPr>
              <w:t xml:space="preserve">. Obiettivo minimo: </w:t>
            </w:r>
            <w:r>
              <w:rPr>
                <w:b/>
                <w:sz w:val="16"/>
              </w:rPr>
              <w:t>8 dimissioni</w:t>
            </w:r>
          </w:p>
        </w:tc>
      </w:tr>
      <w:tr>
        <w:tc>
          <w:tcPr>
            <w:tcW w:type="dxa" w:w="4320"/>
          </w:tcPr>
          <w:p>
            <w:pPr>
              <w:spacing w:after="40"/>
            </w:pPr>
            <w:r>
              <w:rPr>
                <w:sz w:val="16"/>
              </w:rPr>
            </w:r>
            <w:r>
              <w:rPr>
                <w:sz w:val="16"/>
              </w:rPr>
              <w:t xml:space="preserve">Pacchetto di uscita: compensi maturati, </w:t>
            </w:r>
            <w:r>
              <w:rPr>
                <w:i/>
                <w:sz w:val="16"/>
              </w:rPr>
              <w:t>severance</w:t>
            </w:r>
            <w:r>
              <w:rPr>
                <w:sz w:val="16"/>
              </w:rPr>
              <w:t xml:space="preserve">, manleve, </w:t>
            </w:r>
            <w:r>
              <w:rPr>
                <w:b/>
                <w:sz w:val="16"/>
              </w:rPr>
              <w:t>D&amp;O run-off</w:t>
            </w:r>
            <w:r>
              <w:rPr>
                <w:sz w:val="16"/>
              </w:rPr>
              <w:t xml:space="preserve"> a 6 anni (prescrizione ex art. 2393, c. 4, c.c.)</w:t>
            </w:r>
          </w:p>
        </w:tc>
        <w:tc>
          <w:tcPr>
            <w:tcW w:type="dxa" w:w="4320"/>
          </w:tcPr>
          <w:p>
            <w:pPr>
              <w:spacing w:after="40"/>
            </w:pPr>
            <w:r>
              <w:rPr>
                <w:sz w:val="16"/>
              </w:rPr>
            </w:r>
            <w:r>
              <w:rPr>
                <w:sz w:val="16"/>
              </w:rPr>
              <w:t xml:space="preserve">Vincolo: politica di remunerazione ex art. 123-ter TUF e Circ. Banca d'Italia 285 (cap in annualità della remunerazione fissa, </w:t>
            </w:r>
            <w:r>
              <w:rPr>
                <w:i/>
                <w:sz w:val="16"/>
              </w:rPr>
              <w:t>malus/clawback</w:t>
            </w:r>
            <w:r>
              <w:rPr>
                <w:sz w:val="16"/>
              </w:rPr>
              <w:t xml:space="preserve">, approvazione assembleare oltre soglia). </w:t>
            </w:r>
            <w:r>
              <w:rPr>
                <w:b/>
                <w:sz w:val="16"/>
              </w:rPr>
              <w:t>Non si può concordare liberamente qualunque buonuscita</w:t>
            </w:r>
          </w:p>
        </w:tc>
      </w:tr>
      <w:tr>
        <w:tc>
          <w:tcPr>
            <w:tcW w:type="dxa" w:w="4320"/>
          </w:tcPr>
          <w:p>
            <w:pPr>
              <w:spacing w:after="40"/>
            </w:pPr>
            <w:r>
              <w:rPr>
                <w:sz w:val="16"/>
              </w:rPr>
            </w:r>
            <w:r>
              <w:rPr>
                <w:sz w:val="16"/>
              </w:rPr>
              <w:t xml:space="preserve">Chiedere la </w:t>
            </w:r>
            <w:r>
              <w:rPr>
                <w:b/>
                <w:sz w:val="16"/>
              </w:rPr>
              <w:t>convocazione anticipata</w:t>
            </w:r>
            <w:r>
              <w:rPr>
                <w:sz w:val="16"/>
              </w:rPr>
              <w:t xml:space="preserve"> dell'assemblea elettiva, con data successiva al settlement e </w:t>
            </w:r>
            <w:r>
              <w:rPr>
                <w:i/>
                <w:sz w:val="16"/>
              </w:rPr>
              <w:t>record date</w:t>
            </w:r>
            <w:r>
              <w:rPr>
                <w:sz w:val="16"/>
              </w:rPr>
              <w:t xml:space="preserve"> (7 giorni di borsa aperta ante) anch'essa successiva</w:t>
            </w:r>
          </w:p>
        </w:tc>
        <w:tc>
          <w:tcPr>
            <w:tcW w:type="dxa" w:w="4320"/>
          </w:tcPr>
          <w:p>
            <w:pPr>
              <w:spacing w:after="40"/>
            </w:pPr>
            <w:r>
              <w:rPr>
                <w:sz w:val="16"/>
              </w:rPr>
            </w:r>
            <w:r>
              <w:rPr>
                <w:sz w:val="16"/>
              </w:rPr>
              <w:t xml:space="preserve">È la leva che comprime t+50 a t+15/20. Precedente implicito: BPER/Carige, nuovo board </w:t>
            </w:r>
            <w:r>
              <w:rPr>
                <w:b/>
                <w:sz w:val="16"/>
              </w:rPr>
              <w:t>12 giorni</w:t>
            </w:r>
            <w:r>
              <w:rPr>
                <w:sz w:val="16"/>
              </w:rPr>
              <w:t xml:space="preserve"> dopo il cambio di controllo, con assemblea già convocata prima del closing. Pag. 4 ne registra già una versione ("nomina a +40 […] tale opzione non dipende da ISP")</w:t>
            </w:r>
          </w:p>
        </w:tc>
      </w:tr>
      <w:tr>
        <w:tc>
          <w:tcPr>
            <w:tcW w:type="dxa" w:w="4320"/>
          </w:tcPr>
          <w:p>
            <w:pPr>
              <w:spacing w:after="40"/>
            </w:pPr>
            <w:r>
              <w:rPr>
                <w:sz w:val="16"/>
              </w:rPr>
            </w:r>
            <w:r>
              <w:rPr>
                <w:sz w:val="16"/>
              </w:rPr>
              <w:t xml:space="preserve">Preparare la </w:t>
            </w:r>
            <w:r>
              <w:rPr>
                <w:b/>
                <w:sz w:val="16"/>
              </w:rPr>
              <w:t>lista</w:t>
            </w:r>
            <w:r>
              <w:rPr>
                <w:sz w:val="16"/>
              </w:rPr>
              <w:t xml:space="preserve"> (determinazione del numero: 9 minimizza il peso statutario delle minoranze; 15 replica l'attuale) con CV, dichiarazioni, quota di genere ≥2/5, indipendenti ≥1/3 per statuto</w:t>
            </w:r>
          </w:p>
        </w:tc>
        <w:tc>
          <w:tcPr>
            <w:tcW w:type="dxa" w:w="4320"/>
          </w:tcPr>
          <w:p>
            <w:pPr>
              <w:spacing w:after="40"/>
            </w:pPr>
            <w:r>
              <w:rPr>
                <w:sz w:val="16"/>
              </w:rPr>
            </w:r>
            <w:r>
              <w:rPr>
                <w:sz w:val="16"/>
              </w:rPr>
              <w:t xml:space="preserve">Pre-filing fit &amp; proper su </w:t>
            </w:r>
            <w:r>
              <w:rPr>
                <w:b/>
                <w:sz w:val="16"/>
              </w:rPr>
              <w:t>IMAS</w:t>
            </w:r>
            <w:r>
              <w:rPr>
                <w:sz w:val="16"/>
              </w:rPr>
              <w:t xml:space="preserve"> prima dell'assemblea, come da prassi delle grandi banche italiane</w:t>
            </w:r>
          </w:p>
        </w:tc>
      </w:tr>
      <w:tr>
        <w:tc>
          <w:tcPr>
            <w:tcW w:type="dxa" w:w="4320"/>
          </w:tcPr>
          <w:p>
            <w:pPr>
              <w:spacing w:after="40"/>
            </w:pPr>
            <w:r>
              <w:rPr>
                <w:sz w:val="16"/>
              </w:rPr>
            </w:r>
            <w:r>
              <w:rPr>
                <w:sz w:val="16"/>
              </w:rPr>
              <w:t>Ottenere in negoziazione l'</w:t>
            </w:r>
            <w:r>
              <w:rPr>
                <w:b/>
                <w:sz w:val="16"/>
              </w:rPr>
              <w:t>adesione di MPS all'Accordo Unipol</w:t>
            </w:r>
          </w:p>
        </w:tc>
        <w:tc>
          <w:tcPr>
            <w:tcW w:type="dxa" w:w="4320"/>
          </w:tcPr>
          <w:p>
            <w:pPr>
              <w:spacing w:after="40"/>
            </w:pPr>
            <w:r>
              <w:rPr>
                <w:sz w:val="16"/>
              </w:rPr>
            </w:r>
            <w:r>
              <w:rPr>
                <w:sz w:val="16"/>
              </w:rPr>
              <w:t>È presupposto dichiarato dell'esecuzione del remedy: pretenderlo come parte del pacchetto di transizione, non lasciarlo al nuovo consiglio</w:t>
            </w:r>
          </w:p>
        </w:tc>
      </w:tr>
      <w:tr>
        <w:tc>
          <w:tcPr>
            <w:tcW w:type="dxa" w:w="4320"/>
          </w:tcPr>
          <w:p>
            <w:pPr>
              <w:spacing w:after="40"/>
            </w:pPr>
            <w:r>
              <w:rPr>
                <w:sz w:val="16"/>
              </w:rPr>
            </w:r>
            <w:r>
              <w:rPr>
                <w:b/>
                <w:sz w:val="16"/>
              </w:rPr>
              <w:t>Pre-filing con Consob e Borsa Italiana</w:t>
            </w:r>
            <w:r>
              <w:rPr>
                <w:sz w:val="16"/>
              </w:rPr>
              <w:t xml:space="preserve"> sulla procedura congiunta a 90% nel transitorio (art. 50-quinquies, c. 1, Reg. Emittenti richiama ancora solo l'art. 108, c. 1)</w:t>
            </w:r>
          </w:p>
        </w:tc>
        <w:tc>
          <w:tcPr>
            <w:tcW w:type="dxa" w:w="4320"/>
          </w:tcPr>
          <w:p>
            <w:pPr>
              <w:spacing w:after="40"/>
            </w:pPr>
            <w:r>
              <w:rPr>
                <w:sz w:val="16"/>
              </w:rPr>
            </w:r>
            <w:r>
              <w:rPr>
                <w:sz w:val="16"/>
              </w:rPr>
              <w:t>Incide direttamente sulla data del delisting</w:t>
            </w:r>
          </w:p>
        </w:tc>
      </w:tr>
    </w:tbl>
    <w:p/>
    <w:p>
      <w:pPr>
        <w:pStyle w:val="Heading4"/>
      </w:pPr>
      <w:r>
        <w:t>Percorso A — Dimissioni concordate (base case di pag. 4)</w:t>
      </w:r>
    </w:p>
    <w:p>
      <w:r>
        <w:t xml:space="preserve">Assemblea </w:t>
      </w:r>
      <w:r>
        <w:rPr>
          <w:b/>
        </w:rPr>
        <w:t>t+42 / t+60</w:t>
      </w:r>
      <w:r>
        <w:t xml:space="preserve">; con la convocazione anticipata, </w:t>
      </w:r>
      <w:r>
        <w:rPr>
          <w:b/>
        </w:rPr>
        <w:t>t+15 / t+20</w:t>
      </w:r>
      <w:r>
        <w:t xml:space="preserve">. Costo: </w:t>
      </w:r>
      <w:r>
        <w:rPr>
          <w:i/>
        </w:rPr>
        <w:t>severance</w:t>
      </w:r>
      <w:r>
        <w:t xml:space="preserve"> negoziato entro i cap prudenziali. Rischio esecutivo e reputazionale basso.</w:t>
      </w:r>
    </w:p>
    <w:p>
      <w:pPr>
        <w:pStyle w:val="IntenseQuote"/>
      </w:pPr>
      <w:r>
        <w:rPr>
          <w:b/>
        </w:rPr>
        <w:t>Il collo di bottiglia è la convocazione, non la rimozione.</w:t>
      </w:r>
      <w:r>
        <w:t xml:space="preserve"> Va detto con chiarezza perché determina l'intera economia del nodo B: il vincolo che fissa la data del nuovo consiglio è il </w:t>
      </w:r>
      <w:r>
        <w:rPr>
          <w:b/>
        </w:rPr>
        <w:t>preavviso di 40 giorni</w:t>
      </w:r>
      <w:r>
        <w:t xml:space="preserve"> dell'art. 125-bis, c. 2, TUF, più i 25 giorni di deposito e i 21 di pubblicazione delle liste che corrono al suo interno. Quel vincolo opera </w:t>
      </w:r>
      <w:r>
        <w:rPr>
          <w:b/>
        </w:rPr>
        <w:t>identico</w:t>
      </w:r>
      <w:r>
        <w:t xml:space="preserve"> sia che il consiglio si dimetta sia che vada revocato, e in entrambi i casi gli amministratori restano in carica fino all'assemblea. Ne segue che </w:t>
      </w:r>
      <w:r>
        <w:rPr>
          <w:b/>
        </w:rPr>
        <w:t>il differenziale di tempo fra dimissioni e revoca è quasi nullo — a una condizione: che qualcuno convochi</w:t>
      </w:r>
      <w:r>
        <w:t>. Il ritardo dei percorsi B, C1 e C2 non nasce dalla revoca in sé, ma dal tempo speso per ottenere la delibera di convocazione (il "senza ritardo" dell'art. 2367, c. 1, la via sindacale, il decreto del tribunale). È su quel singolo atto, non sulla rimozione, che va concentrata la pressione negoziale e, se serve, il contenzioso.</w:t>
      </w:r>
    </w:p>
    <w:p>
      <w:pPr>
        <w:pStyle w:val="Heading4"/>
      </w:pPr>
      <w:r>
        <w:t>Percorso B — Il CdA non si dimette ma, sollecitato, convoca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Giorno</w:t>
            </w:r>
          </w:p>
        </w:tc>
        <w:tc>
          <w:tcPr>
            <w:tcW w:type="dxa" w:w="2880"/>
          </w:tcPr>
          <w:p>
            <w:pPr>
              <w:spacing w:after="40"/>
            </w:pPr>
            <w:r>
              <w:rPr>
                <w:b/>
                <w:sz w:val="16"/>
              </w:rPr>
            </w:r>
            <w:r>
              <w:rPr>
                <w:b/>
                <w:sz w:val="16"/>
              </w:rPr>
              <w:t>Azione</w:t>
            </w:r>
          </w:p>
        </w:tc>
        <w:tc>
          <w:tcPr>
            <w:tcW w:type="dxa" w:w="2880"/>
          </w:tcPr>
          <w:p>
            <w:pPr>
              <w:spacing w:after="40"/>
            </w:pPr>
            <w:r>
              <w:rPr>
                <w:b/>
                <w:sz w:val="16"/>
              </w:rPr>
            </w:r>
            <w:r>
              <w:rPr>
                <w:b/>
                <w:sz w:val="16"/>
              </w:rPr>
              <w:t>Base normativa</w:t>
            </w:r>
          </w:p>
        </w:tc>
      </w:tr>
      <w:tr>
        <w:tc>
          <w:tcPr>
            <w:tcW w:type="dxa" w:w="2880"/>
          </w:tcPr>
          <w:p>
            <w:pPr>
              <w:spacing w:after="40"/>
            </w:pPr>
            <w:r>
              <w:rPr>
                <w:sz w:val="16"/>
              </w:rPr>
            </w:r>
            <w:r>
              <w:rPr>
                <w:b/>
                <w:sz w:val="16"/>
              </w:rPr>
              <w:t>S</w:t>
            </w:r>
            <w:r>
              <w:rPr>
                <w:sz w:val="16"/>
              </w:rPr>
              <w:t xml:space="preserve"> (o S+1)</w:t>
            </w:r>
          </w:p>
        </w:tc>
        <w:tc>
          <w:tcPr>
            <w:tcW w:type="dxa" w:w="2880"/>
          </w:tcPr>
          <w:p>
            <w:pPr>
              <w:spacing w:after="40"/>
            </w:pPr>
            <w:r>
              <w:rPr>
                <w:sz w:val="16"/>
              </w:rPr>
            </w:r>
            <w:r>
              <w:rPr>
                <w:b/>
                <w:sz w:val="16"/>
              </w:rPr>
              <w:t>Domanda formale di convocazione</w:t>
            </w:r>
            <w:r>
              <w:rPr>
                <w:sz w:val="16"/>
              </w:rPr>
              <w:t xml:space="preserve"> via PEC al CdA e, per conoscenza, al Collegio Sindacale, con l'elenco degli argomenti: (a) revoca degli amministratori; (b) determinazione del numero dei componenti; (c) nomina del nuovo CdA con voto di lista; (d) determinazione dei compensi</w:t>
            </w:r>
          </w:p>
        </w:tc>
        <w:tc>
          <w:tcPr>
            <w:tcW w:type="dxa" w:w="2880"/>
          </w:tcPr>
          <w:p>
            <w:pPr>
              <w:spacing w:after="40"/>
            </w:pPr>
            <w:r>
              <w:rPr>
                <w:sz w:val="16"/>
              </w:rPr>
            </w:r>
            <w:r>
              <w:rPr>
                <w:sz w:val="16"/>
              </w:rPr>
              <w:t xml:space="preserve">Art. 2367, c. 1, c.c. — soglia </w:t>
            </w:r>
            <w:r>
              <w:rPr>
                <w:b/>
                <w:sz w:val="16"/>
              </w:rPr>
              <w:t>un ventesimo (5%)</w:t>
            </w:r>
            <w:r>
              <w:rPr>
                <w:sz w:val="16"/>
              </w:rPr>
              <w:t xml:space="preserve"> per le società che fanno ricorso al mercato del capitale di rischio. ISP al settlement la supera largamente</w:t>
            </w:r>
          </w:p>
        </w:tc>
      </w:tr>
      <w:tr>
        <w:tc>
          <w:tcPr>
            <w:tcW w:type="dxa" w:w="2880"/>
          </w:tcPr>
          <w:p>
            <w:pPr>
              <w:spacing w:after="40"/>
            </w:pPr>
            <w:r>
              <w:rPr>
                <w:sz w:val="16"/>
              </w:rPr>
            </w:r>
            <w:r>
              <w:rPr>
                <w:sz w:val="16"/>
              </w:rPr>
              <w:t>S → S+15/20</w:t>
            </w:r>
          </w:p>
        </w:tc>
        <w:tc>
          <w:tcPr>
            <w:tcW w:type="dxa" w:w="2880"/>
          </w:tcPr>
          <w:p>
            <w:pPr>
              <w:spacing w:after="40"/>
            </w:pPr>
            <w:r>
              <w:rPr>
                <w:sz w:val="16"/>
              </w:rPr>
            </w:r>
            <w:r>
              <w:rPr>
                <w:sz w:val="16"/>
              </w:rPr>
              <w:t>"Senza ritardo": prassi 15-30 giorni, esigibile in 10-15 in una quotata bancaria. Diffida formale allo scadere</w:t>
            </w:r>
          </w:p>
        </w:tc>
        <w:tc>
          <w:tcPr>
            <w:tcW w:type="dxa" w:w="2880"/>
          </w:tcPr>
          <w:p>
            <w:pPr>
              <w:spacing w:after="40"/>
            </w:pPr>
            <w:r>
              <w:rPr>
                <w:sz w:val="16"/>
              </w:rPr>
            </w:r>
          </w:p>
        </w:tc>
      </w:tr>
      <w:tr>
        <w:tc>
          <w:tcPr>
            <w:tcW w:type="dxa" w:w="2880"/>
          </w:tcPr>
          <w:p>
            <w:pPr>
              <w:spacing w:after="40"/>
            </w:pPr>
            <w:r>
              <w:rPr>
                <w:sz w:val="16"/>
              </w:rPr>
            </w:r>
            <w:r>
              <w:rPr>
                <w:sz w:val="16"/>
              </w:rPr>
              <w:t>S+16/21</w:t>
            </w:r>
          </w:p>
        </w:tc>
        <w:tc>
          <w:tcPr>
            <w:tcW w:type="dxa" w:w="2880"/>
          </w:tcPr>
          <w:p>
            <w:pPr>
              <w:spacing w:after="40"/>
            </w:pPr>
            <w:r>
              <w:rPr>
                <w:sz w:val="16"/>
              </w:rPr>
            </w:r>
            <w:r>
              <w:rPr>
                <w:sz w:val="16"/>
              </w:rPr>
              <w:t>Pubblicazione dell'avviso</w:t>
            </w:r>
          </w:p>
        </w:tc>
        <w:tc>
          <w:tcPr>
            <w:tcW w:type="dxa" w:w="2880"/>
          </w:tcPr>
          <w:p>
            <w:pPr>
              <w:spacing w:after="40"/>
            </w:pPr>
            <w:r>
              <w:rPr>
                <w:sz w:val="16"/>
              </w:rPr>
            </w:r>
            <w:r>
              <w:rPr>
                <w:sz w:val="16"/>
              </w:rPr>
              <w:t xml:space="preserve">Art. 125-bis, c. 2, TUF: </w:t>
            </w:r>
            <w:r>
              <w:rPr>
                <w:b/>
                <w:sz w:val="16"/>
              </w:rPr>
              <w:t>40 giorni</w:t>
            </w:r>
            <w:r>
              <w:rPr>
                <w:sz w:val="16"/>
              </w:rPr>
              <w:t xml:space="preserve"> per le assemblee che eleggono organi sociali mediante voto di lista</w:t>
            </w:r>
          </w:p>
        </w:tc>
      </w:tr>
      <w:tr>
        <w:tc>
          <w:tcPr>
            <w:tcW w:type="dxa" w:w="2880"/>
          </w:tcPr>
          <w:p>
            <w:pPr>
              <w:spacing w:after="40"/>
            </w:pPr>
            <w:r>
              <w:rPr>
                <w:sz w:val="16"/>
              </w:rPr>
            </w:r>
            <w:r>
              <w:rPr>
                <w:sz w:val="16"/>
              </w:rPr>
              <w:t>S+56/61</w:t>
            </w:r>
          </w:p>
        </w:tc>
        <w:tc>
          <w:tcPr>
            <w:tcW w:type="dxa" w:w="2880"/>
          </w:tcPr>
          <w:p>
            <w:pPr>
              <w:spacing w:after="40"/>
            </w:pPr>
            <w:r>
              <w:rPr>
                <w:sz w:val="16"/>
              </w:rPr>
            </w:r>
            <w:r>
              <w:rPr>
                <w:b/>
                <w:sz w:val="16"/>
              </w:rPr>
              <w:t>Assemblea: revoca e nomina contestuali</w:t>
            </w:r>
          </w:p>
        </w:tc>
        <w:tc>
          <w:tcPr>
            <w:tcW w:type="dxa" w:w="2880"/>
          </w:tcPr>
          <w:p>
            <w:pPr>
              <w:spacing w:after="40"/>
            </w:pPr>
            <w:r>
              <w:rPr>
                <w:sz w:val="16"/>
              </w:rPr>
            </w:r>
            <w:r>
              <w:rPr>
                <w:sz w:val="16"/>
              </w:rPr>
              <w:t>Artt. 2364, n. 2, e 2383, c. 3, c.c.</w:t>
            </w:r>
          </w:p>
        </w:tc>
      </w:tr>
    </w:tbl>
    <w:p/>
    <w:p>
      <w:r>
        <w:rPr>
          <w:b/>
        </w:rPr>
        <w:t>Nuovo CdA: ~t+58, cioè inizio marzo 2027</w:t>
      </w:r>
      <w:r>
        <w:t xml:space="preserve"> (range 55-80 giorni).</w:t>
      </w:r>
    </w:p>
    <w:p>
      <w:r>
        <w:t>Due chiarimenti importanti:</w:t>
      </w:r>
    </w:p>
    <w:p>
      <w:pPr>
        <w:pStyle w:val="ListBullet"/>
      </w:pPr>
      <w:r>
        <w:rPr>
          <w:b/>
        </w:rPr>
        <w:t>Il limite dell'art. 2367, c. 3, non copre nomina e revoca degli amministratori.</w:t>
      </w:r>
      <w:r>
        <w:t xml:space="preserve"> L'esclusione riguarda le materie su cui l'assemblea delibera, per legge, su proposta degli amministratori o sulla base di un progetto o relazione da essi predisposta (bilancio, fusioni, aumenti con esclusione dell'opzione). La relazione illustrativa ex art. 125-ter TUF non integra il limite. La dottrina osserva anzi che l'art. 2367 </w:t>
      </w:r>
      <w:r>
        <w:rPr>
          <w:i/>
        </w:rPr>
        <w:t>"diviene uno strumento utile alla stessa maggioranza per rimuovere i propri managers"</w:t>
      </w:r>
      <w:r>
        <w:t>.</w:t>
      </w:r>
    </w:p>
    <w:p>
      <w:pPr>
        <w:pStyle w:val="ListBullet"/>
      </w:pPr>
      <w:r>
        <w:rPr>
          <w:b/>
        </w:rPr>
        <w:t>Il sindacato del tribunale è minimo.</w:t>
      </w:r>
      <w:r>
        <w:t xml:space="preserve"> Trib. Milano, 2 aprile 2016: gli organi sociali </w:t>
      </w:r>
      <w:r>
        <w:rPr>
          <w:i/>
        </w:rPr>
        <w:t>"non possono legittimamente contrapporre proprie valutazioni di opportunità al potere discrezionale del socio"</w:t>
      </w:r>
      <w:r>
        <w:t>, e il tribunale deve disporre la convocazione se l'istanza non è "manifestamente abusiva o pretestuosa"; nella stessa pronuncia si precisa che il tema del risarcimento da revoca senza giusta causa non è ostacolo alla convocazione.</w:t>
      </w:r>
    </w:p>
    <w:p>
      <w:r>
        <w:rPr>
          <w:b/>
        </w:rPr>
        <w:t>Il costo della revoca.</w:t>
      </w:r>
      <w:r>
        <w:t xml:space="preserve"> La giusta causa non è condizione di validità: la revoca è sempre efficace, e la giusta causa serve solo a escludere il risarcimento (art. 2383, c. 3, c.c.). Tre punti fermi:</w:t>
      </w:r>
    </w:p>
    <w:p>
      <w:pPr>
        <w:pStyle w:val="ListNumber"/>
      </w:pPr>
      <w:r>
        <w:rPr>
          <w:b/>
        </w:rPr>
        <w:t>Il cambio di controllo, da solo, non è giusta causa.</w:t>
      </w:r>
      <w:r>
        <w:t xml:space="preserve"> Cass. 21495/2020 ha confermato la condanna al risarcimento in un caso di mutamento dell'assetto proprietario del socio di riferimento, in assenza di fatti che compromettano il </w:t>
      </w:r>
      <w:r>
        <w:rPr>
          <w:i/>
        </w:rPr>
        <w:t>pactum fiduciae</w:t>
      </w:r>
      <w:r>
        <w:t xml:space="preserve">. </w:t>
      </w:r>
      <w:r>
        <w:rPr>
          <w:b/>
        </w:rPr>
        <w:t>Ma le condotte concrete tenute nel corso dell'offerta sono un'altra cosa</w:t>
      </w:r>
      <w:r>
        <w:t xml:space="preserve">, e sono il terreno su cui la giusta causa può effettivamente essere costruita: la nozione accolta dalla Cassazione è quella di "circostanze sopravvenute, anche non integranti inadempimento, che pregiudicano l'affidamento" nell'amministratore. Il dossier va costruito su fatti verificabili e imputabili, per esempio: misure difensive deliberate dopo il settlement, atti ritorsivi verso strutture che collaborano con l'azionista (par. 4.3-bis), rifiuto di fornire dati in violazione dell'art. 61, c. 4, TUB, ritardo ingiustificato nella convocazione dell'assemblea richiesta ex art. 2367 c.c. Il combinato "cambio di controllo </w:t>
      </w:r>
      <w:r>
        <w:rPr>
          <w:b/>
        </w:rPr>
        <w:t>più</w:t>
      </w:r>
      <w:r>
        <w:t xml:space="preserve"> condotte ostruzionistiche documentate" è difendibile; il solo cambio di controllo no.</w:t>
      </w:r>
    </w:p>
    <w:p>
      <w:pPr>
        <w:pStyle w:val="ListNumber"/>
      </w:pPr>
      <w:r>
        <w:rPr>
          <w:b/>
        </w:rPr>
        <w:t>La giusta causa non può essere addotta dopo.</w:t>
      </w:r>
      <w:r>
        <w:t xml:space="preserve"> Principio di immodificabilità delle ragioni (Cass. 23557/2008; 2037/2018; 21495/2020): le ragioni devono essere esplicitate in assemblea e risultare a verbale. La decisione su </w:t>
      </w:r>
      <w:r>
        <w:rPr>
          <w:i/>
        </w:rPr>
        <w:t>cosa</w:t>
      </w:r>
      <w:r>
        <w:t xml:space="preserve"> verbalizzare va presa </w:t>
      </w:r>
      <w:r>
        <w:rPr>
          <w:b/>
        </w:rPr>
        <w:t>prima</w:t>
      </w:r>
      <w:r>
        <w:t>.</w:t>
      </w:r>
    </w:p>
    <w:p>
      <w:pPr>
        <w:pStyle w:val="ListNumber"/>
      </w:pPr>
      <w:r>
        <w:rPr>
          <w:b/>
        </w:rPr>
        <w:t>Il quantum.</w:t>
      </w:r>
      <w:r>
        <w:t xml:space="preserve"> Cass. 4586/2023: il rapporto di amministrazione è </w:t>
      </w:r>
      <w:r>
        <w:rPr>
          <w:i/>
        </w:rPr>
        <w:t>species</w:t>
      </w:r>
      <w:r>
        <w:t xml:space="preserve"> del mandato, quindi si applica l'art. 1725, c. 1, c.c., salvo deroga statutaria o convenzionale espressa — </w:t>
      </w:r>
      <w:r>
        <w:rPr>
          <w:b/>
        </w:rPr>
        <w:t>che lo statuto MPS non contiene</w:t>
      </w:r>
      <w:r>
        <w:t xml:space="preserve">. La giurisprudenza di merito oscilla fra il criterio "pieno" (compensi residui fino alla scadenza naturale) e quello "di ricollocazione"; per budget si assuma il criterio pieno. Il danno all'immagine non è automatico e richiede un </w:t>
      </w:r>
      <w:r>
        <w:rPr>
          <w:i/>
        </w:rPr>
        <w:t>quid pluris</w:t>
      </w:r>
      <w:r>
        <w:t xml:space="preserve"> rispetto alla revoca in sé (Cass. 2037/2018) — argomento tecnico a favore di una </w:t>
      </w:r>
      <w:r>
        <w:rPr>
          <w:b/>
        </w:rPr>
        <w:t>revoca non motivata e neutra nei toni</w:t>
      </w:r>
      <w:r>
        <w:t>.</w:t>
      </w:r>
    </w:p>
    <w:p>
      <w:r>
        <w:rPr>
          <w:b/>
        </w:rPr>
        <w:t>Ordine di grandezza per MPS.</w:t>
      </w:r>
      <w:r>
        <w:t xml:space="preserve"> Compensi rivisti al rialzo dall'assemblea del 15 aprile 2026 e riportati dalla stampa specializzata (</w:t>
      </w:r>
      <w:r>
        <w:rPr>
          <w:i/>
        </w:rPr>
        <w:t>da riconciliare sulla Relazione sulla remunerazione ex art. 123-ter TUF</w:t>
      </w:r>
      <w:r>
        <w:t xml:space="preserve">): presidente </w:t>
      </w:r>
      <w:r>
        <w:rPr>
          <w:b/>
        </w:rPr>
        <w:t>€830.000</w:t>
      </w:r>
      <w:r>
        <w:t xml:space="preserve">, consigliere </w:t>
      </w:r>
      <w:r>
        <w:rPr>
          <w:b/>
        </w:rPr>
        <w:t>€120.000</w:t>
      </w:r>
      <w:r>
        <w:t xml:space="preserve">, presidente del collegio €190.000, sindaco effettivo €140.000. Con 15 amministratori la componente consiliare è di circa </w:t>
      </w:r>
      <w:r>
        <w:rPr>
          <w:b/>
        </w:rPr>
        <w:t>€2,5 milioni l'anno</w:t>
      </w:r>
      <w:r>
        <w:t xml:space="preserve">; con ~2,2 esercizi residui si arriva a un ordine di grandezza di </w:t>
      </w:r>
      <w:r>
        <w:rPr>
          <w:b/>
        </w:rPr>
        <w:t>€5-6 milioni</w:t>
      </w:r>
      <w:r>
        <w:t xml:space="preserve">, cui va aggiunta la remunerazione dell'AD ex art. 2389, c. 3, c.c. (fissa più variabile, con rapporto variabile/fisso innalzato dall'assemblea) e l'eventuale indennità di fine rapporto, non quantificate pubblicamente. </w:t>
      </w:r>
      <w:r>
        <w:rPr>
          <w:b/>
        </w:rPr>
        <w:t>Su un'offerta da €30,6 miliardi il costo monetario è irrilevante: la variabile critica è il tempo, non il denaro.</w:t>
      </w:r>
    </w:p>
    <w:p>
      <w:pPr>
        <w:pStyle w:val="Heading4"/>
      </w:pPr>
      <w:r>
        <w:t>Percorso C — Ostruzionismo pieno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Sub-percorso</w:t>
            </w:r>
          </w:p>
        </w:tc>
        <w:tc>
          <w:tcPr>
            <w:tcW w:type="dxa" w:w="2880"/>
          </w:tcPr>
          <w:p>
            <w:pPr>
              <w:spacing w:after="40"/>
            </w:pPr>
            <w:r>
              <w:rPr>
                <w:b/>
                <w:sz w:val="16"/>
              </w:rPr>
            </w:r>
            <w:r>
              <w:rPr>
                <w:b/>
                <w:sz w:val="16"/>
              </w:rPr>
              <w:t>Meccanismo</w:t>
            </w:r>
          </w:p>
        </w:tc>
        <w:tc>
          <w:tcPr>
            <w:tcW w:type="dxa" w:w="2880"/>
          </w:tcPr>
          <w:p>
            <w:pPr>
              <w:spacing w:after="40"/>
            </w:pPr>
            <w:r>
              <w:rPr>
                <w:b/>
                <w:sz w:val="16"/>
              </w:rPr>
            </w:r>
            <w:r>
              <w:rPr>
                <w:b/>
                <w:sz w:val="16"/>
              </w:rPr>
              <w:t>Nuovo CdA</w:t>
            </w:r>
          </w:p>
        </w:tc>
      </w:tr>
      <w:tr>
        <w:tc>
          <w:tcPr>
            <w:tcW w:type="dxa" w:w="2880"/>
          </w:tcPr>
          <w:p>
            <w:pPr>
              <w:spacing w:after="40"/>
            </w:pPr>
            <w:r>
              <w:rPr>
                <w:sz w:val="16"/>
              </w:rPr>
            </w:r>
            <w:r>
              <w:rPr>
                <w:b/>
                <w:sz w:val="16"/>
              </w:rPr>
              <w:t>C1 — Via sindacale</w:t>
            </w:r>
            <w:r>
              <w:rPr>
                <w:sz w:val="16"/>
              </w:rPr>
              <w:t xml:space="preserve"> (preferita)</w:t>
            </w:r>
          </w:p>
        </w:tc>
        <w:tc>
          <w:tcPr>
            <w:tcW w:type="dxa" w:w="2880"/>
          </w:tcPr>
          <w:p>
            <w:pPr>
              <w:spacing w:after="40"/>
            </w:pPr>
            <w:r>
              <w:rPr>
                <w:sz w:val="16"/>
              </w:rPr>
            </w:r>
            <w:r>
              <w:rPr>
                <w:b/>
                <w:sz w:val="16"/>
              </w:rPr>
              <w:t>Art. 2406, c. 1, c.c.</w:t>
            </w:r>
            <w:r>
              <w:rPr>
                <w:sz w:val="16"/>
              </w:rPr>
              <w:t xml:space="preserve">: in caso di omissione o ingiustificato ritardo degli amministratori il Collegio Sindacale </w:t>
            </w:r>
            <w:r>
              <w:rPr>
                <w:b/>
                <w:sz w:val="16"/>
              </w:rPr>
              <w:t>deve</w:t>
            </w:r>
            <w:r>
              <w:rPr>
                <w:sz w:val="16"/>
              </w:rPr>
              <w:t xml:space="preserve"> convocare l'assemblea. In combinazione con l'art. 2367, c. 2, c.c. ("se gli amministratori […] oppure in loro vece i sindaci […] non provvedono"). Per le quotate si aggiunge il </w:t>
            </w:r>
            <w:r>
              <w:rPr>
                <w:b/>
                <w:sz w:val="16"/>
              </w:rPr>
              <w:t>nuovo art. 151.1, c. 1, TUF</w:t>
            </w:r>
            <w:r>
              <w:rPr>
                <w:sz w:val="16"/>
              </w:rPr>
              <w:t xml:space="preserve"> (introdotto dal D.Lgs. 47/2026): il collegio sindacale può convocare l'assemblea previa comunicazione al presidente del CdA, e il potere di convocare l'assemblea </w:t>
            </w:r>
            <w:r>
              <w:rPr>
                <w:i/>
                <w:sz w:val="16"/>
              </w:rPr>
              <w:t>"può essere esercitato da almeno due componenti"</w:t>
            </w:r>
            <w:r>
              <w:rPr>
                <w:sz w:val="16"/>
              </w:rPr>
              <w:t xml:space="preserve"> — </w:t>
            </w:r>
            <w:r>
              <w:rPr>
                <w:b/>
                <w:sz w:val="16"/>
              </w:rPr>
              <w:t>bastano 2 sindaci su 3</w:t>
            </w:r>
            <w:r>
              <w:rPr>
                <w:sz w:val="16"/>
              </w:rPr>
              <w:t xml:space="preserve">, e nella formulazione post-riforma senza il presupposto dei "fatti censurabili di rilevante gravità" richiesto dall'art. 151, c. 1 </w:t>
            </w:r>
            <w:r>
              <w:rPr>
                <w:i/>
                <w:sz w:val="16"/>
              </w:rPr>
              <w:t>(lettura del nuovo testo da confermare: è il presupposto della via C1)</w:t>
            </w:r>
          </w:p>
        </w:tc>
        <w:tc>
          <w:tcPr>
            <w:tcW w:type="dxa" w:w="2880"/>
          </w:tcPr>
          <w:p>
            <w:pPr>
              <w:spacing w:after="40"/>
            </w:pPr>
            <w:r>
              <w:rPr>
                <w:sz w:val="16"/>
              </w:rPr>
            </w:r>
            <w:r>
              <w:rPr>
                <w:b/>
                <w:sz w:val="16"/>
              </w:rPr>
              <w:t>~t+90</w:t>
            </w:r>
            <w:r>
              <w:rPr>
                <w:sz w:val="16"/>
              </w:rPr>
              <w:t xml:space="preserve"> (aprile 2027)</w:t>
            </w:r>
          </w:p>
        </w:tc>
      </w:tr>
      <w:tr>
        <w:tc>
          <w:tcPr>
            <w:tcW w:type="dxa" w:w="2880"/>
          </w:tcPr>
          <w:p>
            <w:pPr>
              <w:spacing w:after="40"/>
            </w:pPr>
            <w:r>
              <w:rPr>
                <w:sz w:val="16"/>
              </w:rPr>
            </w:r>
            <w:r>
              <w:rPr>
                <w:b/>
                <w:sz w:val="16"/>
              </w:rPr>
              <w:t>C2 — Via giudiziale</w:t>
            </w:r>
          </w:p>
        </w:tc>
        <w:tc>
          <w:tcPr>
            <w:tcW w:type="dxa" w:w="2880"/>
          </w:tcPr>
          <w:p>
            <w:pPr>
              <w:spacing w:after="40"/>
            </w:pPr>
            <w:r>
              <w:rPr>
                <w:sz w:val="16"/>
              </w:rPr>
            </w:r>
            <w:r>
              <w:rPr>
                <w:b/>
                <w:sz w:val="16"/>
              </w:rPr>
              <w:t>Art. 2367, c. 2, c.c.</w:t>
            </w:r>
            <w:r>
              <w:rPr>
                <w:sz w:val="16"/>
              </w:rPr>
              <w:t xml:space="preserve">: ricorso al Tribunale delle Imprese competente (per MPS, sede in Siena, distretto di Corte d'Appello di </w:t>
            </w:r>
            <w:r>
              <w:rPr>
                <w:b/>
                <w:sz w:val="16"/>
              </w:rPr>
              <w:t>Firenze</w:t>
            </w:r>
            <w:r>
              <w:rPr>
                <w:sz w:val="16"/>
              </w:rPr>
              <w:t xml:space="preserve"> — </w:t>
            </w:r>
            <w:r>
              <w:rPr>
                <w:i/>
                <w:sz w:val="16"/>
              </w:rPr>
              <w:t>conclusione sistematica ex D.Lgs. 168/2003, non verificata documentalmente</w:t>
            </w:r>
            <w:r>
              <w:rPr>
                <w:sz w:val="16"/>
              </w:rPr>
              <w:t xml:space="preserve">). Procedimento camerale con </w:t>
            </w:r>
            <w:r>
              <w:rPr>
                <w:b/>
                <w:sz w:val="16"/>
              </w:rPr>
              <w:t>audizione obbligatoria</w:t>
            </w:r>
            <w:r>
              <w:rPr>
                <w:sz w:val="16"/>
              </w:rPr>
              <w:t xml:space="preserve"> degli organi a pena di nullità; decreto che ordina la convocazione e </w:t>
            </w:r>
            <w:r>
              <w:rPr>
                <w:b/>
                <w:sz w:val="16"/>
              </w:rPr>
              <w:t>designa la persona che deve presiederla</w:t>
            </w:r>
            <w:r>
              <w:rPr>
                <w:sz w:val="16"/>
              </w:rPr>
              <w:t>. Stima 30-90 giorni, senza dati statistici pubblici</w:t>
            </w:r>
          </w:p>
        </w:tc>
        <w:tc>
          <w:tcPr>
            <w:tcW w:type="dxa" w:w="2880"/>
          </w:tcPr>
          <w:p>
            <w:pPr>
              <w:spacing w:after="40"/>
            </w:pPr>
            <w:r>
              <w:rPr>
                <w:sz w:val="16"/>
              </w:rPr>
            </w:r>
            <w:r>
              <w:rPr>
                <w:b/>
                <w:sz w:val="16"/>
              </w:rPr>
              <w:t>~t+120/160</w:t>
            </w:r>
            <w:r>
              <w:rPr>
                <w:sz w:val="16"/>
              </w:rPr>
              <w:t xml:space="preserve"> (maggio–giugno 2027)</w:t>
            </w:r>
          </w:p>
        </w:tc>
      </w:tr>
    </w:tbl>
    <w:p/>
    <w:p>
      <w:r>
        <w:t xml:space="preserve">Il </w:t>
      </w:r>
      <w:r>
        <w:rPr>
          <w:b/>
        </w:rPr>
        <w:t>vantaggio non ovvio della via C2</w:t>
      </w:r>
      <w:r>
        <w:t xml:space="preserve">: lo statuto MPS (art. 12, c. 4) attribuisce la presidenza dell'assemblea al Presidente del CdA, con poteri significativi (accertamento della legittimazione, regolazione della discussione, modalità di votazione, proclamazione dei risultati). Anche nell'assemblea convocata dal Collegio Sindacale la presidenza resterebbe a un soggetto potenzialmente ostile. </w:t>
      </w:r>
      <w:r>
        <w:rPr>
          <w:b/>
        </w:rPr>
        <w:t>Solo il decreto del tribunale designa il presidente</w:t>
      </w:r>
      <w:r>
        <w:t xml:space="preserve">, neutralizzando il rischio. Se la conflittualità è alta, C2 non è solo il </w:t>
      </w:r>
      <w:r>
        <w:rPr>
          <w:i/>
        </w:rPr>
        <w:t>backstop</w:t>
      </w:r>
      <w:r>
        <w:t>: è l'unica via che mette al sicuro la conduzione dell'assemblea.</w:t>
      </w:r>
    </w:p>
    <w:p>
      <w:r>
        <w:rPr>
          <w:b/>
        </w:rPr>
        <w:t>Precedente diretto</w:t>
      </w:r>
      <w:r>
        <w:t>: nel caso TIM 2018 fu il Collegio Sindacale, all'unanimità, a dare corso alla richiesta dei soci contro la volontà del CdA. Il collegio MPS in carica è plurale e non riconducibile al consiglio (presidente dalla lista di minoranza degli istituzionali, un sindaco dalla lista PLT, uno nominato su proposta formulata in assemblea): la via C1 è concretamente percorribile.</w:t>
      </w:r>
    </w:p>
    <w:p>
      <w:pPr>
        <w:pStyle w:val="Heading4"/>
      </w:pPr>
      <w:r>
        <w:t>Percorso D — L'art. 126-bis TUF su un'assemblea già convocata: non funziona</w:t>
      </w:r>
    </w:p>
    <w:p>
      <w:r>
        <w:t xml:space="preserve">Sul piano dell'ammissibilità della materia sì (revoca e nomina non rientrano nell'esclusione del c. 3); sul piano dei termini no. L'assemblea di bilancio è convocata con </w:t>
      </w:r>
      <w:r>
        <w:rPr>
          <w:b/>
        </w:rPr>
        <w:t>30 giorni</w:t>
      </w:r>
      <w:r>
        <w:t xml:space="preserve">; il voto di lista richiede </w:t>
      </w:r>
      <w:r>
        <w:rPr>
          <w:b/>
        </w:rPr>
        <w:t>40</w:t>
      </w:r>
      <w:r>
        <w:t xml:space="preserve"> giorni di avviso, </w:t>
      </w:r>
      <w:r>
        <w:rPr>
          <w:b/>
        </w:rPr>
        <w:t>25</w:t>
      </w:r>
      <w:r>
        <w:t xml:space="preserve"> di deposito liste e </w:t>
      </w:r>
      <w:r>
        <w:rPr>
          <w:b/>
        </w:rPr>
        <w:t>21</w:t>
      </w:r>
      <w:r>
        <w:t xml:space="preserve"> di pubblicazione. Con l'integrazione chiesta entro il </w:t>
      </w:r>
      <w:r>
        <w:rPr>
          <w:b/>
        </w:rPr>
        <w:t>3° giorno</w:t>
      </w:r>
      <w:r>
        <w:t xml:space="preserve"> dalla pubblicazione dell'avviso (termine accorciato da 10 a 3 giorni dal D.Lgs. 47/2026, applicabile alle assemblee successive al 30 settembre 2026) e resa nota entro l'8°, restano 22 giorni: </w:t>
      </w:r>
      <w:r>
        <w:rPr>
          <w:b/>
        </w:rPr>
        <w:t>i termini delle liste sono insanabilmente incompatibili</w:t>
      </w:r>
      <w:r>
        <w:t>. È esattamente ciò che il Tribunale di Milano ha bloccato nel caso TIM. Da escludere.</w:t>
      </w:r>
    </w:p>
    <w:p>
      <w:pPr>
        <w:pStyle w:val="Heading4"/>
      </w:pPr>
      <w:r>
        <w:t>Percorso E — Art. 2393, c. 5, c.c.: da non usare</w:t>
      </w:r>
    </w:p>
    <w:p>
      <w:r>
        <w:t xml:space="preserve">La delibera di azione di responsabilità </w:t>
      </w:r>
      <w:r>
        <w:rPr>
          <w:b/>
        </w:rPr>
        <w:t>importa la revoca dall'ufficio</w:t>
      </w:r>
      <w:r>
        <w:t xml:space="preserve"> se assunta con il voto favorevole di almeno </w:t>
      </w:r>
      <w:r>
        <w:rPr>
          <w:b/>
        </w:rPr>
        <w:t>un quinto del capitale sociale</w:t>
      </w:r>
      <w:r>
        <w:t xml:space="preserve">, e può essere adottata in occasione della discussione del bilancio anche se non all'o.d.g., per fatti di competenza dell'esercizio. Tecnicamente è lo strumento più rapido. Ma: (i) colpisce solo gli amministratori contro cui l'azione è proposta, quindi servono </w:t>
      </w:r>
      <w:r>
        <w:rPr>
          <w:b/>
        </w:rPr>
        <w:t>addebiti nominativi e specifici</w:t>
      </w:r>
      <w:r>
        <w:t xml:space="preserve"> contro ciascuno; (ii) i revocati non godono di prorogatio → gestione interinale al Collegio Sindacale con soli poteri di ordinaria amministrazione; (iii) collide con l'art. 15, c. 10, dello statuto, che impone comunque il rinnovo integrale con voto di lista; (iv) genera </w:t>
      </w:r>
      <w:r>
        <w:rPr>
          <w:i/>
        </w:rPr>
        <w:t>market disclosure</w:t>
      </w:r>
      <w:r>
        <w:t xml:space="preserve"> negativa, impugnative ex art. 2377 c.c. e un segnale di ingovernabilità a BCE e Banca d'Italia </w:t>
      </w:r>
      <w:r>
        <w:rPr>
          <w:b/>
        </w:rPr>
        <w:t>nel momento stesso in cui il gruppo chiede fiducia sull'integrazione</w:t>
      </w:r>
      <w:r>
        <w:t>. Da valutare solo se la due diligence post-settlement facesse emergere condotte effettivamente contestabili. Come leva negoziale, la sola prospettazione credibile vale più dell'esercizio.</w:t>
      </w:r>
    </w:p>
    <w:p>
      <w:pPr>
        <w:pStyle w:val="Heading4"/>
      </w:pPr>
      <w:r>
        <w:t>Percorso F — Art. 2409 c.c.: non disponibile</w:t>
      </w:r>
    </w:p>
    <w:p>
      <w:r>
        <w:rPr>
          <w:b/>
        </w:rPr>
        <w:t>L'art. 70, c. 7, TUB esclude l'applicazione dell'art. 2409 c.c. alle banche</w:t>
      </w:r>
      <w:r>
        <w:t xml:space="preserve">, sostituendolo con la denuncia dei fatti </w:t>
      </w:r>
      <w:r>
        <w:rPr>
          <w:b/>
        </w:rPr>
        <w:t>alla Banca d'Italia</w:t>
      </w:r>
      <w:r>
        <w:t xml:space="preserve">, che decide con provvedimento motivato (per una </w:t>
      </w:r>
      <w:r>
        <w:rPr>
          <w:i/>
        </w:rPr>
        <w:t>significant institution</w:t>
      </w:r>
      <w:r>
        <w:t xml:space="preserve"> il canale rilevante passa per la BCE nel MVU). Nessuna revoca giudiziale, nessun amministratore giudiziario. E attivare la vigilanza contro la propria controllata appena acquisita, in uno scenario di semplice conflitto di governance, è sproporzionato e controproducente: </w:t>
      </w:r>
      <w:r>
        <w:rPr>
          <w:i/>
        </w:rPr>
        <w:t>extrema ratio</w:t>
      </w:r>
      <w:r>
        <w:t xml:space="preserve"> retorica, non percorso operativo. </w:t>
      </w:r>
      <w:r>
        <w:rPr>
          <w:i/>
        </w:rPr>
        <w:t>(Da confermare sul testo vigente dell'art. 70 TUB.)</w:t>
      </w:r>
    </w:p>
    <w:p>
      <w:pPr>
        <w:pStyle w:val="Heading4"/>
      </w:pPr>
      <w:r>
        <w:t xml:space="preserve">Percorso G — La difesa asimmetrica: il CdA che si dimette </w:t>
      </w:r>
      <w:r>
        <w:rPr>
          <w:i/>
        </w:rPr>
        <w:t>per rallentare</w:t>
      </w:r>
    </w:p>
    <w:p>
      <w:r>
        <w:t xml:space="preserve">Va messo in conto. Nel caso TIM 2018 il consiglio si difese </w:t>
      </w:r>
      <w:r>
        <w:rPr>
          <w:b/>
        </w:rPr>
        <w:t>dimettendosi</w:t>
      </w:r>
      <w:r>
        <w:t xml:space="preserve"> (8 su 15), perché ciò innescava la clausola </w:t>
      </w:r>
      <w:r>
        <w:rPr>
          <w:i/>
        </w:rPr>
        <w:t>simul stabunt</w:t>
      </w:r>
      <w:r>
        <w:t xml:space="preserve"> e imponeva il rinnovo integrale con voto di lista, procedura più lenta di una sostituzione selettiva. Un CdA MPS "ostile ma tecnicamente avvertito" non rifiuterebbe di dimettersi: si dimetterebbe nei tempi e nei modi che massimizzano la durata del proprio mandato residuo e </w:t>
      </w:r>
      <w:r>
        <w:rPr>
          <w:b/>
        </w:rPr>
        <w:t>presenterebbe la propria lista ex art. 147-ter.1 TUF</w:t>
      </w:r>
      <w:r>
        <w:t xml:space="preserve"> (delibera con i 2/3 dei componenti; lista con un numero di candidati pari a quelli da eleggere maggiorato di un terzo; deposito </w:t>
      </w:r>
      <w:r>
        <w:rPr>
          <w:b/>
        </w:rPr>
        <w:t>40 giorni</w:t>
      </w:r>
      <w:r>
        <w:t xml:space="preserve"> prima). Con ISP oltre il 66% l'esito del voto non è in dubbio — e il precedente MPS del 15 aprile 2026 dimostra che la lista del CdA uscente può essere battuta anche da chi ha l'1% del capitale — ma la lista del consiglio aggiunge un adempimento e, se per ipotesi risultasse prima per voti, farebbe scattare la </w:t>
      </w:r>
      <w:r>
        <w:rPr>
          <w:b/>
        </w:rPr>
        <w:t>votazione individuale su ogni candidato</w:t>
      </w:r>
      <w:r>
        <w:t xml:space="preserve"> (Delibera Consob 23725/2025: vota chiunque sia presente in assemblea, anche chi ha votato altre liste o si è astenuto).</w:t>
      </w:r>
    </w:p>
    <w:p>
      <w:pPr>
        <w:pStyle w:val="Heading3"/>
      </w:pPr>
      <w:r>
        <w:t>4.5 Riepilogo del nodo B</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6"/>
              </w:rPr>
            </w:r>
            <w:r>
              <w:rPr>
                <w:b/>
                <w:sz w:val="16"/>
              </w:rPr>
              <w:t>Percorso</w:t>
            </w:r>
          </w:p>
        </w:tc>
        <w:tc>
          <w:tcPr>
            <w:tcW w:type="dxa" w:w="1728"/>
          </w:tcPr>
          <w:p>
            <w:pPr>
              <w:spacing w:after="40"/>
            </w:pPr>
            <w:r>
              <w:rPr>
                <w:b/>
                <w:sz w:val="16"/>
              </w:rPr>
            </w:r>
            <w:r>
              <w:rPr>
                <w:b/>
                <w:sz w:val="16"/>
              </w:rPr>
              <w:t>Nuovo CdA</w:t>
            </w:r>
          </w:p>
        </w:tc>
        <w:tc>
          <w:tcPr>
            <w:tcW w:type="dxa" w:w="1728"/>
          </w:tcPr>
          <w:p>
            <w:pPr>
              <w:spacing w:after="40"/>
            </w:pPr>
            <w:r>
              <w:rPr>
                <w:b/>
                <w:sz w:val="16"/>
              </w:rPr>
            </w:r>
            <w:r>
              <w:rPr>
                <w:b/>
                <w:sz w:val="16"/>
              </w:rPr>
              <w:t>Data indicativa</w:t>
            </w:r>
          </w:p>
        </w:tc>
        <w:tc>
          <w:tcPr>
            <w:tcW w:type="dxa" w:w="1728"/>
          </w:tcPr>
          <w:p>
            <w:pPr>
              <w:spacing w:after="40"/>
            </w:pPr>
            <w:r>
              <w:rPr>
                <w:b/>
                <w:sz w:val="16"/>
              </w:rPr>
            </w:r>
            <w:r>
              <w:rPr>
                <w:b/>
                <w:sz w:val="16"/>
              </w:rPr>
              <w:t>Costo</w:t>
            </w:r>
          </w:p>
        </w:tc>
        <w:tc>
          <w:tcPr>
            <w:tcW w:type="dxa" w:w="1728"/>
          </w:tcPr>
          <w:p>
            <w:pPr>
              <w:spacing w:after="40"/>
            </w:pPr>
            <w:r>
              <w:rPr>
                <w:b/>
                <w:sz w:val="16"/>
              </w:rPr>
            </w:r>
            <w:r>
              <w:rPr>
                <w:b/>
                <w:sz w:val="16"/>
              </w:rPr>
              <w:t>Rischio</w:t>
            </w:r>
          </w:p>
        </w:tc>
      </w:tr>
      <w:tr>
        <w:tc>
          <w:tcPr>
            <w:tcW w:type="dxa" w:w="1728"/>
          </w:tcPr>
          <w:p>
            <w:pPr>
              <w:spacing w:after="40"/>
            </w:pPr>
            <w:r>
              <w:rPr>
                <w:sz w:val="16"/>
              </w:rPr>
            </w:r>
            <w:r>
              <w:rPr>
                <w:b/>
                <w:sz w:val="16"/>
              </w:rPr>
              <w:t>0</w:t>
            </w:r>
            <w:r>
              <w:rPr>
                <w:sz w:val="16"/>
              </w:rPr>
              <w:t xml:space="preserve"> Convocazione anticipata pre-settlement</w:t>
            </w:r>
          </w:p>
        </w:tc>
        <w:tc>
          <w:tcPr>
            <w:tcW w:type="dxa" w:w="1728"/>
          </w:tcPr>
          <w:p>
            <w:pPr>
              <w:spacing w:after="40"/>
            </w:pPr>
            <w:r>
              <w:rPr>
                <w:sz w:val="16"/>
              </w:rPr>
            </w:r>
            <w:r>
              <w:rPr>
                <w:sz w:val="16"/>
              </w:rPr>
              <w:t>t+15/20</w:t>
            </w:r>
          </w:p>
        </w:tc>
        <w:tc>
          <w:tcPr>
            <w:tcW w:type="dxa" w:w="1728"/>
          </w:tcPr>
          <w:p>
            <w:pPr>
              <w:spacing w:after="40"/>
            </w:pPr>
            <w:r>
              <w:rPr>
                <w:sz w:val="16"/>
              </w:rPr>
            </w:r>
            <w:r>
              <w:rPr>
                <w:sz w:val="16"/>
              </w:rPr>
              <w:t>~25 gennaio 2027</w:t>
            </w:r>
          </w:p>
        </w:tc>
        <w:tc>
          <w:tcPr>
            <w:tcW w:type="dxa" w:w="1728"/>
          </w:tcPr>
          <w:p>
            <w:pPr>
              <w:spacing w:after="40"/>
            </w:pPr>
            <w:r>
              <w:rPr>
                <w:sz w:val="16"/>
              </w:rPr>
            </w:r>
            <w:r>
              <w:rPr>
                <w:sz w:val="16"/>
              </w:rPr>
              <w:t>basso</w:t>
            </w:r>
          </w:p>
        </w:tc>
        <w:tc>
          <w:tcPr>
            <w:tcW w:type="dxa" w:w="1728"/>
          </w:tcPr>
          <w:p>
            <w:pPr>
              <w:spacing w:after="40"/>
            </w:pPr>
            <w:r>
              <w:rPr>
                <w:sz w:val="16"/>
              </w:rPr>
            </w:r>
            <w:r>
              <w:rPr>
                <w:sz w:val="16"/>
              </w:rPr>
              <w:t>richiede collaborazione MPS</w:t>
            </w:r>
          </w:p>
        </w:tc>
      </w:tr>
      <w:tr>
        <w:tc>
          <w:tcPr>
            <w:tcW w:type="dxa" w:w="1728"/>
          </w:tcPr>
          <w:p>
            <w:pPr>
              <w:spacing w:after="40"/>
            </w:pPr>
            <w:r>
              <w:rPr>
                <w:sz w:val="16"/>
              </w:rPr>
            </w:r>
            <w:r>
              <w:rPr>
                <w:b/>
                <w:sz w:val="16"/>
              </w:rPr>
              <w:t>A</w:t>
            </w:r>
            <w:r>
              <w:rPr>
                <w:sz w:val="16"/>
              </w:rPr>
              <w:t xml:space="preserve"> Dimissioni concordate (pag. 4)</w:t>
            </w:r>
          </w:p>
        </w:tc>
        <w:tc>
          <w:tcPr>
            <w:tcW w:type="dxa" w:w="1728"/>
          </w:tcPr>
          <w:p>
            <w:pPr>
              <w:spacing w:after="40"/>
            </w:pPr>
            <w:r>
              <w:rPr>
                <w:sz w:val="16"/>
              </w:rPr>
            </w:r>
            <w:r>
              <w:rPr>
                <w:sz w:val="16"/>
              </w:rPr>
              <w:t>t+42/60</w:t>
            </w:r>
          </w:p>
        </w:tc>
        <w:tc>
          <w:tcPr>
            <w:tcW w:type="dxa" w:w="1728"/>
          </w:tcPr>
          <w:p>
            <w:pPr>
              <w:spacing w:after="40"/>
            </w:pPr>
            <w:r>
              <w:rPr>
                <w:sz w:val="16"/>
              </w:rPr>
            </w:r>
            <w:r>
              <w:rPr>
                <w:sz w:val="16"/>
              </w:rPr>
              <w:t>25 febbraio 2027</w:t>
            </w:r>
          </w:p>
        </w:tc>
        <w:tc>
          <w:tcPr>
            <w:tcW w:type="dxa" w:w="1728"/>
          </w:tcPr>
          <w:p>
            <w:pPr>
              <w:spacing w:after="40"/>
            </w:pPr>
            <w:r>
              <w:rPr>
                <w:sz w:val="16"/>
              </w:rPr>
            </w:r>
            <w:r>
              <w:rPr>
                <w:i/>
                <w:sz w:val="16"/>
              </w:rPr>
              <w:t>severance</w:t>
            </w:r>
            <w:r>
              <w:rPr>
                <w:sz w:val="16"/>
              </w:rPr>
              <w:t xml:space="preserve"> entro i cap</w:t>
            </w:r>
          </w:p>
        </w:tc>
        <w:tc>
          <w:tcPr>
            <w:tcW w:type="dxa" w:w="1728"/>
          </w:tcPr>
          <w:p>
            <w:pPr>
              <w:spacing w:after="40"/>
            </w:pPr>
            <w:r>
              <w:rPr>
                <w:sz w:val="16"/>
              </w:rPr>
            </w:r>
            <w:r>
              <w:rPr>
                <w:sz w:val="16"/>
              </w:rPr>
              <w:t>basso</w:t>
            </w:r>
          </w:p>
        </w:tc>
      </w:tr>
      <w:tr>
        <w:tc>
          <w:tcPr>
            <w:tcW w:type="dxa" w:w="1728"/>
          </w:tcPr>
          <w:p>
            <w:pPr>
              <w:spacing w:after="40"/>
            </w:pPr>
            <w:r>
              <w:rPr>
                <w:sz w:val="16"/>
              </w:rPr>
            </w:r>
            <w:r>
              <w:rPr>
                <w:b/>
                <w:sz w:val="16"/>
              </w:rPr>
              <w:t>B</w:t>
            </w:r>
            <w:r>
              <w:rPr>
                <w:sz w:val="16"/>
              </w:rPr>
              <w:t xml:space="preserve"> Revoca assembleare con CdA che convoca</w:t>
            </w:r>
          </w:p>
        </w:tc>
        <w:tc>
          <w:tcPr>
            <w:tcW w:type="dxa" w:w="1728"/>
          </w:tcPr>
          <w:p>
            <w:pPr>
              <w:spacing w:after="40"/>
            </w:pPr>
            <w:r>
              <w:rPr>
                <w:sz w:val="16"/>
              </w:rPr>
            </w:r>
            <w:r>
              <w:rPr>
                <w:sz w:val="16"/>
              </w:rPr>
              <w:t>t+55/80</w:t>
            </w:r>
          </w:p>
        </w:tc>
        <w:tc>
          <w:tcPr>
            <w:tcW w:type="dxa" w:w="1728"/>
          </w:tcPr>
          <w:p>
            <w:pPr>
              <w:spacing w:after="40"/>
            </w:pPr>
            <w:r>
              <w:rPr>
                <w:sz w:val="16"/>
              </w:rPr>
            </w:r>
            <w:r>
              <w:rPr>
                <w:sz w:val="16"/>
              </w:rPr>
              <w:t>inizio marzo 2027</w:t>
            </w:r>
          </w:p>
        </w:tc>
        <w:tc>
          <w:tcPr>
            <w:tcW w:type="dxa" w:w="1728"/>
          </w:tcPr>
          <w:p>
            <w:pPr>
              <w:spacing w:after="40"/>
            </w:pPr>
            <w:r>
              <w:rPr>
                <w:sz w:val="16"/>
              </w:rPr>
            </w:r>
            <w:r>
              <w:rPr>
                <w:sz w:val="16"/>
              </w:rPr>
              <w:t>indennizzo ~€5-6 mln + AD</w:t>
            </w:r>
          </w:p>
        </w:tc>
        <w:tc>
          <w:tcPr>
            <w:tcW w:type="dxa" w:w="1728"/>
          </w:tcPr>
          <w:p>
            <w:pPr>
              <w:spacing w:after="40"/>
            </w:pPr>
            <w:r>
              <w:rPr>
                <w:sz w:val="16"/>
              </w:rPr>
            </w:r>
            <w:r>
              <w:rPr>
                <w:sz w:val="16"/>
              </w:rPr>
              <w:t>medio</w:t>
            </w:r>
          </w:p>
        </w:tc>
      </w:tr>
      <w:tr>
        <w:tc>
          <w:tcPr>
            <w:tcW w:type="dxa" w:w="1728"/>
          </w:tcPr>
          <w:p>
            <w:pPr>
              <w:spacing w:after="40"/>
            </w:pPr>
            <w:r>
              <w:rPr>
                <w:sz w:val="16"/>
              </w:rPr>
            </w:r>
            <w:r>
              <w:rPr>
                <w:b/>
                <w:sz w:val="16"/>
              </w:rPr>
              <w:t>C1</w:t>
            </w:r>
            <w:r>
              <w:rPr>
                <w:sz w:val="16"/>
              </w:rPr>
              <w:t xml:space="preserve"> Via Collegio Sindacale (2 sindaci su 3)</w:t>
            </w:r>
          </w:p>
        </w:tc>
        <w:tc>
          <w:tcPr>
            <w:tcW w:type="dxa" w:w="1728"/>
          </w:tcPr>
          <w:p>
            <w:pPr>
              <w:spacing w:after="40"/>
            </w:pPr>
            <w:r>
              <w:rPr>
                <w:sz w:val="16"/>
              </w:rPr>
            </w:r>
            <w:r>
              <w:rPr>
                <w:sz w:val="16"/>
              </w:rPr>
              <w:t>~t+90</w:t>
            </w:r>
          </w:p>
        </w:tc>
        <w:tc>
          <w:tcPr>
            <w:tcW w:type="dxa" w:w="1728"/>
          </w:tcPr>
          <w:p>
            <w:pPr>
              <w:spacing w:after="40"/>
            </w:pPr>
            <w:r>
              <w:rPr>
                <w:sz w:val="16"/>
              </w:rPr>
            </w:r>
            <w:r>
              <w:rPr>
                <w:sz w:val="16"/>
              </w:rPr>
              <w:t>aprile 2027</w:t>
            </w:r>
          </w:p>
        </w:tc>
        <w:tc>
          <w:tcPr>
            <w:tcW w:type="dxa" w:w="1728"/>
          </w:tcPr>
          <w:p>
            <w:pPr>
              <w:spacing w:after="40"/>
            </w:pPr>
            <w:r>
              <w:rPr>
                <w:sz w:val="16"/>
              </w:rPr>
            </w:r>
            <w:r>
              <w:rPr>
                <w:sz w:val="16"/>
              </w:rPr>
              <w:t>idem</w:t>
            </w:r>
          </w:p>
        </w:tc>
        <w:tc>
          <w:tcPr>
            <w:tcW w:type="dxa" w:w="1728"/>
          </w:tcPr>
          <w:p>
            <w:pPr>
              <w:spacing w:after="40"/>
            </w:pPr>
            <w:r>
              <w:rPr>
                <w:sz w:val="16"/>
              </w:rPr>
            </w:r>
            <w:r>
              <w:rPr>
                <w:sz w:val="16"/>
              </w:rPr>
              <w:t>medio</w:t>
            </w:r>
          </w:p>
        </w:tc>
      </w:tr>
      <w:tr>
        <w:tc>
          <w:tcPr>
            <w:tcW w:type="dxa" w:w="1728"/>
          </w:tcPr>
          <w:p>
            <w:pPr>
              <w:spacing w:after="40"/>
            </w:pPr>
            <w:r>
              <w:rPr>
                <w:sz w:val="16"/>
              </w:rPr>
            </w:r>
            <w:r>
              <w:rPr>
                <w:b/>
                <w:sz w:val="16"/>
              </w:rPr>
              <w:t>C2</w:t>
            </w:r>
            <w:r>
              <w:rPr>
                <w:sz w:val="16"/>
              </w:rPr>
              <w:t xml:space="preserve"> Ricorso al Tribunale delle Imprese</w:t>
            </w:r>
          </w:p>
        </w:tc>
        <w:tc>
          <w:tcPr>
            <w:tcW w:type="dxa" w:w="1728"/>
          </w:tcPr>
          <w:p>
            <w:pPr>
              <w:spacing w:after="40"/>
            </w:pPr>
            <w:r>
              <w:rPr>
                <w:sz w:val="16"/>
              </w:rPr>
            </w:r>
            <w:r>
              <w:rPr>
                <w:sz w:val="16"/>
              </w:rPr>
              <w:t>~t+120/160</w:t>
            </w:r>
          </w:p>
        </w:tc>
        <w:tc>
          <w:tcPr>
            <w:tcW w:type="dxa" w:w="1728"/>
          </w:tcPr>
          <w:p>
            <w:pPr>
              <w:spacing w:after="40"/>
            </w:pPr>
            <w:r>
              <w:rPr>
                <w:sz w:val="16"/>
              </w:rPr>
            </w:r>
            <w:r>
              <w:rPr>
                <w:sz w:val="16"/>
              </w:rPr>
              <w:t>maggio–giugno 2027</w:t>
            </w:r>
          </w:p>
        </w:tc>
        <w:tc>
          <w:tcPr>
            <w:tcW w:type="dxa" w:w="1728"/>
          </w:tcPr>
          <w:p>
            <w:pPr>
              <w:spacing w:after="40"/>
            </w:pPr>
            <w:r>
              <w:rPr>
                <w:sz w:val="16"/>
              </w:rPr>
            </w:r>
            <w:r>
              <w:rPr>
                <w:sz w:val="16"/>
              </w:rPr>
              <w:t>idem + spese legali</w:t>
            </w:r>
          </w:p>
        </w:tc>
        <w:tc>
          <w:tcPr>
            <w:tcW w:type="dxa" w:w="1728"/>
          </w:tcPr>
          <w:p>
            <w:pPr>
              <w:spacing w:after="40"/>
            </w:pPr>
            <w:r>
              <w:rPr>
                <w:sz w:val="16"/>
              </w:rPr>
            </w:r>
            <w:r>
              <w:rPr>
                <w:sz w:val="16"/>
              </w:rPr>
              <w:t>medio-alto, ma presidenza designata dal giudice</w:t>
            </w:r>
          </w:p>
        </w:tc>
      </w:tr>
      <w:tr>
        <w:tc>
          <w:tcPr>
            <w:tcW w:type="dxa" w:w="1728"/>
          </w:tcPr>
          <w:p>
            <w:pPr>
              <w:spacing w:after="40"/>
            </w:pPr>
            <w:r>
              <w:rPr>
                <w:sz w:val="16"/>
              </w:rPr>
            </w:r>
            <w:r>
              <w:rPr>
                <w:b/>
                <w:sz w:val="16"/>
              </w:rPr>
              <w:t>E</w:t>
            </w:r>
            <w:r>
              <w:rPr>
                <w:sz w:val="16"/>
              </w:rPr>
              <w:t xml:space="preserve"> Art. 2393, c. 5</w:t>
            </w:r>
          </w:p>
        </w:tc>
        <w:tc>
          <w:tcPr>
            <w:tcW w:type="dxa" w:w="1728"/>
          </w:tcPr>
          <w:p>
            <w:pPr>
              <w:spacing w:after="40"/>
            </w:pPr>
            <w:r>
              <w:rPr>
                <w:sz w:val="16"/>
              </w:rPr>
            </w:r>
            <w:r>
              <w:rPr>
                <w:sz w:val="16"/>
              </w:rPr>
              <w:t>teoricamente immediato</w:t>
            </w:r>
          </w:p>
        </w:tc>
        <w:tc>
          <w:tcPr>
            <w:tcW w:type="dxa" w:w="1728"/>
          </w:tcPr>
          <w:p>
            <w:pPr>
              <w:spacing w:after="40"/>
            </w:pPr>
            <w:r>
              <w:rPr>
                <w:sz w:val="16"/>
              </w:rPr>
            </w:r>
            <w:r>
              <w:rPr>
                <w:sz w:val="16"/>
              </w:rPr>
              <w:t>—</w:t>
            </w:r>
          </w:p>
        </w:tc>
        <w:tc>
          <w:tcPr>
            <w:tcW w:type="dxa" w:w="1728"/>
          </w:tcPr>
          <w:p>
            <w:pPr>
              <w:spacing w:after="40"/>
            </w:pPr>
            <w:r>
              <w:rPr>
                <w:sz w:val="16"/>
              </w:rPr>
            </w:r>
            <w:r>
              <w:rPr>
                <w:sz w:val="16"/>
              </w:rPr>
              <w:t>molto alto</w:t>
            </w:r>
          </w:p>
        </w:tc>
        <w:tc>
          <w:tcPr>
            <w:tcW w:type="dxa" w:w="1728"/>
          </w:tcPr>
          <w:p>
            <w:pPr>
              <w:spacing w:after="40"/>
            </w:pPr>
            <w:r>
              <w:rPr>
                <w:sz w:val="16"/>
              </w:rPr>
            </w:r>
            <w:r>
              <w:rPr>
                <w:b/>
                <w:sz w:val="16"/>
              </w:rPr>
              <w:t>molto alto</w:t>
            </w:r>
          </w:p>
        </w:tc>
      </w:tr>
      <w:tr>
        <w:tc>
          <w:tcPr>
            <w:tcW w:type="dxa" w:w="1728"/>
          </w:tcPr>
          <w:p>
            <w:pPr>
              <w:spacing w:after="40"/>
            </w:pPr>
            <w:r>
              <w:rPr>
                <w:sz w:val="16"/>
              </w:rPr>
            </w:r>
            <w:r>
              <w:rPr>
                <w:b/>
                <w:sz w:val="16"/>
              </w:rPr>
              <w:t>F</w:t>
            </w:r>
            <w:r>
              <w:rPr>
                <w:sz w:val="16"/>
              </w:rPr>
              <w:t xml:space="preserve"> Art. 2409 c.c.</w:t>
            </w:r>
          </w:p>
        </w:tc>
        <w:tc>
          <w:tcPr>
            <w:tcW w:type="dxa" w:w="1728"/>
          </w:tcPr>
          <w:p>
            <w:pPr>
              <w:spacing w:after="40"/>
            </w:pPr>
            <w:r>
              <w:rPr>
                <w:sz w:val="16"/>
              </w:rPr>
            </w:r>
            <w:r>
              <w:rPr>
                <w:sz w:val="16"/>
              </w:rPr>
              <w:t>non disponibile</w:t>
            </w:r>
          </w:p>
        </w:tc>
        <w:tc>
          <w:tcPr>
            <w:tcW w:type="dxa" w:w="1728"/>
          </w:tcPr>
          <w:p>
            <w:pPr>
              <w:spacing w:after="40"/>
            </w:pPr>
            <w:r>
              <w:rPr>
                <w:sz w:val="16"/>
              </w:rPr>
            </w:r>
            <w:r>
              <w:rPr>
                <w:sz w:val="16"/>
              </w:rPr>
              <w:t>—</w:t>
            </w:r>
          </w:p>
        </w:tc>
        <w:tc>
          <w:tcPr>
            <w:tcW w:type="dxa" w:w="1728"/>
          </w:tcPr>
          <w:p>
            <w:pPr>
              <w:spacing w:after="40"/>
            </w:pPr>
            <w:r>
              <w:rPr>
                <w:sz w:val="16"/>
              </w:rPr>
            </w:r>
            <w:r>
              <w:rPr>
                <w:sz w:val="16"/>
              </w:rPr>
              <w:t>—</w:t>
            </w:r>
          </w:p>
        </w:tc>
        <w:tc>
          <w:tcPr>
            <w:tcW w:type="dxa" w:w="1728"/>
          </w:tcPr>
          <w:p>
            <w:pPr>
              <w:spacing w:after="40"/>
            </w:pPr>
            <w:r>
              <w:rPr>
                <w:sz w:val="16"/>
              </w:rPr>
            </w:r>
            <w:r>
              <w:rPr>
                <w:sz w:val="16"/>
              </w:rPr>
              <w:t>precluso ex art. 70, c. 7, TUB</w:t>
            </w:r>
          </w:p>
        </w:tc>
      </w:tr>
    </w:tbl>
    <w:p/>
    <w:p>
      <w:r>
        <w:t xml:space="preserve">Va letta con l'avvertenza del par. 4.4: </w:t>
      </w:r>
      <w:r>
        <w:rPr>
          <w:b/>
        </w:rPr>
        <w:t>l'intero scarto fra il percorso A e i percorsi B, C1 e C2 è imputabile al tempo necessario a ottenere la delibera di convocazione</w:t>
      </w:r>
      <w:r>
        <w:t xml:space="preserve">, non alla rimozione degli amministratori. Se il consiglio, pur non dimettendosi, convoca senza far perdere tempo — che è l'esito più probabile, perché il rifiuto di convocare espone personalmente gli amministratori — i percorsi A e B </w:t>
      </w:r>
      <w:r>
        <w:rPr>
          <w:b/>
        </w:rPr>
        <w:t>convergono sostanzialmente sulla stessa data</w:t>
      </w:r>
      <w:r>
        <w:t xml:space="preserve">. Il differenziale va quindi presentato come un rischio condizionato, non come un ritardo atteso. Resta invece </w:t>
      </w:r>
      <w:r>
        <w:rPr>
          <w:b/>
        </w:rPr>
        <w:t>non recuperabile</w:t>
      </w:r>
      <w:r>
        <w:t>, e indipendente dal calendario assembleare, la perdita di governo del business nella finestra interinale (par. 4.3-bis).</w:t>
      </w:r>
    </w:p>
    <w:p>
      <w:r>
        <w:rPr>
          <w:b/>
        </w:rPr>
        <w:t>Nessun precedente italiano documentato</w:t>
      </w:r>
      <w:r>
        <w:t xml:space="preserve"> di rifiuto compatto e prolungato di dimettersi da parte del CdA di una banca quotata dopo un'acquisizione di controllo. Nei casi reali le tempistiche effettive settlement → nuovo board sono state: BPER/Carige </w:t>
      </w:r>
      <w:r>
        <w:rPr>
          <w:b/>
        </w:rPr>
        <w:t>12 giorni</w:t>
      </w:r>
      <w:r>
        <w:t xml:space="preserve"> (acquisto negoziato con assemblea già convocata), MPS/Mediobanca </w:t>
      </w:r>
      <w:r>
        <w:rPr>
          <w:b/>
        </w:rPr>
        <w:t>42 giorni</w:t>
      </w:r>
      <w:r>
        <w:t xml:space="preserve">, BPER/Banca Popolare di Sondrio </w:t>
      </w:r>
      <w:r>
        <w:rPr>
          <w:b/>
        </w:rPr>
        <w:t>~47 giorni</w:t>
      </w:r>
      <w:r>
        <w:t xml:space="preserve"> (con </w:t>
      </w:r>
      <w:r>
        <w:rPr>
          <w:b/>
        </w:rPr>
        <w:t>revoca in assemblea del consigliere Enrico Stoppani</w:t>
      </w:r>
      <w:r>
        <w:t xml:space="preserve">, che aveva rifiutato di dimettersi, </w:t>
      </w:r>
      <w:r>
        <w:rPr>
          <w:b/>
        </w:rPr>
        <w:t>senza un giorno di ritardo</w:t>
      </w:r>
      <w:r>
        <w:t xml:space="preserve">), ISP/UBI </w:t>
      </w:r>
      <w:r>
        <w:rPr>
          <w:b/>
        </w:rPr>
        <w:t>~71 giorni</w:t>
      </w:r>
      <w:r>
        <w:t xml:space="preserve"> (per scelta, attendendo il delisting), Banca Ifis/illimity </w:t>
      </w:r>
      <w:r>
        <w:rPr>
          <w:b/>
        </w:rPr>
        <w:t>83 giorni</w:t>
      </w:r>
      <w:r>
        <w:t xml:space="preserve"> (per sincronizzare con lo squeeze-out).</w:t>
      </w:r>
    </w:p>
    <w:p>
      <w:r>
        <w:br w:type="page"/>
      </w:r>
    </w:p>
    <w:p>
      <w:pPr>
        <w:pStyle w:val="Heading2"/>
      </w:pPr>
      <w:r>
        <w:t>5. La matrice combinata</w:t>
      </w:r>
    </w:p>
    <w:p>
      <w:pPr>
        <w:pStyle w:val="Heading3"/>
      </w:pPr>
      <w:r>
        <w:t>5.1 I quattro quadranti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p>
        </w:tc>
        <w:tc>
          <w:tcPr>
            <w:tcW w:type="dxa" w:w="2880"/>
          </w:tcPr>
          <w:p>
            <w:pPr>
              <w:spacing w:after="40"/>
            </w:pPr>
            <w:r>
              <w:rPr>
                <w:b/>
                <w:sz w:val="16"/>
              </w:rPr>
            </w:r>
            <w:r>
              <w:rPr>
                <w:b/>
                <w:sz w:val="16"/>
              </w:rPr>
              <w:t>CdA si dimette</w:t>
            </w:r>
          </w:p>
        </w:tc>
        <w:tc>
          <w:tcPr>
            <w:tcW w:type="dxa" w:w="2880"/>
          </w:tcPr>
          <w:p>
            <w:pPr>
              <w:spacing w:after="40"/>
            </w:pPr>
            <w:r>
              <w:rPr>
                <w:b/>
                <w:sz w:val="16"/>
              </w:rPr>
            </w:r>
            <w:r>
              <w:rPr>
                <w:b/>
                <w:sz w:val="16"/>
              </w:rPr>
              <w:t>CdA non si dimette</w:t>
            </w:r>
          </w:p>
        </w:tc>
      </w:tr>
      <w:tr>
        <w:tc>
          <w:tcPr>
            <w:tcW w:type="dxa" w:w="2880"/>
          </w:tcPr>
          <w:p>
            <w:pPr>
              <w:spacing w:after="40"/>
            </w:pPr>
            <w:r>
              <w:rPr>
                <w:sz w:val="16"/>
              </w:rPr>
            </w:r>
            <w:r>
              <w:rPr>
                <w:b/>
                <w:sz w:val="16"/>
              </w:rPr>
              <w:t>≥90%</w:t>
            </w:r>
          </w:p>
        </w:tc>
        <w:tc>
          <w:tcPr>
            <w:tcW w:type="dxa" w:w="2880"/>
          </w:tcPr>
          <w:p>
            <w:pPr>
              <w:spacing w:after="40"/>
            </w:pPr>
            <w:r>
              <w:rPr>
                <w:sz w:val="16"/>
              </w:rPr>
            </w:r>
            <w:r>
              <w:rPr>
                <w:b/>
                <w:sz w:val="16"/>
              </w:rPr>
              <w:t>Q1 — Scenario di pag. 4, migliorato.</w:t>
            </w:r>
            <w:r>
              <w:rPr>
                <w:sz w:val="16"/>
              </w:rPr>
              <w:t xml:space="preserve"> Nuovo CdA 25 febbraio 2027, o t+20 con convocazione anticipata. Delisting e 100% fra fine febbraio e marzo 2027. Carve-out eseguibile come disegnato (si estrae ciò che si trattiene, si cede il pacchetto MPS con il marchio). Nessuna OPC, nessuna minoranza nel CET1, Danish pieno, un solo perimetro MAR</w:t>
            </w:r>
          </w:p>
        </w:tc>
        <w:tc>
          <w:tcPr>
            <w:tcW w:type="dxa" w:w="2880"/>
          </w:tcPr>
          <w:p>
            <w:pPr>
              <w:spacing w:after="40"/>
            </w:pPr>
            <w:r>
              <w:rPr>
                <w:sz w:val="16"/>
              </w:rPr>
            </w:r>
            <w:r>
              <w:rPr>
                <w:b/>
                <w:sz w:val="16"/>
              </w:rPr>
              <w:t>Q2 — Gestibile, ma con un buco di governo.</w:t>
            </w:r>
            <w:r>
              <w:rPr>
                <w:sz w:val="16"/>
              </w:rPr>
              <w:t xml:space="preserve"> Sui tempi della nomina cambia poco: il vincolo dei 40 giorni opera identico, e il ritardo si materializza solo in caso di ostruzionismo sulla convocazione (fino a t+90). Il costo vero è la </w:t>
            </w:r>
            <w:r>
              <w:rPr>
                <w:b/>
                <w:sz w:val="16"/>
              </w:rPr>
              <w:t>finestra interinale</w:t>
            </w:r>
            <w:r>
              <w:rPr>
                <w:sz w:val="16"/>
              </w:rPr>
              <w:t xml:space="preserve">: un consiglio in carica a poteri pieni decide su Unipol, carve-out e bilancio FY2026, e l'art. 61 c. 4 TUB dà dati e vigilanza ma non il comando sui dipendenti. Il delisting però </w:t>
            </w:r>
            <w:r>
              <w:rPr>
                <w:b/>
                <w:sz w:val="16"/>
              </w:rPr>
              <w:t>chiude il problema a valle</w:t>
            </w:r>
            <w:r>
              <w:rPr>
                <w:sz w:val="16"/>
              </w:rPr>
              <w:t>: al 100% gli organi si sostituiscono in giorni ex art. 2366 c. 4 c.c.</w:t>
            </w:r>
          </w:p>
        </w:tc>
      </w:tr>
      <w:tr>
        <w:tc>
          <w:tcPr>
            <w:tcW w:type="dxa" w:w="2880"/>
          </w:tcPr>
          <w:p>
            <w:pPr>
              <w:spacing w:after="40"/>
            </w:pPr>
            <w:r>
              <w:rPr>
                <w:sz w:val="16"/>
              </w:rPr>
            </w:r>
            <w:r>
              <w:rPr>
                <w:b/>
                <w:sz w:val="16"/>
              </w:rPr>
              <w:t>Sotto il 90%</w:t>
            </w:r>
          </w:p>
        </w:tc>
        <w:tc>
          <w:tcPr>
            <w:tcW w:type="dxa" w:w="2880"/>
          </w:tcPr>
          <w:p>
            <w:pPr>
              <w:spacing w:after="40"/>
            </w:pPr>
            <w:r>
              <w:rPr>
                <w:sz w:val="16"/>
              </w:rPr>
            </w:r>
            <w:r>
              <w:rPr>
                <w:b/>
                <w:sz w:val="16"/>
              </w:rPr>
              <w:t>Q3 — Ramo probabile.</w:t>
            </w:r>
            <w:r>
              <w:rPr>
                <w:sz w:val="16"/>
              </w:rPr>
              <w:t xml:space="preserve"> MPS quotata per 8-15 mesi. Nuovo CdA il 25 febbraio 2027 ma </w:t>
            </w:r>
            <w:r>
              <w:rPr>
                <w:b/>
                <w:sz w:val="16"/>
              </w:rPr>
              <w:t>con 2-3 consiglieri di lista di minoranza</w:t>
            </w:r>
            <w:r>
              <w:rPr>
                <w:sz w:val="16"/>
              </w:rPr>
              <w:t>, che siederanno nel comitato OPC chiamato a pronunciarsi sul trasferimento AG e sulle riorganizzazioni del carve-out. Delisting via fusione fra set 2027 e mar 2028. Remedy Unipol da ridisegnare: newco con licenza bancaria, perché l'"intero capitale" di MPS non è cedibile e Unipol sopra il 30% sarebbe tenuta a un'OPA obbligatoria</w:t>
            </w:r>
          </w:p>
        </w:tc>
        <w:tc>
          <w:tcPr>
            <w:tcW w:type="dxa" w:w="2880"/>
          </w:tcPr>
          <w:p>
            <w:pPr>
              <w:spacing w:after="40"/>
            </w:pPr>
            <w:r>
              <w:rPr>
                <w:sz w:val="16"/>
              </w:rPr>
            </w:r>
            <w:r>
              <w:rPr>
                <w:b/>
                <w:sz w:val="16"/>
              </w:rPr>
              <w:t>Q4 — Da evitare attivamente.</w:t>
            </w:r>
            <w:r>
              <w:rPr>
                <w:sz w:val="16"/>
              </w:rPr>
              <w:t xml:space="preserve"> Si cumulano tutte le criticità: consiglio ostile a poteri pieni, minoranze, comitato OPC non allineato, nessun delisting che chiuda il problema a valle. Nuovo CdA fra marzo e giugno 2027, e il consiglio che lo sostituisce include comunque seggi di minoranza. L'adesione di MPS all'Accordo Unipol e le delibere di conferimento restano ostaggio della governance della target, con </w:t>
            </w:r>
            <w:r>
              <w:rPr>
                <w:b/>
                <w:sz w:val="16"/>
              </w:rPr>
              <w:t>rischio di sforamento della scadenza degli impegni antitrust</w:t>
            </w:r>
            <w:r>
              <w:rPr>
                <w:sz w:val="16"/>
              </w:rPr>
              <w:t xml:space="preserve"> e intervento del </w:t>
            </w:r>
            <w:r>
              <w:rPr>
                <w:i/>
                <w:sz w:val="16"/>
              </w:rPr>
              <w:t>divestiture trustee</w:t>
            </w:r>
          </w:p>
        </w:tc>
      </w:tr>
    </w:tbl>
    <w:p/>
    <w:p>
      <w:r>
        <w:t>Le stesse quattro caselle lette per dimensione decisionale: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6"/>
              </w:rPr>
            </w:r>
            <w:r>
              <w:rPr>
                <w:b/>
                <w:sz w:val="16"/>
              </w:rPr>
              <w:t>Dimensione</w:t>
            </w:r>
          </w:p>
        </w:tc>
        <w:tc>
          <w:tcPr>
            <w:tcW w:type="dxa" w:w="1728"/>
          </w:tcPr>
          <w:p>
            <w:pPr>
              <w:spacing w:after="40"/>
            </w:pPr>
            <w:r>
              <w:rPr>
                <w:b/>
                <w:sz w:val="16"/>
              </w:rPr>
            </w:r>
            <w:r>
              <w:rPr>
                <w:b/>
                <w:sz w:val="16"/>
              </w:rPr>
              <w:t>Q1 (≥90%, dimissioni)</w:t>
            </w:r>
          </w:p>
        </w:tc>
        <w:tc>
          <w:tcPr>
            <w:tcW w:type="dxa" w:w="1728"/>
          </w:tcPr>
          <w:p>
            <w:pPr>
              <w:spacing w:after="40"/>
            </w:pPr>
            <w:r>
              <w:rPr>
                <w:b/>
                <w:sz w:val="16"/>
              </w:rPr>
            </w:r>
            <w:r>
              <w:rPr>
                <w:b/>
                <w:sz w:val="16"/>
              </w:rPr>
              <w:t>Q2 (≥90%, no dimissioni)</w:t>
            </w:r>
          </w:p>
        </w:tc>
        <w:tc>
          <w:tcPr>
            <w:tcW w:type="dxa" w:w="1728"/>
          </w:tcPr>
          <w:p>
            <w:pPr>
              <w:spacing w:after="40"/>
            </w:pPr>
            <w:r>
              <w:rPr>
                <w:b/>
                <w:sz w:val="16"/>
              </w:rPr>
            </w:r>
            <w:r>
              <w:rPr>
                <w:b/>
                <w:sz w:val="16"/>
              </w:rPr>
              <w:t>Q3 (&lt;90%, dimissioni)</w:t>
            </w:r>
          </w:p>
        </w:tc>
        <w:tc>
          <w:tcPr>
            <w:tcW w:type="dxa" w:w="1728"/>
          </w:tcPr>
          <w:p>
            <w:pPr>
              <w:spacing w:after="40"/>
            </w:pPr>
            <w:r>
              <w:rPr>
                <w:b/>
                <w:sz w:val="16"/>
              </w:rPr>
            </w:r>
            <w:r>
              <w:rPr>
                <w:b/>
                <w:sz w:val="16"/>
              </w:rPr>
              <w:t>Q4 (&lt;90%, no dimissioni)</w:t>
            </w:r>
          </w:p>
        </w:tc>
      </w:tr>
      <w:tr>
        <w:tc>
          <w:tcPr>
            <w:tcW w:type="dxa" w:w="1728"/>
          </w:tcPr>
          <w:p>
            <w:pPr>
              <w:spacing w:after="40"/>
            </w:pPr>
            <w:r>
              <w:rPr>
                <w:sz w:val="16"/>
              </w:rPr>
            </w:r>
            <w:r>
              <w:rPr>
                <w:sz w:val="16"/>
              </w:rPr>
              <w:t>Nuovo CdA</w:t>
            </w:r>
          </w:p>
        </w:tc>
        <w:tc>
          <w:tcPr>
            <w:tcW w:type="dxa" w:w="1728"/>
          </w:tcPr>
          <w:p>
            <w:pPr>
              <w:spacing w:after="40"/>
            </w:pPr>
            <w:r>
              <w:rPr>
                <w:sz w:val="16"/>
              </w:rPr>
            </w:r>
            <w:r>
              <w:rPr>
                <w:sz w:val="16"/>
              </w:rPr>
              <w:t>25 feb 2027 (o t+20)</w:t>
            </w:r>
          </w:p>
        </w:tc>
        <w:tc>
          <w:tcPr>
            <w:tcW w:type="dxa" w:w="1728"/>
          </w:tcPr>
          <w:p>
            <w:pPr>
              <w:spacing w:after="40"/>
            </w:pPr>
            <w:r>
              <w:rPr>
                <w:sz w:val="16"/>
              </w:rPr>
            </w:r>
            <w:r>
              <w:rPr>
                <w:sz w:val="16"/>
              </w:rPr>
              <w:t>25 feb – apr 2027</w:t>
            </w:r>
          </w:p>
        </w:tc>
        <w:tc>
          <w:tcPr>
            <w:tcW w:type="dxa" w:w="1728"/>
          </w:tcPr>
          <w:p>
            <w:pPr>
              <w:spacing w:after="40"/>
            </w:pPr>
            <w:r>
              <w:rPr>
                <w:sz w:val="16"/>
              </w:rPr>
            </w:r>
            <w:r>
              <w:rPr>
                <w:sz w:val="16"/>
              </w:rPr>
              <w:t>25 feb 2027</w:t>
            </w:r>
          </w:p>
        </w:tc>
        <w:tc>
          <w:tcPr>
            <w:tcW w:type="dxa" w:w="1728"/>
          </w:tcPr>
          <w:p>
            <w:pPr>
              <w:spacing w:after="40"/>
            </w:pPr>
            <w:r>
              <w:rPr>
                <w:sz w:val="16"/>
              </w:rPr>
            </w:r>
            <w:r>
              <w:rPr>
                <w:sz w:val="16"/>
              </w:rPr>
              <w:t>mar – giu 2027</w:t>
            </w:r>
          </w:p>
        </w:tc>
      </w:tr>
      <w:tr>
        <w:tc>
          <w:tcPr>
            <w:tcW w:type="dxa" w:w="1728"/>
          </w:tcPr>
          <w:p>
            <w:pPr>
              <w:spacing w:after="40"/>
            </w:pPr>
            <w:r>
              <w:rPr>
                <w:sz w:val="16"/>
              </w:rPr>
            </w:r>
            <w:r>
              <w:rPr>
                <w:sz w:val="16"/>
              </w:rPr>
              <w:t>Composizione del CdA</w:t>
            </w:r>
          </w:p>
        </w:tc>
        <w:tc>
          <w:tcPr>
            <w:tcW w:type="dxa" w:w="1728"/>
          </w:tcPr>
          <w:p>
            <w:pPr>
              <w:spacing w:after="40"/>
            </w:pPr>
            <w:r>
              <w:rPr>
                <w:sz w:val="16"/>
              </w:rPr>
            </w:r>
            <w:r>
              <w:rPr>
                <w:sz w:val="16"/>
              </w:rPr>
              <w:t>interamente ISP</w:t>
            </w:r>
          </w:p>
        </w:tc>
        <w:tc>
          <w:tcPr>
            <w:tcW w:type="dxa" w:w="1728"/>
          </w:tcPr>
          <w:p>
            <w:pPr>
              <w:spacing w:after="40"/>
            </w:pPr>
            <w:r>
              <w:rPr>
                <w:sz w:val="16"/>
              </w:rPr>
            </w:r>
            <w:r>
              <w:rPr>
                <w:sz w:val="16"/>
              </w:rPr>
              <w:t>interamente ISP</w:t>
            </w:r>
          </w:p>
        </w:tc>
        <w:tc>
          <w:tcPr>
            <w:tcW w:type="dxa" w:w="1728"/>
          </w:tcPr>
          <w:p>
            <w:pPr>
              <w:spacing w:after="40"/>
            </w:pPr>
            <w:r>
              <w:rPr>
                <w:sz w:val="16"/>
              </w:rPr>
            </w:r>
            <w:r>
              <w:rPr>
                <w:sz w:val="16"/>
              </w:rPr>
              <w:t>2-3 seggi di minoranza</w:t>
            </w:r>
          </w:p>
        </w:tc>
        <w:tc>
          <w:tcPr>
            <w:tcW w:type="dxa" w:w="1728"/>
          </w:tcPr>
          <w:p>
            <w:pPr>
              <w:spacing w:after="40"/>
            </w:pPr>
            <w:r>
              <w:rPr>
                <w:sz w:val="16"/>
              </w:rPr>
            </w:r>
            <w:r>
              <w:rPr>
                <w:sz w:val="16"/>
              </w:rPr>
              <w:t>2-3 seggi di minoranza</w:t>
            </w:r>
          </w:p>
        </w:tc>
      </w:tr>
      <w:tr>
        <w:tc>
          <w:tcPr>
            <w:tcW w:type="dxa" w:w="1728"/>
          </w:tcPr>
          <w:p>
            <w:pPr>
              <w:spacing w:after="40"/>
            </w:pPr>
            <w:r>
              <w:rPr>
                <w:sz w:val="16"/>
              </w:rPr>
            </w:r>
            <w:r>
              <w:rPr>
                <w:sz w:val="16"/>
              </w:rPr>
              <w:t>Governo del business nell'interim</w:t>
            </w:r>
          </w:p>
        </w:tc>
        <w:tc>
          <w:tcPr>
            <w:tcW w:type="dxa" w:w="1728"/>
          </w:tcPr>
          <w:p>
            <w:pPr>
              <w:spacing w:after="40"/>
            </w:pPr>
            <w:r>
              <w:rPr>
                <w:sz w:val="16"/>
              </w:rPr>
            </w:r>
            <w:r>
              <w:rPr>
                <w:sz w:val="16"/>
              </w:rPr>
              <w:t>pieno</w:t>
            </w:r>
          </w:p>
        </w:tc>
        <w:tc>
          <w:tcPr>
            <w:tcW w:type="dxa" w:w="1728"/>
          </w:tcPr>
          <w:p>
            <w:pPr>
              <w:spacing w:after="40"/>
            </w:pPr>
            <w:r>
              <w:rPr>
                <w:sz w:val="16"/>
              </w:rPr>
            </w:r>
            <w:r>
              <w:rPr>
                <w:b/>
                <w:sz w:val="16"/>
              </w:rPr>
              <w:t>assente per 50-90 gg</w:t>
            </w:r>
          </w:p>
        </w:tc>
        <w:tc>
          <w:tcPr>
            <w:tcW w:type="dxa" w:w="1728"/>
          </w:tcPr>
          <w:p>
            <w:pPr>
              <w:spacing w:after="40"/>
            </w:pPr>
            <w:r>
              <w:rPr>
                <w:sz w:val="16"/>
              </w:rPr>
            </w:r>
            <w:r>
              <w:rPr>
                <w:sz w:val="16"/>
              </w:rPr>
              <w:t>pieno</w:t>
            </w:r>
          </w:p>
        </w:tc>
        <w:tc>
          <w:tcPr>
            <w:tcW w:type="dxa" w:w="1728"/>
          </w:tcPr>
          <w:p>
            <w:pPr>
              <w:spacing w:after="40"/>
            </w:pPr>
            <w:r>
              <w:rPr>
                <w:sz w:val="16"/>
              </w:rPr>
            </w:r>
            <w:r>
              <w:rPr>
                <w:b/>
                <w:sz w:val="16"/>
              </w:rPr>
              <w:t>assente per 50-90 gg</w:t>
            </w:r>
          </w:p>
        </w:tc>
      </w:tr>
      <w:tr>
        <w:tc>
          <w:tcPr>
            <w:tcW w:type="dxa" w:w="1728"/>
          </w:tcPr>
          <w:p>
            <w:pPr>
              <w:spacing w:after="40"/>
            </w:pPr>
            <w:r>
              <w:rPr>
                <w:sz w:val="16"/>
              </w:rPr>
            </w:r>
            <w:r>
              <w:rPr>
                <w:sz w:val="16"/>
              </w:rPr>
              <w:t>Delisting e 100%</w:t>
            </w:r>
          </w:p>
        </w:tc>
        <w:tc>
          <w:tcPr>
            <w:tcW w:type="dxa" w:w="1728"/>
          </w:tcPr>
          <w:p>
            <w:pPr>
              <w:spacing w:after="40"/>
            </w:pPr>
            <w:r>
              <w:rPr>
                <w:sz w:val="16"/>
              </w:rPr>
            </w:r>
            <w:r>
              <w:rPr>
                <w:sz w:val="16"/>
              </w:rPr>
              <w:t>feb–mar 2027</w:t>
            </w:r>
          </w:p>
        </w:tc>
        <w:tc>
          <w:tcPr>
            <w:tcW w:type="dxa" w:w="1728"/>
          </w:tcPr>
          <w:p>
            <w:pPr>
              <w:spacing w:after="40"/>
            </w:pPr>
            <w:r>
              <w:rPr>
                <w:sz w:val="16"/>
              </w:rPr>
            </w:r>
            <w:r>
              <w:rPr>
                <w:sz w:val="16"/>
              </w:rPr>
              <w:t>feb–mar 2027</w:t>
            </w:r>
          </w:p>
        </w:tc>
        <w:tc>
          <w:tcPr>
            <w:tcW w:type="dxa" w:w="1728"/>
          </w:tcPr>
          <w:p>
            <w:pPr>
              <w:spacing w:after="40"/>
            </w:pPr>
            <w:r>
              <w:rPr>
                <w:sz w:val="16"/>
              </w:rPr>
            </w:r>
            <w:r>
              <w:rPr>
                <w:sz w:val="16"/>
              </w:rPr>
              <w:t>set 2027 – mar 2028 (fusione)</w:t>
            </w:r>
          </w:p>
        </w:tc>
        <w:tc>
          <w:tcPr>
            <w:tcW w:type="dxa" w:w="1728"/>
          </w:tcPr>
          <w:p>
            <w:pPr>
              <w:spacing w:after="40"/>
            </w:pPr>
            <w:r>
              <w:rPr>
                <w:sz w:val="16"/>
              </w:rPr>
            </w:r>
            <w:r>
              <w:rPr>
                <w:sz w:val="16"/>
              </w:rPr>
              <w:t>set 2027 – mar 2028 (fusione)</w:t>
            </w:r>
          </w:p>
        </w:tc>
      </w:tr>
      <w:tr>
        <w:tc>
          <w:tcPr>
            <w:tcW w:type="dxa" w:w="1728"/>
          </w:tcPr>
          <w:p>
            <w:pPr>
              <w:spacing w:after="40"/>
            </w:pPr>
            <w:r>
              <w:rPr>
                <w:sz w:val="16"/>
              </w:rPr>
            </w:r>
            <w:r>
              <w:rPr>
                <w:sz w:val="16"/>
              </w:rPr>
              <w:t>Disciplina OPC sulle operazioni infragruppo</w:t>
            </w:r>
          </w:p>
        </w:tc>
        <w:tc>
          <w:tcPr>
            <w:tcW w:type="dxa" w:w="1728"/>
          </w:tcPr>
          <w:p>
            <w:pPr>
              <w:spacing w:after="40"/>
            </w:pPr>
            <w:r>
              <w:rPr>
                <w:sz w:val="16"/>
              </w:rPr>
            </w:r>
            <w:r>
              <w:rPr>
                <w:sz w:val="16"/>
              </w:rPr>
              <w:t>non applicabile</w:t>
            </w:r>
          </w:p>
        </w:tc>
        <w:tc>
          <w:tcPr>
            <w:tcW w:type="dxa" w:w="1728"/>
          </w:tcPr>
          <w:p>
            <w:pPr>
              <w:spacing w:after="40"/>
            </w:pPr>
            <w:r>
              <w:rPr>
                <w:sz w:val="16"/>
              </w:rPr>
            </w:r>
            <w:r>
              <w:rPr>
                <w:sz w:val="16"/>
              </w:rPr>
              <w:t>non applicabile</w:t>
            </w:r>
          </w:p>
        </w:tc>
        <w:tc>
          <w:tcPr>
            <w:tcW w:type="dxa" w:w="1728"/>
          </w:tcPr>
          <w:p>
            <w:pPr>
              <w:spacing w:after="40"/>
            </w:pPr>
            <w:r>
              <w:rPr>
                <w:sz w:val="16"/>
              </w:rPr>
            </w:r>
            <w:r>
              <w:rPr>
                <w:sz w:val="16"/>
              </w:rPr>
              <w:t>applicabile, soglia 2,5%</w:t>
            </w:r>
          </w:p>
        </w:tc>
        <w:tc>
          <w:tcPr>
            <w:tcW w:type="dxa" w:w="1728"/>
          </w:tcPr>
          <w:p>
            <w:pPr>
              <w:spacing w:after="40"/>
            </w:pPr>
            <w:r>
              <w:rPr>
                <w:sz w:val="16"/>
              </w:rPr>
            </w:r>
            <w:r>
              <w:rPr>
                <w:sz w:val="16"/>
              </w:rPr>
              <w:t>applicabile, comitato non allineato</w:t>
            </w:r>
          </w:p>
        </w:tc>
      </w:tr>
      <w:tr>
        <w:tc>
          <w:tcPr>
            <w:tcW w:type="dxa" w:w="1728"/>
          </w:tcPr>
          <w:p>
            <w:pPr>
              <w:spacing w:after="40"/>
            </w:pPr>
            <w:r>
              <w:rPr>
                <w:sz w:val="16"/>
              </w:rPr>
            </w:r>
            <w:r>
              <w:rPr>
                <w:sz w:val="16"/>
              </w:rPr>
              <w:t>Struttura del remedy Unipol</w:t>
            </w:r>
          </w:p>
        </w:tc>
        <w:tc>
          <w:tcPr>
            <w:tcW w:type="dxa" w:w="1728"/>
          </w:tcPr>
          <w:p>
            <w:pPr>
              <w:spacing w:after="40"/>
            </w:pPr>
            <w:r>
              <w:rPr>
                <w:sz w:val="16"/>
              </w:rPr>
            </w:r>
            <w:r>
              <w:rPr>
                <w:sz w:val="16"/>
              </w:rPr>
              <w:t>cessione del pacchetto MPS</w:t>
            </w:r>
          </w:p>
        </w:tc>
        <w:tc>
          <w:tcPr>
            <w:tcW w:type="dxa" w:w="1728"/>
          </w:tcPr>
          <w:p>
            <w:pPr>
              <w:spacing w:after="40"/>
            </w:pPr>
            <w:r>
              <w:rPr>
                <w:sz w:val="16"/>
              </w:rPr>
            </w:r>
            <w:r>
              <w:rPr>
                <w:sz w:val="16"/>
              </w:rPr>
              <w:t>cessione del pacchetto MPS</w:t>
            </w:r>
          </w:p>
        </w:tc>
        <w:tc>
          <w:tcPr>
            <w:tcW w:type="dxa" w:w="1728"/>
          </w:tcPr>
          <w:p>
            <w:pPr>
              <w:spacing w:after="40"/>
            </w:pPr>
            <w:r>
              <w:rPr>
                <w:sz w:val="16"/>
              </w:rPr>
            </w:r>
            <w:r>
              <w:rPr>
                <w:sz w:val="16"/>
              </w:rPr>
              <w:t>newco + licenza bancaria</w:t>
            </w:r>
          </w:p>
        </w:tc>
        <w:tc>
          <w:tcPr>
            <w:tcW w:type="dxa" w:w="1728"/>
          </w:tcPr>
          <w:p>
            <w:pPr>
              <w:spacing w:after="40"/>
            </w:pPr>
            <w:r>
              <w:rPr>
                <w:sz w:val="16"/>
              </w:rPr>
            </w:r>
            <w:r>
              <w:rPr>
                <w:sz w:val="16"/>
              </w:rPr>
              <w:t>newco, con delibere a rischio</w:t>
            </w:r>
          </w:p>
        </w:tc>
      </w:tr>
      <w:tr>
        <w:tc>
          <w:tcPr>
            <w:tcW w:type="dxa" w:w="1728"/>
          </w:tcPr>
          <w:p>
            <w:pPr>
              <w:spacing w:after="40"/>
            </w:pPr>
            <w:r>
              <w:rPr>
                <w:sz w:val="16"/>
              </w:rPr>
            </w:r>
            <w:r>
              <w:rPr>
                <w:sz w:val="16"/>
              </w:rPr>
              <w:t>Minoranze nel CET1 e Danish</w:t>
            </w:r>
          </w:p>
        </w:tc>
        <w:tc>
          <w:tcPr>
            <w:tcW w:type="dxa" w:w="1728"/>
          </w:tcPr>
          <w:p>
            <w:pPr>
              <w:spacing w:after="40"/>
            </w:pPr>
            <w:r>
              <w:rPr>
                <w:sz w:val="16"/>
              </w:rPr>
            </w:r>
            <w:r>
              <w:rPr>
                <w:sz w:val="16"/>
              </w:rPr>
              <w:t>nessun impatto</w:t>
            </w:r>
          </w:p>
        </w:tc>
        <w:tc>
          <w:tcPr>
            <w:tcW w:type="dxa" w:w="1728"/>
          </w:tcPr>
          <w:p>
            <w:pPr>
              <w:spacing w:after="40"/>
            </w:pPr>
            <w:r>
              <w:rPr>
                <w:sz w:val="16"/>
              </w:rPr>
            </w:r>
            <w:r>
              <w:rPr>
                <w:sz w:val="16"/>
              </w:rPr>
              <w:t>nessun impatto</w:t>
            </w:r>
          </w:p>
        </w:tc>
        <w:tc>
          <w:tcPr>
            <w:tcW w:type="dxa" w:w="1728"/>
          </w:tcPr>
          <w:p>
            <w:pPr>
              <w:spacing w:after="40"/>
            </w:pPr>
            <w:r>
              <w:rPr>
                <w:sz w:val="16"/>
              </w:rPr>
            </w:r>
            <w:r>
              <w:rPr>
                <w:sz w:val="16"/>
              </w:rPr>
              <w:t>cap art. 84 CRR, Danish diluito</w:t>
            </w:r>
          </w:p>
        </w:tc>
        <w:tc>
          <w:tcPr>
            <w:tcW w:type="dxa" w:w="1728"/>
          </w:tcPr>
          <w:p>
            <w:pPr>
              <w:spacing w:after="40"/>
            </w:pPr>
            <w:r>
              <w:rPr>
                <w:sz w:val="16"/>
              </w:rPr>
            </w:r>
            <w:r>
              <w:rPr>
                <w:sz w:val="16"/>
              </w:rPr>
              <w:t>idem</w:t>
            </w:r>
          </w:p>
        </w:tc>
      </w:tr>
      <w:tr>
        <w:tc>
          <w:tcPr>
            <w:tcW w:type="dxa" w:w="1728"/>
          </w:tcPr>
          <w:p>
            <w:pPr>
              <w:spacing w:after="40"/>
            </w:pPr>
            <w:r>
              <w:rPr>
                <w:sz w:val="16"/>
              </w:rPr>
            </w:r>
            <w:r>
              <w:rPr>
                <w:sz w:val="16"/>
              </w:rPr>
              <w:t>Rischio dominante</w:t>
            </w:r>
          </w:p>
        </w:tc>
        <w:tc>
          <w:tcPr>
            <w:tcW w:type="dxa" w:w="1728"/>
          </w:tcPr>
          <w:p>
            <w:pPr>
              <w:spacing w:after="40"/>
            </w:pPr>
            <w:r>
              <w:rPr>
                <w:sz w:val="16"/>
              </w:rPr>
            </w:r>
            <w:r>
              <w:rPr>
                <w:sz w:val="16"/>
              </w:rPr>
              <w:t>esecuzione</w:t>
            </w:r>
          </w:p>
        </w:tc>
        <w:tc>
          <w:tcPr>
            <w:tcW w:type="dxa" w:w="1728"/>
          </w:tcPr>
          <w:p>
            <w:pPr>
              <w:spacing w:after="40"/>
            </w:pPr>
            <w:r>
              <w:rPr>
                <w:sz w:val="16"/>
              </w:rPr>
            </w:r>
            <w:r>
              <w:rPr>
                <w:b/>
                <w:sz w:val="16"/>
              </w:rPr>
              <w:t>perdita di governo</w:t>
            </w:r>
          </w:p>
        </w:tc>
        <w:tc>
          <w:tcPr>
            <w:tcW w:type="dxa" w:w="1728"/>
          </w:tcPr>
          <w:p>
            <w:pPr>
              <w:spacing w:after="40"/>
            </w:pPr>
            <w:r>
              <w:rPr>
                <w:sz w:val="16"/>
              </w:rPr>
            </w:r>
            <w:r>
              <w:rPr>
                <w:b/>
                <w:sz w:val="16"/>
              </w:rPr>
              <w:t>tempo e OPC</w:t>
            </w:r>
          </w:p>
        </w:tc>
        <w:tc>
          <w:tcPr>
            <w:tcW w:type="dxa" w:w="1728"/>
          </w:tcPr>
          <w:p>
            <w:pPr>
              <w:spacing w:after="40"/>
            </w:pPr>
            <w:r>
              <w:rPr>
                <w:sz w:val="16"/>
              </w:rPr>
            </w:r>
            <w:r>
              <w:rPr>
                <w:b/>
                <w:sz w:val="16"/>
              </w:rPr>
              <w:t>inadempimento antitrust</w:t>
            </w:r>
          </w:p>
        </w:tc>
      </w:tr>
    </w:tbl>
    <w:p/>
    <w:p>
      <w:pPr>
        <w:pStyle w:val="Heading3"/>
      </w:pPr>
      <w:r>
        <w:t>5.2 Il collegamento fra i due nodi</w:t>
      </w:r>
    </w:p>
    <w:p>
      <w:r>
        <w:t xml:space="preserve">È il punto analitico principale: </w:t>
      </w:r>
      <w:r>
        <w:rPr>
          <w:b/>
        </w:rPr>
        <w:t>il 90% non è solo la condizione del delisting, è anche il rimedio più efficace al nodo B.</w:t>
      </w:r>
      <w:r>
        <w:t xml:space="preserve"> Raggiunto il 90% ed eseguita la procedura congiunta:</w:t>
      </w:r>
    </w:p>
    <w:p>
      <w:pPr>
        <w:pStyle w:val="ListBullet"/>
      </w:pPr>
      <w:r>
        <w:t>ISP arriva al 100% e MPS è revocata dalla quotazione;</w:t>
      </w:r>
    </w:p>
    <w:p>
      <w:pPr>
        <w:pStyle w:val="ListBullet"/>
      </w:pPr>
      <w:r>
        <w:t>cadono gli obblighi di voto di lista del TUF (art. 147-ter si applica agli emittenti quotati), la riserva statutaria di seggi alle minoranze diventa inoperante per assenza di liste, il termine di 40 giorni dell'art. 125-bis, c. 2, TUF non si applica più;</w:t>
      </w:r>
    </w:p>
    <w:p>
      <w:pPr>
        <w:pStyle w:val="ListBullet"/>
      </w:pPr>
      <w:r>
        <w:t xml:space="preserve">con il capitale interamente rappresentato, l'assemblea è regolarmente costituita </w:t>
      </w:r>
      <w:r>
        <w:rPr>
          <w:b/>
        </w:rPr>
        <w:t>anche in mancanza di formale convocazione</w:t>
      </w:r>
      <w:r>
        <w:t xml:space="preserve"> (art. 2366, c. 4, c.c.), purché partecipi la maggioranza degli organi amministrativi e di controllo;</w:t>
      </w:r>
    </w:p>
    <w:p>
      <w:pPr>
        <w:pStyle w:val="ListBullet"/>
      </w:pPr>
      <w:r>
        <w:t>la sostituzione degli amministratori diventa un atto che si compie in giorni.</w:t>
      </w:r>
    </w:p>
    <w:p>
      <w:r>
        <w:rPr>
          <w:b/>
        </w:rPr>
        <w:t>Avvertenza di prudenza</w:t>
      </w:r>
      <w:r>
        <w:t xml:space="preserve">: la clausola statutaria sul voto di lista resta formalmente vincolante fino a una modifica dello statuto, che per una banca richiede l'accertamento preventivo di BCE/Banca d'Italia ex art. 56 TUB. Nel precedente ISP/UBI la lista fu depositata il 18 settembre 2020, a UBI ancora quotata, e l'assemblea si tenne il 15 ottobre, dieci giorni dopo il delisting: la procedura da quotata fu svolta per intero. La via più rapida in concreto è quindi </w:t>
      </w:r>
      <w:r>
        <w:rPr>
          <w:b/>
        </w:rPr>
        <w:t>eseguire il voto di lista con lista unica</w:t>
      </w:r>
      <w:r>
        <w:t>, non tentare di derogarvi. Il beneficio del 90% sul nodo B non è tanto la compressione del calendario della prima assemblea, quanto: (i) la certezza dell'esito e della composizione, (ii) l'assenza di consiglieri di minoranza nel comitato OPC, (iii) la piena libertà per ogni sostituzione successiva.</w:t>
      </w:r>
    </w:p>
    <w:p>
      <w:pPr>
        <w:pStyle w:val="Heading3"/>
      </w:pPr>
      <w:r>
        <w:t>5.3 Il vincolo che accomuna tutti i quadranti</w:t>
      </w:r>
    </w:p>
    <w:p>
      <w:r>
        <w:t xml:space="preserve">Il </w:t>
      </w:r>
      <w:r>
        <w:rPr>
          <w:b/>
        </w:rPr>
        <w:t>Collegio Sindacale MPS resta in carica fino all'assemblea di approvazione del bilancio 2028</w:t>
      </w:r>
      <w:r>
        <w:t>, con presidenza espressa dalla lista di minoranza: i sindaci sono revocabili solo per giusta causa e con decreto del tribunale (art. 2400, c. 2, c.c.; art. 25, c. 9, statuto). È al tempo stesso l'alleato istituzionale per forzare la convocazione (percorso C1) e un organo autonomo che riferisce a Consob e Banca d'Italia. Va gestito come interlocutore, non come ostacolo.</w:t>
      </w:r>
    </w:p>
    <w:p>
      <w:r>
        <w:br w:type="page"/>
      </w:r>
    </w:p>
    <w:p>
      <w:pPr>
        <w:pStyle w:val="Heading2"/>
      </w:pPr>
      <w:r>
        <w:t>6. La finestra interinale: cosa presidiare fra il settlement e il nuovo CdA</w:t>
      </w:r>
    </w:p>
    <w:p>
      <w:r>
        <w:t>Dalla Data di Pagamento cessano insieme la passivity rule (art. 104 TUF) e la protezione delle Condizioni di Efficacia (iv) e (v). Presidi, in ordine di efficacia:</w:t>
      </w:r>
    </w:p>
    <w:p>
      <w:pPr>
        <w:pStyle w:val="ListNumber"/>
      </w:pPr>
      <w:r>
        <w:rPr>
          <w:b/>
        </w:rPr>
        <w:t>Iscrizione di MPS nel gruppo bancario ISP</w:t>
      </w:r>
      <w:r>
        <w:t xml:space="preserve"> (art. 64 TUB). Attiva l'</w:t>
      </w:r>
      <w:r>
        <w:rPr>
          <w:b/>
        </w:rPr>
        <w:t>art. 61, c. 4, TUB</w:t>
      </w:r>
      <w:r>
        <w:t xml:space="preserve">: </w:t>
      </w:r>
      <w:r>
        <w:rPr>
          <w:i/>
        </w:rPr>
        <w:t>"La capogruppo emana disposizioni alle componenti del gruppo […]. Gli amministratori delle società del gruppo sono tenuti a fornire ogni dato e informazione per l'emanazione delle disposizioni e la necessaria collaborazione per il rispetto delle norme sulla vigilanza su base consolidata."</w:t>
      </w:r>
      <w:r>
        <w:t xml:space="preserve"> È la leva </w:t>
      </w:r>
      <w:r>
        <w:rPr>
          <w:b/>
        </w:rPr>
        <w:t>più efficace e meno traumatica sul perimetro che copre</w:t>
      </w:r>
      <w:r>
        <w:t xml:space="preserve">: trasforma il rifiuto di collaborare da inadempienza verso l'azionista in violazione di una norma di vigilanza, con esposizione ex art. 2392 c.c., rilievi di vigilanza e ricadute sulla valutazione di idoneità degli esponenti. </w:t>
      </w:r>
      <w:r>
        <w:rPr>
          <w:b/>
        </w:rPr>
        <w:t>Ma quel perimetro è dati, reporting e compliance di vigilanza, non la gestione</w:t>
      </w:r>
      <w:r>
        <w:t xml:space="preserve">: la giurisprudenza ha censurato regolamenti di gruppo che ne ricavavano un potere di direzione più ampio delle istruzioni di vigilanza, e la norma non crea alcuna linea di comando sui dipendenti della controllata. </w:t>
      </w:r>
      <w:r>
        <w:rPr>
          <w:b/>
        </w:rPr>
        <w:t>Non è una delega in bianco a dirigere MPS</w:t>
      </w:r>
      <w:r>
        <w:t>: per questo aspetto vale integralmente il par. 4.3-bis, ed è un errore impostare la fase interinale assumendo che l'art. 61, c. 4, risolva anche il governo del business.</w:t>
      </w:r>
    </w:p>
    <w:p>
      <w:pPr>
        <w:pStyle w:val="ListNumber"/>
      </w:pPr>
      <w:r>
        <w:rPr>
          <w:b/>
        </w:rPr>
        <w:t>Lettera formale al CdA e al Collegio Sindacale</w:t>
      </w:r>
      <w:r>
        <w:t xml:space="preserve"> al giorno S, con: richiamo ai doveri ex art. 2392 c.c., perimetro degli atti non rientranti nell'ordinaria amministrazione su cui ISP si attende astensione o consultazione preventiva, richiesta di accesso per l'integration planning sotto </w:t>
      </w:r>
      <w:r>
        <w:rPr>
          <w:i/>
        </w:rPr>
        <w:t>clean team</w:t>
      </w:r>
      <w:r>
        <w:t xml:space="preserve"> e NDA, richiesta di adesione all'Accordo Unipol.</w:t>
      </w:r>
    </w:p>
    <w:p>
      <w:pPr>
        <w:pStyle w:val="ListNumber"/>
      </w:pPr>
      <w:r>
        <w:rPr>
          <w:b/>
        </w:rPr>
        <w:t>Documentazione ex art. 2497-ter c.c.</w:t>
      </w:r>
      <w:r>
        <w:t xml:space="preserve"> di ogni decisione influenzata dall'attività di direzione e coordinamento, con puntuale indicazione di ragioni e interessi. Con un consiglio che potrebbe verbalizzare il proprio dissenso, è un presidio difensivo, non un adempimento formale: nell'eventuale giudizio ex art. 2497 c.c. l'onere di provare </w:t>
      </w:r>
      <w:r>
        <w:rPr>
          <w:b/>
        </w:rPr>
        <w:t>vantaggi compensativi concreti, certi e quantificabili</w:t>
      </w:r>
      <w:r>
        <w:t xml:space="preserve"> (Cass. 16707/2004) si assolve con quei verbali.</w:t>
      </w:r>
    </w:p>
    <w:p>
      <w:pPr>
        <w:pStyle w:val="ListNumber"/>
      </w:pPr>
      <w:r>
        <w:rPr>
          <w:b/>
        </w:rPr>
        <w:t>Monitoraggio MAR e informativa</w:t>
      </w:r>
      <w:r>
        <w:t>: protocollo di disclosure coordinato fra i due emittenti, registri insider allineati, presidio sul flusso informativo infragruppo compatibile con l'autonomia degli organi della target.</w:t>
      </w:r>
    </w:p>
    <w:p>
      <w:pPr>
        <w:pStyle w:val="ListNumber"/>
      </w:pPr>
      <w:r>
        <w:rPr>
          <w:b/>
        </w:rPr>
        <w:t>Domanda ex art. 2367, c. 1, c.c. presentata comunque al giorno S</w:t>
      </w:r>
      <w:r>
        <w:t>, anche se le dimissioni sono attese: costo nullo, fa decorrere il termine "senza ritardo" e costituisce il presupposto di tutte le vie successive.</w:t>
      </w:r>
    </w:p>
    <w:p>
      <w:r>
        <w:br w:type="page"/>
      </w:r>
    </w:p>
    <w:p>
      <w:pPr>
        <w:pStyle w:val="Heading2"/>
      </w:pPr>
      <w:r>
        <w:t>7. Decisioni da prendere, in ordine di urgenza</w:t>
      </w:r>
    </w:p>
    <w:p>
      <w:pPr>
        <w:pStyle w:val="Heading3"/>
      </w:pPr>
      <w:r>
        <w:t>Nel Documento di Offerta (finestra: prima dell'approvazione Consob)</w:t>
      </w:r>
    </w:p>
    <w:p>
      <w:pPr>
        <w:pStyle w:val="ListNumber"/>
      </w:pPr>
      <w:r>
        <w:rPr>
          <w:b/>
        </w:rPr>
        <w:t>Assoggettamento volontario alla riapertura dei termini ex art. 40-bis, c. 1, Reg. Emittenti.</w:t>
      </w:r>
      <w:r>
        <w:t xml:space="preserve"> Doppio beneficio: +22/+24 punti percentuali secondo i precedenti, e ancoraggio del prezzo della procedura congiunta al corrispettivo d'offerta ex art. 50, c. 4, lett. c), Reg. Emittenti se almeno il 50% dei titoli è conferito nella prima fase. Se si supera il 90% in prima fase opera comunque l'esenzione automatica dell'art. 40-bis, c. 3, lett. b). </w:t>
      </w:r>
      <w:r>
        <w:rPr>
          <w:b/>
        </w:rPr>
        <w:t>Non ci sono controindicazioni evidenti.</w:t>
      </w:r>
    </w:p>
    <w:p>
      <w:pPr>
        <w:pStyle w:val="ListNumber"/>
      </w:pPr>
      <w:r>
        <w:rPr>
          <w:b/>
        </w:rPr>
        <w:t>Dimensionamento del Periodo di Adesione.</w:t>
      </w:r>
      <w:r>
        <w:t xml:space="preserve"> 37 giorni su un massimo di 40 azzerano lo spazio di proroga. Valutare 30-33 giorni, mantenendo un cuscinetto.</w:t>
      </w:r>
    </w:p>
    <w:p>
      <w:pPr>
        <w:pStyle w:val="ListNumber"/>
      </w:pPr>
      <w:r>
        <w:rPr>
          <w:b/>
        </w:rPr>
        <w:t>Riconciliazione numerica del test dell'art. 108, c. 3</w:t>
      </w:r>
      <w:r>
        <w:t xml:space="preserve"> (≥90% del capitale con diritto di voto </w:t>
      </w:r>
      <w:r>
        <w:rPr>
          <w:i/>
        </w:rPr>
        <w:t>compreso nell'offerta</w:t>
      </w:r>
      <w:r>
        <w:t>) rispetto al criterio dichiarato sulle azioni proprie, per non perdere l'ancoraggio del prezzo.</w:t>
      </w:r>
    </w:p>
    <w:p>
      <w:pPr>
        <w:pStyle w:val="ListNumber"/>
      </w:pPr>
      <w:r>
        <w:rPr>
          <w:b/>
        </w:rPr>
        <w:t>Conferma e affinamento</w:t>
      </w:r>
      <w:r>
        <w:t xml:space="preserve"> delle dichiarazioni ex artt. 111 e 108, c. 2, della riserva sul diritto transitorio e dell'indicazione della procedura congiunta come procedura unica.</w:t>
      </w:r>
    </w:p>
    <w:p>
      <w:pPr>
        <w:pStyle w:val="ListNumber"/>
      </w:pPr>
      <w:r>
        <w:t xml:space="preserve">Valutare se </w:t>
      </w:r>
      <w:r>
        <w:rPr>
          <w:b/>
        </w:rPr>
        <w:t>dichiarare esplicitamente l'intenzione di procedere alla fusione</w:t>
      </w:r>
      <w:r>
        <w:t xml:space="preserve"> nello scenario sotto-90%: riduce l'incentivo di attesa delle minoranze, ma va pesata rispetto al </w:t>
      </w:r>
      <w:r>
        <w:rPr>
          <w:i/>
        </w:rPr>
        <w:t>put up or shut up</w:t>
      </w:r>
      <w:r>
        <w:t xml:space="preserve"> dell'art. 102, c. 8, TUF e alla passività informativa.</w:t>
      </w:r>
    </w:p>
    <w:p>
      <w:pPr>
        <w:pStyle w:val="Heading3"/>
      </w:pPr>
      <w:r>
        <w:t>Sul remedy Unipol (finestra: negoziato AGCM, istruttoria aperta il 14 settembre 2026)</w:t>
      </w:r>
    </w:p>
    <w:p>
      <w:pPr>
        <w:pStyle w:val="ListNumber"/>
      </w:pPr>
      <w:r>
        <w:rPr>
          <w:b/>
        </w:rPr>
        <w:t>Predisporre una struttura alternativa del compendio</w:t>
      </w:r>
      <w:r>
        <w:t xml:space="preserve"> che non presupponga la cessione dell'"intero capitale" di MPS: newco con conferimento delle 635 filiali e delle strutture centrali, con analisi OPC, IFRS 5 e tempi delle delibere MPS. Da avere pronta </w:t>
      </w:r>
      <w:r>
        <w:rPr>
          <w:b/>
        </w:rPr>
        <w:t>prima</w:t>
      </w:r>
      <w:r>
        <w:t xml:space="preserve"> di assumere impegni con scadenza davanti all'AGCM, perché è lo scenario sotto-90% a essere probabile.</w:t>
      </w:r>
    </w:p>
    <w:p>
      <w:pPr>
        <w:pStyle w:val="ListNumber"/>
      </w:pPr>
      <w:r>
        <w:rPr>
          <w:b/>
        </w:rPr>
        <w:t>Ottenere l'adesione di MPS all'Accordo Unipol</w:t>
      </w:r>
      <w:r>
        <w:t xml:space="preserve"> come parte del pacchetto di transizione negoziato con il consiglio uscente, non come atto rimesso al nuovo consiglio.</w:t>
      </w:r>
    </w:p>
    <w:p>
      <w:pPr>
        <w:pStyle w:val="Heading3"/>
      </w:pPr>
      <w:r>
        <w:t>Sulla governance (finestra: da subito, con esecuzione al settlement)</w:t>
      </w:r>
    </w:p>
    <w:p>
      <w:pPr>
        <w:pStyle w:val="ListNumber"/>
      </w:pPr>
      <w:r>
        <w:t xml:space="preserve">Negoziare </w:t>
      </w:r>
      <w:r>
        <w:rPr>
          <w:b/>
        </w:rPr>
        <w:t>dimissioni a efficacia differita di almeno 8 consiglieri</w:t>
      </w:r>
      <w:r>
        <w:t xml:space="preserve"> con convocazione contestuale, e tentare la </w:t>
      </w:r>
      <w:r>
        <w:rPr>
          <w:b/>
        </w:rPr>
        <w:t>convocazione anticipata</w:t>
      </w:r>
      <w:r>
        <w:t xml:space="preserve"> dell'assemblea elettiva (compressione da t+50 a t+20).</w:t>
      </w:r>
    </w:p>
    <w:p>
      <w:pPr>
        <w:pStyle w:val="ListNumber"/>
      </w:pPr>
      <w:r>
        <w:t xml:space="preserve">Predisporre il </w:t>
      </w:r>
      <w:r>
        <w:rPr>
          <w:b/>
        </w:rPr>
        <w:t>pacchetto di uscita</w:t>
      </w:r>
      <w:r>
        <w:t xml:space="preserve"> compatibile con la politica di remunerazione e i cap prudenziali, e il </w:t>
      </w:r>
      <w:r>
        <w:rPr>
          <w:b/>
        </w:rPr>
        <w:t>D&amp;O run-off</w:t>
      </w:r>
      <w:r>
        <w:t>.</w:t>
      </w:r>
    </w:p>
    <w:p>
      <w:pPr>
        <w:pStyle w:val="ListNumber"/>
      </w:pPr>
      <w:r>
        <w:t xml:space="preserve">Decidere il </w:t>
      </w:r>
      <w:r>
        <w:rPr>
          <w:b/>
        </w:rPr>
        <w:t>numero dei componenti</w:t>
      </w:r>
      <w:r>
        <w:t xml:space="preserve"> del nuovo CdA: 9 riduce a 2 su 9 il peso statutario minimo delle liste di minoranza nello scenario sotto-90%.</w:t>
      </w:r>
    </w:p>
    <w:p>
      <w:pPr>
        <w:pStyle w:val="ListNumber"/>
      </w:pPr>
      <w:r>
        <w:t xml:space="preserve">Preparare </w:t>
      </w:r>
      <w:r>
        <w:rPr>
          <w:b/>
        </w:rPr>
        <w:t>lista e dossier fit &amp; proper</w:t>
      </w:r>
      <w:r>
        <w:t xml:space="preserve"> con pre-filing IMAS, e la sequenza di delibere del primo consiglio (presidente, vicepresidenti, AD, comitati, comitato OPC).</w:t>
      </w:r>
    </w:p>
    <w:p>
      <w:pPr>
        <w:pStyle w:val="ListNumber"/>
      </w:pPr>
      <w:r>
        <w:t xml:space="preserve">Attivare </w:t>
      </w:r>
      <w:r>
        <w:rPr>
          <w:b/>
        </w:rPr>
        <w:t>al giorno S</w:t>
      </w:r>
      <w:r>
        <w:t>: domanda ex art. 2367 c.c., lettera sui doveri, istanza di iscrizione al gruppo bancario, apertura del canale con il Collegio Sindacale.</w:t>
      </w:r>
    </w:p>
    <w:p>
      <w:pPr>
        <w:pStyle w:val="Heading3"/>
      </w:pPr>
      <w:r>
        <w:t>Analisi da completare</w:t>
      </w:r>
    </w:p>
    <w:p>
      <w:pPr>
        <w:pStyle w:val="ListNumber"/>
      </w:pPr>
      <w:r>
        <w:rPr>
          <w:b/>
        </w:rPr>
        <w:t>Quantificare</w:t>
      </w:r>
      <w:r>
        <w:t xml:space="preserve"> il costo del ritardo del consolidato fiscale a FY2028 nello scenario di settlement 2027 e verificare la praticabilità dell'allineamento dell'esercizio MPS.</w:t>
      </w:r>
    </w:p>
    <w:p>
      <w:pPr>
        <w:pStyle w:val="ListNumber"/>
      </w:pPr>
      <w:r>
        <w:rPr>
          <w:b/>
        </w:rPr>
        <w:t>Modellare</w:t>
      </w:r>
      <w:r>
        <w:t xml:space="preserve"> l'impatto CET1 dello scenario sotto-90% (art. 84 CRR + avviamento dedotto al 100% + diluizione del beneficio Danish) per livelli di adesione del 70%, 80%, 85%, 89,9% e 90%+.</w:t>
      </w:r>
    </w:p>
    <w:p>
      <w:pPr>
        <w:pStyle w:val="ListNumber"/>
      </w:pPr>
      <w:r>
        <w:rPr>
          <w:b/>
        </w:rPr>
        <w:t>Aggiornare le pagine 5-6</w:t>
      </w:r>
      <w:r>
        <w:t xml:space="preserve"> del documento con una terza dimensione di lettura: oggi confrontano settlement 2026 e 2027 assumendo in entrambi i casi il 90% e le dimissioni. Le conclusioni su PPA, Danish, consolidato, revisori e carve-out cambiano di segno nello scenario sotto-90%.</w:t>
      </w:r>
    </w:p>
    <w:p>
      <w:r>
        <w:br w:type="page"/>
      </w:r>
    </w:p>
    <w:p>
      <w:pPr>
        <w:pStyle w:val="Heading2"/>
      </w:pPr>
      <w:r>
        <w:t>8. Fonti principali e punti da verificare</w:t>
      </w:r>
    </w:p>
    <w:p>
      <w:pPr>
        <w:pStyle w:val="Heading3"/>
      </w:pPr>
      <w:r>
        <w:t>Fonti primarie utilizzate</w:t>
      </w:r>
    </w:p>
    <w:p>
      <w:pPr>
        <w:pStyle w:val="ListBullet"/>
      </w:pPr>
      <w:r>
        <w:rPr>
          <w:b/>
        </w:rPr>
        <w:t>Comunicato ISP ex art. 102, c. 1, TUF, 8 giugno 2026</w:t>
      </w:r>
      <w:r>
        <w:t xml:space="preserve"> (condizioni di efficacia, dichiarazioni artt. 111 e 108, Accordo Unipol, riapertura dei termini, criterio di computo delle azioni proprie).</w:t>
      </w:r>
    </w:p>
    <w:p>
      <w:pPr>
        <w:pStyle w:val="ListBullet"/>
      </w:pPr>
      <w:r>
        <w:rPr>
          <w:b/>
        </w:rPr>
        <w:t>D.Lgs. 27 marzo 2026, n. 47</w:t>
      </w:r>
      <w:r>
        <w:t xml:space="preserve"> (GU n. 86 del 14 aprile 2026, in vigore dal 29 aprile 2026): artt. 108, 111, 106, 107, 102, 112-bis, 133, 125-bis, 126-bis, 151, 151.1 TUF; abrogazione dell'art. 112 TUF e dell'art. 36 del D.L. 201/2011 (divieto di </w:t>
      </w:r>
      <w:r>
        <w:rPr>
          <w:i/>
        </w:rPr>
        <w:t>interlocking</w:t>
      </w:r>
      <w:r>
        <w:t>).</w:t>
      </w:r>
    </w:p>
    <w:p>
      <w:pPr>
        <w:pStyle w:val="ListBullet"/>
      </w:pPr>
      <w:r>
        <w:rPr>
          <w:b/>
        </w:rPr>
        <w:t>Regolamento Emittenti</w:t>
      </w:r>
      <w:r>
        <w:t xml:space="preserve"> (delibera 11971/1999, aggiornato alla delibera 23979 del 14 maggio 2026): artt. 39-bis, 40, 40-bis, 41, 42, 50, 50-bis, 50-quinquies, 144-sexies, 144-octies.</w:t>
      </w:r>
    </w:p>
    <w:p>
      <w:pPr>
        <w:pStyle w:val="ListBullet"/>
      </w:pPr>
      <w:r>
        <w:rPr>
          <w:b/>
        </w:rPr>
        <w:t>Regolamento OPC</w:t>
      </w:r>
      <w:r>
        <w:t xml:space="preserve"> (delibera Consob 17221/2010, testo vigente dall'11 giugno 2026): artt. 4, 5, 7, 8, 10, 11, 13, 14 e Allegati 3 e 4.</w:t>
      </w:r>
    </w:p>
    <w:p>
      <w:pPr>
        <w:pStyle w:val="ListBullet"/>
      </w:pPr>
      <w:r>
        <w:rPr>
          <w:b/>
        </w:rPr>
        <w:t>Consob</w:t>
      </w:r>
      <w:r>
        <w:t>, documento di consultazione "Listing Act e OPA" del 18 giugno 2026 (conferma della soglia unica al 90%; proposta di estensione dell'art. 50-quinquies all'art. 108, c. 2).</w:t>
      </w:r>
    </w:p>
    <w:p>
      <w:pPr>
        <w:pStyle w:val="ListBullet"/>
      </w:pPr>
      <w:r>
        <w:rPr>
          <w:b/>
        </w:rPr>
        <w:t>Statuto MPS</w:t>
      </w:r>
      <w:r>
        <w:t xml:space="preserve"> come modificato dall'assemblea straordinaria del 4 febbraio 2026 (artt. 12, 14, 15, 25).</w:t>
      </w:r>
    </w:p>
    <w:p>
      <w:pPr>
        <w:pStyle w:val="ListBullet"/>
      </w:pPr>
      <w:r>
        <w:rPr>
          <w:b/>
        </w:rPr>
        <w:t>Esiti dell'assemblea MPS del 15 aprile 2026</w:t>
      </w:r>
      <w:r>
        <w:t xml:space="preserve"> (composizione degli organi, compensi, liste).</w:t>
      </w:r>
    </w:p>
    <w:p>
      <w:pPr>
        <w:pStyle w:val="ListBullet"/>
      </w:pPr>
      <w:r>
        <w:t>Precedenti: ISP/UBI (2020-21), CA Italia/Creval (2021), BPER/Carige (2022), Unipol/UnipolSai (2024), Banco BPM Vita/Anima (2025), Banca Ifis/illimity (2025), BPER/Banca Popolare di Sondrio (2025-26), MPS/Mediobanca (2025-26), TIM/Elliott/Vivendi (2018).</w:t>
      </w:r>
    </w:p>
    <w:p>
      <w:pPr>
        <w:pStyle w:val="ListBullet"/>
      </w:pPr>
      <w:r>
        <w:t>Giurisprudenza: Cass. 8912/2003; Cass. 16707/2004; Cass. 23557/2008; Cass. 2037/2018; Cass. 29139/2017; Cass. 24943/2019; Cass. 21495/2020; Cass. 4586/2023; Trib. Milano 2 aprile 2016; Trib. Roma 13 novembre 2018; Trib. Milano 23 aprile 2018 (TIM); parere Marchetti per Telecom Italia, aprile 2018.</w:t>
      </w:r>
    </w:p>
    <w:p>
      <w:pPr>
        <w:pStyle w:val="Heading3"/>
      </w:pPr>
      <w:r>
        <w:t>Punti da verificare prima di un uso decisionale</w:t>
      </w:r>
    </w:p>
    <w:p>
      <w:pPr>
        <w:pStyle w:val="ListNumber"/>
      </w:pPr>
      <w:r>
        <w:rPr>
          <w:b/>
        </w:rPr>
        <w:t>Testo consolidato ufficiale del TUF post-D.Lgs. 47/2026</w:t>
      </w:r>
      <w:r>
        <w:t xml:space="preserve"> su Normattiva: gli artt. 108 e 111 sono stati ricostruiti combinando il testo del decreto con fonti consolidate non ufficiali, fra loro coerenti.</w:t>
      </w:r>
    </w:p>
    <w:p>
      <w:pPr>
        <w:pStyle w:val="ListNumber"/>
      </w:pPr>
      <w:r>
        <w:rPr>
          <w:b/>
        </w:rPr>
        <w:t>Esito della consultazione Consob del 18 giugno 2026</w:t>
      </w:r>
      <w:r>
        <w:t>: la delibera conclusiva non risultava pubblicata al 16 settembre 2026 e atterrerà con ogni probabilità fra novembre 2026 e gennaio 2027, cioè nella finestra del settlement. Da monitorare, insieme alla gestione concreta delle procedure congiunte attivate a 90% nel transitorio.</w:t>
      </w:r>
    </w:p>
    <w:p>
      <w:pPr>
        <w:pStyle w:val="ListNumber"/>
      </w:pPr>
      <w:r>
        <w:rPr>
          <w:b/>
        </w:rPr>
        <w:t>Testo statutario MPS consolidato post-4 febbraio 2026</w:t>
      </w:r>
      <w:r>
        <w:t>: l'art. 15 è stato ricostruito dal verbale dell'assemblea straordinaria; gli artt. 12, 14 e 25 dalla versione precedente, senza riscontro documentale che siano stati modificati.</w:t>
      </w:r>
    </w:p>
    <w:p>
      <w:pPr>
        <w:pStyle w:val="ListNumber"/>
      </w:pPr>
      <w:r>
        <w:rPr>
          <w:b/>
        </w:rPr>
        <w:t>Art. 70, c. 7, TUB</w:t>
      </w:r>
      <w:r>
        <w:t xml:space="preserve"> (esclusione dell'art. 2409 c.c. per le banche) sul testo vigente.</w:t>
      </w:r>
    </w:p>
    <w:p>
      <w:pPr>
        <w:pStyle w:val="ListNumber"/>
      </w:pPr>
      <w:r>
        <w:rPr>
          <w:b/>
        </w:rPr>
        <w:t>Competenza territoriale</w:t>
      </w:r>
      <w:r>
        <w:t xml:space="preserve"> della Sezione Imprese di Firenze per MPS: conclusione sistematica, non verificata su fonte istituzionale.</w:t>
      </w:r>
    </w:p>
    <w:p>
      <w:pPr>
        <w:pStyle w:val="ListNumber"/>
      </w:pPr>
      <w:r>
        <w:rPr>
          <w:b/>
        </w:rPr>
        <w:t>Tempi effettivi</w:t>
      </w:r>
      <w:r>
        <w:t xml:space="preserve"> del procedimento ex art. 2367, c. 2, c.c.: nessun dato statistico pubblico; la stima 30-90 giorni è basata sulla struttura del procedimento.</w:t>
      </w:r>
    </w:p>
    <w:p>
      <w:pPr>
        <w:pStyle w:val="ListNumber"/>
      </w:pPr>
      <w:r>
        <w:rPr>
          <w:b/>
        </w:rPr>
        <w:t>Interazione fra minority interests e beneficio del Danish Compromise</w:t>
      </w:r>
      <w:r>
        <w:t>: non risultano Q&amp;A EBA né passaggi della Guida BCE su opzioni e discrezionalità che affrontino direttamente il punto. La conclusione del par. 3.4 n. 4 è un'inferenza analitica costruita sul combinato degli artt. 49(1)(e)(v) e 84 CRR e del Report EBA di gennaio 2026: da sottoporre a parere.</w:t>
      </w:r>
    </w:p>
    <w:p>
      <w:pPr>
        <w:pStyle w:val="ListNumber"/>
      </w:pPr>
      <w:r>
        <w:rPr>
          <w:b/>
        </w:rPr>
        <w:t>Data di Pagamento</w:t>
      </w:r>
      <w:r>
        <w:t xml:space="preserve"> effettiva indicata nel Documento di Offerta e sua coerenza con la cascata di pag. 4.</w:t>
      </w:r>
    </w:p>
    <w:p>
      <w:pPr>
        <w:pStyle w:val="ListNumber"/>
      </w:pPr>
      <w:r>
        <w:rPr>
          <w:b/>
        </w:rPr>
        <w:t>Remunerazione dell'AD e indennità di fine rapporto</w:t>
      </w:r>
      <w:r>
        <w:t xml:space="preserve"> degli esponenti MPS (Relazione sulla remunerazione ex art. 123-ter TUF 2026), per completare la stima del costo della revoca.</w:t>
      </w:r>
    </w:p>
    <w:p>
      <w:pPr>
        <w:pStyle w:val="ListNumber"/>
      </w:pPr>
      <w:r>
        <w:rPr>
          <w:b/>
        </w:rPr>
        <w:t>Computabilità degli acquisti fuori offerta</w:t>
      </w:r>
      <w:r>
        <w:t xml:space="preserve"> ai fini dell'art. 50, c. 9, lett. a), n. ii), Reg. Emittenti e coordinamento con le regole sul miglior prezzo (artt. 47-sexies e 47-septies).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