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5E60" w:rsidRDefault="00D166BA">
      <w:pPr>
        <w:pStyle w:val="Title"/>
      </w:pPr>
      <w:bookmarkStart w:id="0" w:name="_7eurrvsi88ui" w:colFirst="0" w:colLast="0"/>
      <w:bookmarkEnd w:id="0"/>
      <w:r>
        <w:t>Pervasive additive and non-additive effects within the HLA region contribute to disease risk in the UK Biobank</w:t>
      </w:r>
    </w:p>
    <w:p w:rsidR="00C25E60" w:rsidRDefault="00D166BA">
      <w:r>
        <w:t>Guhan Ram Venkataraman</w:t>
      </w:r>
      <w:r>
        <w:rPr>
          <w:vertAlign w:val="superscript"/>
        </w:rPr>
        <w:t>1+</w:t>
      </w:r>
      <w:r>
        <w:t>, Julia Eve Olivieri</w:t>
      </w:r>
      <w:r>
        <w:rPr>
          <w:vertAlign w:val="superscript"/>
        </w:rPr>
        <w:t>2</w:t>
      </w:r>
      <w:r>
        <w:t xml:space="preserve">, Christopher </w:t>
      </w:r>
      <w:proofErr w:type="spellStart"/>
      <w:r>
        <w:t>DeBoever</w:t>
      </w:r>
      <w:proofErr w:type="spellEnd"/>
      <w:r>
        <w:t>, Yosuke Tanigawa</w:t>
      </w:r>
      <w:r>
        <w:rPr>
          <w:vertAlign w:val="superscript"/>
        </w:rPr>
        <w:t>1</w:t>
      </w:r>
      <w:r>
        <w:t>, Johanne Marie Justesen</w:t>
      </w:r>
      <w:r>
        <w:rPr>
          <w:vertAlign w:val="superscript"/>
        </w:rPr>
        <w:t>1</w:t>
      </w:r>
      <w:r>
        <w:t>, Manuel A. Rivas</w:t>
      </w:r>
      <w:r>
        <w:rPr>
          <w:vertAlign w:val="superscript"/>
        </w:rPr>
        <w:t>1+</w:t>
      </w:r>
    </w:p>
    <w:p w:rsidR="00C25E60" w:rsidRDefault="00C25E60"/>
    <w:p w:rsidR="00C25E60" w:rsidRDefault="00D166BA">
      <w:r>
        <w:rPr>
          <w:sz w:val="18"/>
          <w:szCs w:val="18"/>
        </w:rPr>
        <w:t>Affiliations:</w:t>
      </w:r>
    </w:p>
    <w:p w:rsidR="00C25E60" w:rsidRDefault="00D166BA">
      <w:pPr>
        <w:rPr>
          <w:sz w:val="16"/>
          <w:szCs w:val="16"/>
        </w:rPr>
      </w:pPr>
      <w:r>
        <w:rPr>
          <w:sz w:val="16"/>
          <w:szCs w:val="16"/>
        </w:rPr>
        <w:t>1.  Department of Biomedical Data Science, School of Medicine, Stanford University, Stanford, CA, USA.</w:t>
      </w:r>
    </w:p>
    <w:p w:rsidR="00C25E60" w:rsidRDefault="00D166BA">
      <w:pPr>
        <w:rPr>
          <w:sz w:val="16"/>
          <w:szCs w:val="16"/>
        </w:rPr>
      </w:pPr>
      <w:r>
        <w:rPr>
          <w:sz w:val="16"/>
          <w:szCs w:val="16"/>
        </w:rPr>
        <w:t xml:space="preserve">2.  </w:t>
      </w:r>
      <w:r>
        <w:rPr>
          <w:sz w:val="16"/>
          <w:szCs w:val="16"/>
          <w:highlight w:val="white"/>
        </w:rPr>
        <w:t>Institute for Computational and Mathematical Engineering</w:t>
      </w:r>
      <w:r>
        <w:rPr>
          <w:sz w:val="16"/>
          <w:szCs w:val="16"/>
        </w:rPr>
        <w:t>, Stanford University, Stanford, CA, USA.</w:t>
      </w:r>
    </w:p>
    <w:p w:rsidR="00C25E60" w:rsidRDefault="00D166BA">
      <w:pPr>
        <w:rPr>
          <w:sz w:val="16"/>
          <w:szCs w:val="16"/>
        </w:rPr>
      </w:pPr>
      <w:r>
        <w:rPr>
          <w:sz w:val="16"/>
          <w:szCs w:val="16"/>
        </w:rPr>
        <w:t>+Corresponding author</w:t>
      </w:r>
    </w:p>
    <w:p w:rsidR="00C25E60" w:rsidRDefault="00C25E60">
      <w:pPr>
        <w:rPr>
          <w:sz w:val="16"/>
          <w:szCs w:val="16"/>
        </w:rPr>
      </w:pPr>
    </w:p>
    <w:sdt>
      <w:sdtPr>
        <w:id w:val="-1160301711"/>
        <w:docPartObj>
          <w:docPartGallery w:val="Table of Contents"/>
          <w:docPartUnique/>
        </w:docPartObj>
      </w:sdtPr>
      <w:sdtEndPr/>
      <w:sdtContent>
        <w:p w:rsidR="00C25E60" w:rsidRDefault="00D166BA">
          <w:pPr>
            <w:tabs>
              <w:tab w:val="right" w:pos="9360"/>
            </w:tabs>
            <w:spacing w:before="80" w:line="240" w:lineRule="auto"/>
            <w:rPr>
              <w:b/>
              <w:color w:val="000000"/>
            </w:rPr>
          </w:pPr>
          <w:r>
            <w:fldChar w:fldCharType="begin"/>
          </w:r>
          <w:r>
            <w:instrText xml:space="preserve"> TOC \h \u \z </w:instrText>
          </w:r>
          <w:r>
            <w:fldChar w:fldCharType="separate"/>
          </w:r>
          <w:hyperlink w:anchor="_x9e8kzb7ogxm">
            <w:r>
              <w:rPr>
                <w:b/>
                <w:color w:val="000000"/>
              </w:rPr>
              <w:t>Abstract</w:t>
            </w:r>
          </w:hyperlink>
          <w:r>
            <w:rPr>
              <w:b/>
              <w:color w:val="000000"/>
            </w:rPr>
            <w:tab/>
          </w:r>
          <w:r>
            <w:fldChar w:fldCharType="begin"/>
          </w:r>
          <w:r>
            <w:instrText xml:space="preserve"> PAGEREF _x9e8kzb7ogxm \h </w:instrText>
          </w:r>
          <w:r>
            <w:fldChar w:fldCharType="separate"/>
          </w:r>
          <w:r>
            <w:rPr>
              <w:b/>
              <w:color w:val="000000"/>
            </w:rPr>
            <w:t>2</w:t>
          </w:r>
          <w:r>
            <w:fldChar w:fldCharType="end"/>
          </w:r>
        </w:p>
        <w:p w:rsidR="00C25E60" w:rsidRDefault="00D166BA">
          <w:pPr>
            <w:tabs>
              <w:tab w:val="right" w:pos="9360"/>
            </w:tabs>
            <w:spacing w:before="200" w:line="240" w:lineRule="auto"/>
            <w:rPr>
              <w:b/>
              <w:color w:val="000000"/>
            </w:rPr>
          </w:pPr>
          <w:hyperlink w:anchor="_mlzp20s8xtaj">
            <w:r>
              <w:rPr>
                <w:b/>
                <w:color w:val="000000"/>
              </w:rPr>
              <w:t>Introduction</w:t>
            </w:r>
          </w:hyperlink>
          <w:r>
            <w:rPr>
              <w:b/>
              <w:color w:val="000000"/>
            </w:rPr>
            <w:tab/>
          </w:r>
          <w:r>
            <w:fldChar w:fldCharType="begin"/>
          </w:r>
          <w:r>
            <w:instrText xml:space="preserve"> PAGEREF _mlzp20s8xtaj \h </w:instrText>
          </w:r>
          <w:r>
            <w:fldChar w:fldCharType="separate"/>
          </w:r>
          <w:r>
            <w:rPr>
              <w:b/>
              <w:color w:val="000000"/>
            </w:rPr>
            <w:t>2</w:t>
          </w:r>
          <w:r>
            <w:fldChar w:fldCharType="end"/>
          </w:r>
        </w:p>
        <w:p w:rsidR="00C25E60" w:rsidRDefault="00D166BA">
          <w:pPr>
            <w:tabs>
              <w:tab w:val="right" w:pos="9360"/>
            </w:tabs>
            <w:spacing w:before="200" w:line="240" w:lineRule="auto"/>
            <w:rPr>
              <w:b/>
              <w:color w:val="000000"/>
            </w:rPr>
          </w:pPr>
          <w:hyperlink w:anchor="_c7j5kqigisyg">
            <w:r>
              <w:rPr>
                <w:b/>
                <w:color w:val="000000"/>
              </w:rPr>
              <w:t>Materials and Methods</w:t>
            </w:r>
          </w:hyperlink>
          <w:r>
            <w:rPr>
              <w:b/>
              <w:color w:val="000000"/>
            </w:rPr>
            <w:tab/>
          </w:r>
          <w:r>
            <w:fldChar w:fldCharType="begin"/>
          </w:r>
          <w:r>
            <w:instrText xml:space="preserve"> PAGEREF _c7j5kqigisyg \h </w:instrText>
          </w:r>
          <w:r>
            <w:fldChar w:fldCharType="separate"/>
          </w:r>
          <w:r>
            <w:rPr>
              <w:b/>
              <w:color w:val="000000"/>
            </w:rPr>
            <w:t>3</w:t>
          </w:r>
          <w:r>
            <w:fldChar w:fldCharType="end"/>
          </w:r>
        </w:p>
        <w:p w:rsidR="00C25E60" w:rsidRDefault="00D166BA">
          <w:pPr>
            <w:tabs>
              <w:tab w:val="right" w:pos="9360"/>
            </w:tabs>
            <w:spacing w:before="60" w:line="240" w:lineRule="auto"/>
            <w:ind w:left="360"/>
            <w:rPr>
              <w:color w:val="000000"/>
            </w:rPr>
          </w:pPr>
          <w:hyperlink w:anchor="_tc04atmg9cei">
            <w:r>
              <w:rPr>
                <w:color w:val="000000"/>
              </w:rPr>
              <w:t>Data</w:t>
            </w:r>
          </w:hyperlink>
          <w:r>
            <w:rPr>
              <w:color w:val="000000"/>
            </w:rPr>
            <w:tab/>
          </w:r>
          <w:r>
            <w:fldChar w:fldCharType="begin"/>
          </w:r>
          <w:r>
            <w:instrText xml:space="preserve"> PAGEREF _tc04atmg9cei \h </w:instrText>
          </w:r>
          <w:r>
            <w:fldChar w:fldCharType="separate"/>
          </w:r>
          <w:r>
            <w:rPr>
              <w:color w:val="000000"/>
            </w:rPr>
            <w:t>3</w:t>
          </w:r>
          <w:r>
            <w:fldChar w:fldCharType="end"/>
          </w:r>
        </w:p>
        <w:p w:rsidR="00C25E60" w:rsidRDefault="00D166BA">
          <w:pPr>
            <w:tabs>
              <w:tab w:val="right" w:pos="9360"/>
            </w:tabs>
            <w:spacing w:before="60" w:line="240" w:lineRule="auto"/>
            <w:ind w:left="360"/>
            <w:rPr>
              <w:color w:val="000000"/>
            </w:rPr>
          </w:pPr>
          <w:hyperlink w:anchor="_njk51e27fcxm">
            <w:r>
              <w:rPr>
                <w:color w:val="000000"/>
              </w:rPr>
              <w:t>Association analysis</w:t>
            </w:r>
          </w:hyperlink>
          <w:r>
            <w:rPr>
              <w:color w:val="000000"/>
            </w:rPr>
            <w:tab/>
          </w:r>
          <w:r>
            <w:fldChar w:fldCharType="begin"/>
          </w:r>
          <w:r>
            <w:instrText xml:space="preserve"> PAGEREF _njk51e27fcxm \h </w:instrText>
          </w:r>
          <w:r>
            <w:fldChar w:fldCharType="separate"/>
          </w:r>
          <w:r>
            <w:rPr>
              <w:color w:val="000000"/>
            </w:rPr>
            <w:t>4</w:t>
          </w:r>
          <w:r>
            <w:fldChar w:fldCharType="end"/>
          </w:r>
        </w:p>
        <w:p w:rsidR="00C25E60" w:rsidRDefault="00D166BA">
          <w:pPr>
            <w:tabs>
              <w:tab w:val="right" w:pos="9360"/>
            </w:tabs>
            <w:spacing w:before="60" w:line="240" w:lineRule="auto"/>
            <w:ind w:left="360"/>
            <w:rPr>
              <w:color w:val="000000"/>
            </w:rPr>
          </w:pPr>
          <w:hyperlink w:anchor="_jrqwulkriu21">
            <w:r>
              <w:rPr>
                <w:color w:val="000000"/>
              </w:rPr>
              <w:t>Bayesian Model Averaging</w:t>
            </w:r>
          </w:hyperlink>
          <w:r>
            <w:rPr>
              <w:color w:val="000000"/>
            </w:rPr>
            <w:tab/>
          </w:r>
          <w:r>
            <w:fldChar w:fldCharType="begin"/>
          </w:r>
          <w:r>
            <w:instrText xml:space="preserve"> PAGEREF _jrqwulkriu21 \h </w:instrText>
          </w:r>
          <w:r>
            <w:fldChar w:fldCharType="separate"/>
          </w:r>
          <w:r>
            <w:rPr>
              <w:color w:val="000000"/>
            </w:rPr>
            <w:t>4</w:t>
          </w:r>
          <w:r>
            <w:fldChar w:fldCharType="end"/>
          </w:r>
        </w:p>
        <w:p w:rsidR="00C25E60" w:rsidRDefault="00D166BA">
          <w:pPr>
            <w:tabs>
              <w:tab w:val="right" w:pos="9360"/>
            </w:tabs>
            <w:spacing w:before="60" w:line="240" w:lineRule="auto"/>
            <w:ind w:left="360"/>
            <w:rPr>
              <w:color w:val="000000"/>
            </w:rPr>
          </w:pPr>
          <w:hyperlink w:anchor="_ng3mfahwvnu2">
            <w:r>
              <w:rPr>
                <w:color w:val="000000"/>
              </w:rPr>
              <w:t>Analysis of non-additive genetic effects</w:t>
            </w:r>
          </w:hyperlink>
          <w:r>
            <w:rPr>
              <w:color w:val="000000"/>
            </w:rPr>
            <w:tab/>
          </w:r>
          <w:r>
            <w:fldChar w:fldCharType="begin"/>
          </w:r>
          <w:r>
            <w:instrText xml:space="preserve"> PAGEREF _ng3mfahwvnu2 \h </w:instrText>
          </w:r>
          <w:r>
            <w:fldChar w:fldCharType="separate"/>
          </w:r>
          <w:r>
            <w:rPr>
              <w:color w:val="000000"/>
            </w:rPr>
            <w:t>5</w:t>
          </w:r>
          <w:r>
            <w:fldChar w:fldCharType="end"/>
          </w:r>
        </w:p>
        <w:p w:rsidR="00C25E60" w:rsidRDefault="00D166BA">
          <w:pPr>
            <w:tabs>
              <w:tab w:val="right" w:pos="9360"/>
            </w:tabs>
            <w:spacing w:before="60" w:line="240" w:lineRule="auto"/>
            <w:ind w:left="360"/>
            <w:rPr>
              <w:color w:val="000000"/>
            </w:rPr>
          </w:pPr>
          <w:hyperlink w:anchor="_7n5o9ha9gjmh">
            <w:r>
              <w:rPr>
                <w:color w:val="000000"/>
              </w:rPr>
              <w:t>Systematic literature review</w:t>
            </w:r>
          </w:hyperlink>
          <w:r>
            <w:rPr>
              <w:color w:val="000000"/>
            </w:rPr>
            <w:tab/>
          </w:r>
          <w:r>
            <w:fldChar w:fldCharType="begin"/>
          </w:r>
          <w:r>
            <w:instrText xml:space="preserve"> PAGEREF _7n5o9ha9gjmh \h </w:instrText>
          </w:r>
          <w:r>
            <w:fldChar w:fldCharType="separate"/>
          </w:r>
          <w:r>
            <w:rPr>
              <w:color w:val="000000"/>
            </w:rPr>
            <w:t>5</w:t>
          </w:r>
          <w:r>
            <w:fldChar w:fldCharType="end"/>
          </w:r>
        </w:p>
        <w:p w:rsidR="00C25E60" w:rsidRDefault="00D166BA">
          <w:pPr>
            <w:tabs>
              <w:tab w:val="right" w:pos="9360"/>
            </w:tabs>
            <w:spacing w:before="200" w:line="240" w:lineRule="auto"/>
            <w:rPr>
              <w:b/>
              <w:color w:val="000000"/>
            </w:rPr>
          </w:pPr>
          <w:hyperlink w:anchor="_9hv7y1h0zwrv">
            <w:r>
              <w:rPr>
                <w:b/>
                <w:color w:val="000000"/>
              </w:rPr>
              <w:t>Results</w:t>
            </w:r>
          </w:hyperlink>
          <w:r>
            <w:rPr>
              <w:b/>
              <w:color w:val="000000"/>
            </w:rPr>
            <w:tab/>
          </w:r>
          <w:r>
            <w:fldChar w:fldCharType="begin"/>
          </w:r>
          <w:r>
            <w:instrText xml:space="preserve"> PAGEREF _9hv7y1h0zwrv \h </w:instrText>
          </w:r>
          <w:r>
            <w:fldChar w:fldCharType="separate"/>
          </w:r>
          <w:r>
            <w:rPr>
              <w:b/>
              <w:color w:val="000000"/>
            </w:rPr>
            <w:t>6</w:t>
          </w:r>
          <w:r>
            <w:fldChar w:fldCharType="end"/>
          </w:r>
        </w:p>
        <w:p w:rsidR="00C25E60" w:rsidRDefault="00D166BA">
          <w:pPr>
            <w:tabs>
              <w:tab w:val="right" w:pos="9360"/>
            </w:tabs>
            <w:spacing w:before="60" w:line="240" w:lineRule="auto"/>
            <w:ind w:left="360"/>
            <w:rPr>
              <w:color w:val="000000"/>
            </w:rPr>
          </w:pPr>
          <w:hyperlink w:anchor="_k4kbkz5os1ol">
            <w:r>
              <w:rPr>
                <w:color w:val="000000"/>
              </w:rPr>
              <w:t>Association analysis</w:t>
            </w:r>
          </w:hyperlink>
          <w:r>
            <w:rPr>
              <w:color w:val="000000"/>
            </w:rPr>
            <w:tab/>
          </w:r>
          <w:r>
            <w:fldChar w:fldCharType="begin"/>
          </w:r>
          <w:r>
            <w:instrText xml:space="preserve"> PAGEREF _k4kbkz5os1ol \h </w:instrText>
          </w:r>
          <w:r>
            <w:fldChar w:fldCharType="separate"/>
          </w:r>
          <w:r>
            <w:rPr>
              <w:color w:val="000000"/>
            </w:rPr>
            <w:t>6</w:t>
          </w:r>
          <w:r>
            <w:fldChar w:fldCharType="end"/>
          </w:r>
        </w:p>
        <w:p w:rsidR="00C25E60" w:rsidRDefault="00D166BA">
          <w:pPr>
            <w:tabs>
              <w:tab w:val="right" w:pos="9360"/>
            </w:tabs>
            <w:spacing w:before="60" w:line="240" w:lineRule="auto"/>
            <w:ind w:left="360"/>
            <w:rPr>
              <w:color w:val="000000"/>
            </w:rPr>
          </w:pPr>
          <w:hyperlink w:anchor="_9xzewpov95fx">
            <w:r>
              <w:rPr>
                <w:color w:val="000000"/>
              </w:rPr>
              <w:t>Bay</w:t>
            </w:r>
            <w:r>
              <w:rPr>
                <w:color w:val="000000"/>
              </w:rPr>
              <w:t>esian Model Averaging</w:t>
            </w:r>
          </w:hyperlink>
          <w:r>
            <w:rPr>
              <w:color w:val="000000"/>
            </w:rPr>
            <w:tab/>
          </w:r>
          <w:r>
            <w:fldChar w:fldCharType="begin"/>
          </w:r>
          <w:r>
            <w:instrText xml:space="preserve"> PAGEREF _9xzewpov95fx \h </w:instrText>
          </w:r>
          <w:r>
            <w:fldChar w:fldCharType="separate"/>
          </w:r>
          <w:r>
            <w:rPr>
              <w:color w:val="000000"/>
            </w:rPr>
            <w:t>6</w:t>
          </w:r>
          <w:r>
            <w:fldChar w:fldCharType="end"/>
          </w:r>
        </w:p>
        <w:p w:rsidR="00C25E60" w:rsidRDefault="00D166BA">
          <w:pPr>
            <w:tabs>
              <w:tab w:val="right" w:pos="9360"/>
            </w:tabs>
            <w:spacing w:before="60" w:line="240" w:lineRule="auto"/>
            <w:ind w:left="360"/>
            <w:rPr>
              <w:color w:val="000000"/>
            </w:rPr>
          </w:pPr>
          <w:hyperlink w:anchor="_t5aacapmjbt2">
            <w:r>
              <w:rPr>
                <w:color w:val="000000"/>
              </w:rPr>
              <w:t>Analysis of non-additive genetic effects</w:t>
            </w:r>
          </w:hyperlink>
          <w:r>
            <w:rPr>
              <w:color w:val="000000"/>
            </w:rPr>
            <w:tab/>
          </w:r>
          <w:r>
            <w:fldChar w:fldCharType="begin"/>
          </w:r>
          <w:r>
            <w:instrText xml:space="preserve"> PAGEREF _t5aacapmjbt2 \h </w:instrText>
          </w:r>
          <w:r>
            <w:fldChar w:fldCharType="separate"/>
          </w:r>
          <w:r>
            <w:rPr>
              <w:color w:val="000000"/>
            </w:rPr>
            <w:t>9</w:t>
          </w:r>
          <w:r>
            <w:fldChar w:fldCharType="end"/>
          </w:r>
        </w:p>
        <w:p w:rsidR="00C25E60" w:rsidRDefault="00D166BA">
          <w:pPr>
            <w:tabs>
              <w:tab w:val="right" w:pos="9360"/>
            </w:tabs>
            <w:spacing w:before="200" w:line="240" w:lineRule="auto"/>
            <w:rPr>
              <w:b/>
              <w:color w:val="000000"/>
            </w:rPr>
          </w:pPr>
          <w:hyperlink w:anchor="_ay437t7oe996">
            <w:r>
              <w:rPr>
                <w:b/>
                <w:color w:val="000000"/>
              </w:rPr>
              <w:t>Discussion</w:t>
            </w:r>
          </w:hyperlink>
          <w:r>
            <w:rPr>
              <w:b/>
              <w:color w:val="000000"/>
            </w:rPr>
            <w:tab/>
          </w:r>
          <w:r>
            <w:fldChar w:fldCharType="begin"/>
          </w:r>
          <w:r>
            <w:instrText xml:space="preserve"> PAGEREF _ay437t7oe996 \h </w:instrText>
          </w:r>
          <w:r>
            <w:fldChar w:fldCharType="separate"/>
          </w:r>
          <w:r>
            <w:rPr>
              <w:b/>
              <w:color w:val="000000"/>
            </w:rPr>
            <w:t>10</w:t>
          </w:r>
          <w:r>
            <w:fldChar w:fldCharType="end"/>
          </w:r>
        </w:p>
        <w:p w:rsidR="00C25E60" w:rsidRDefault="00D166BA">
          <w:pPr>
            <w:tabs>
              <w:tab w:val="right" w:pos="9360"/>
            </w:tabs>
            <w:spacing w:before="200" w:line="240" w:lineRule="auto"/>
            <w:rPr>
              <w:b/>
              <w:color w:val="000000"/>
            </w:rPr>
          </w:pPr>
          <w:hyperlink w:anchor="_2b2kdwf7dsjz">
            <w:r>
              <w:rPr>
                <w:b/>
                <w:color w:val="000000"/>
              </w:rPr>
              <w:t>Author Contributions</w:t>
            </w:r>
          </w:hyperlink>
          <w:r>
            <w:rPr>
              <w:b/>
              <w:color w:val="000000"/>
            </w:rPr>
            <w:tab/>
          </w:r>
          <w:r>
            <w:fldChar w:fldCharType="begin"/>
          </w:r>
          <w:r>
            <w:instrText xml:space="preserve"> PAGEREF _2b2kdwf7dsjz</w:instrText>
          </w:r>
          <w:r>
            <w:instrText xml:space="preserve"> \h </w:instrText>
          </w:r>
          <w:r>
            <w:fldChar w:fldCharType="separate"/>
          </w:r>
          <w:r>
            <w:rPr>
              <w:b/>
              <w:color w:val="000000"/>
            </w:rPr>
            <w:t>11</w:t>
          </w:r>
          <w:r>
            <w:fldChar w:fldCharType="end"/>
          </w:r>
        </w:p>
        <w:p w:rsidR="00C25E60" w:rsidRDefault="00D166BA">
          <w:pPr>
            <w:tabs>
              <w:tab w:val="right" w:pos="9360"/>
            </w:tabs>
            <w:spacing w:before="200" w:line="240" w:lineRule="auto"/>
            <w:rPr>
              <w:b/>
              <w:color w:val="000000"/>
            </w:rPr>
          </w:pPr>
          <w:hyperlink w:anchor="_5zowalgxdk2i">
            <w:r>
              <w:rPr>
                <w:b/>
                <w:color w:val="000000"/>
              </w:rPr>
              <w:t>Acknowledgments and Funding</w:t>
            </w:r>
          </w:hyperlink>
          <w:r>
            <w:rPr>
              <w:b/>
              <w:color w:val="000000"/>
            </w:rPr>
            <w:tab/>
          </w:r>
          <w:r>
            <w:fldChar w:fldCharType="begin"/>
          </w:r>
          <w:r>
            <w:instrText xml:space="preserve"> PAGEREF _5zowalgxdk2i \h </w:instrText>
          </w:r>
          <w:r>
            <w:fldChar w:fldCharType="separate"/>
          </w:r>
          <w:r>
            <w:rPr>
              <w:b/>
              <w:color w:val="000000"/>
            </w:rPr>
            <w:t>11</w:t>
          </w:r>
          <w:r>
            <w:fldChar w:fldCharType="end"/>
          </w:r>
        </w:p>
        <w:p w:rsidR="00C25E60" w:rsidRDefault="00D166BA">
          <w:pPr>
            <w:tabs>
              <w:tab w:val="right" w:pos="9360"/>
            </w:tabs>
            <w:spacing w:before="200" w:line="240" w:lineRule="auto"/>
            <w:rPr>
              <w:b/>
              <w:color w:val="000000"/>
            </w:rPr>
          </w:pPr>
          <w:hyperlink w:anchor="_eztl0bokrphg">
            <w:r>
              <w:rPr>
                <w:b/>
                <w:color w:val="000000"/>
              </w:rPr>
              <w:t>Supplementary Materials</w:t>
            </w:r>
          </w:hyperlink>
          <w:r>
            <w:rPr>
              <w:b/>
              <w:color w:val="000000"/>
            </w:rPr>
            <w:tab/>
          </w:r>
          <w:r>
            <w:fldChar w:fldCharType="begin"/>
          </w:r>
          <w:r>
            <w:instrText xml:space="preserve"> PAGEREF _eztl0bokrphg \h </w:instrText>
          </w:r>
          <w:r>
            <w:fldChar w:fldCharType="separate"/>
          </w:r>
          <w:r>
            <w:rPr>
              <w:b/>
              <w:color w:val="000000"/>
            </w:rPr>
            <w:t>12</w:t>
          </w:r>
          <w:r>
            <w:fldChar w:fldCharType="end"/>
          </w:r>
        </w:p>
        <w:p w:rsidR="00C25E60" w:rsidRDefault="00D166BA">
          <w:pPr>
            <w:tabs>
              <w:tab w:val="right" w:pos="9360"/>
            </w:tabs>
            <w:spacing w:before="200" w:after="80" w:line="240" w:lineRule="auto"/>
            <w:rPr>
              <w:b/>
              <w:color w:val="000000"/>
            </w:rPr>
          </w:pPr>
          <w:hyperlink w:anchor="_kno85tvk1qd6">
            <w:r>
              <w:rPr>
                <w:b/>
                <w:color w:val="000000"/>
              </w:rPr>
              <w:t>References</w:t>
            </w:r>
          </w:hyperlink>
          <w:r>
            <w:rPr>
              <w:b/>
              <w:color w:val="000000"/>
            </w:rPr>
            <w:tab/>
          </w:r>
          <w:r>
            <w:fldChar w:fldCharType="begin"/>
          </w:r>
          <w:r>
            <w:instrText xml:space="preserve"> PAGEREF _kno85tvk1qd6 \h </w:instrText>
          </w:r>
          <w:r>
            <w:fldChar w:fldCharType="separate"/>
          </w:r>
          <w:r>
            <w:rPr>
              <w:b/>
              <w:color w:val="000000"/>
            </w:rPr>
            <w:t>12</w:t>
          </w:r>
          <w:r>
            <w:fldChar w:fldCharType="end"/>
          </w:r>
          <w:r>
            <w:fldChar w:fldCharType="end"/>
          </w:r>
        </w:p>
      </w:sdtContent>
    </w:sdt>
    <w:p w:rsidR="00C25E60" w:rsidRDefault="00D166BA">
      <w:pPr>
        <w:pStyle w:val="Heading1"/>
      </w:pPr>
      <w:bookmarkStart w:id="1" w:name="_ojumo6xxzpsi" w:colFirst="0" w:colLast="0"/>
      <w:bookmarkEnd w:id="1"/>
      <w:r>
        <w:br w:type="page"/>
      </w:r>
    </w:p>
    <w:p w:rsidR="00C25E60" w:rsidRDefault="00D166BA">
      <w:pPr>
        <w:pStyle w:val="Heading1"/>
      </w:pPr>
      <w:bookmarkStart w:id="2" w:name="_x9e8kzb7ogxm" w:colFirst="0" w:colLast="0"/>
      <w:bookmarkEnd w:id="2"/>
      <w:r>
        <w:lastRenderedPageBreak/>
        <w:t>Abstract</w:t>
      </w:r>
    </w:p>
    <w:p w:rsidR="00C25E60" w:rsidRDefault="00D166BA">
      <w:pPr>
        <w:pStyle w:val="Heading1"/>
        <w:rPr>
          <w:b/>
        </w:rPr>
      </w:pPr>
      <w:bookmarkStart w:id="3" w:name="_mlzp20s8xtaj" w:colFirst="0" w:colLast="0"/>
      <w:bookmarkEnd w:id="3"/>
      <w:r>
        <w:t>Introduction</w:t>
      </w:r>
    </w:p>
    <w:p w:rsidR="00C25E60" w:rsidRDefault="00D166BA">
      <w:r>
        <w:t>The human leukocyte antigen (HLA) region of the genome is one of the most disease-asso</w:t>
      </w:r>
      <w:r>
        <w:t>ciated but gene-dense and polymorphic regions of the human genome</w:t>
      </w:r>
      <w:hyperlink r:id="rId6">
        <w:r>
          <w:rPr>
            <w:color w:val="000000"/>
            <w:vertAlign w:val="superscript"/>
          </w:rPr>
          <w:t>1</w:t>
        </w:r>
      </w:hyperlink>
      <w:r>
        <w:t>. The downstream products of HLA genes generate and present peptides on the cell surface that can be recognized by T cell receptors, ma</w:t>
      </w:r>
      <w:r>
        <w:t>king these genes relevant to many disorders of the immune system</w:t>
      </w:r>
      <w:hyperlink r:id="rId7">
        <w:r>
          <w:rPr>
            <w:color w:val="000000"/>
            <w:vertAlign w:val="superscript"/>
          </w:rPr>
          <w:t>2</w:t>
        </w:r>
      </w:hyperlink>
      <w:r>
        <w:t>. Before the advent of high-throughput genome-wide association studies (GWAS), HLA polymorphisms were associated only with autoimmune di</w:t>
      </w:r>
      <w:r>
        <w:t>sorders and cancers</w:t>
      </w:r>
      <w:hyperlink r:id="rId8">
        <w:r>
          <w:rPr>
            <w:color w:val="000000"/>
            <w:vertAlign w:val="superscript"/>
          </w:rPr>
          <w:t>3,4</w:t>
        </w:r>
      </w:hyperlink>
      <w:r>
        <w:t>. Since, GWAS has uncovered associations between HLA and common infections</w:t>
      </w:r>
      <w:hyperlink r:id="rId9">
        <w:r>
          <w:rPr>
            <w:color w:val="000000"/>
            <w:vertAlign w:val="superscript"/>
          </w:rPr>
          <w:t>5</w:t>
        </w:r>
      </w:hyperlink>
      <w:r>
        <w:t>, shingles</w:t>
      </w:r>
      <w:hyperlink r:id="rId10">
        <w:r>
          <w:rPr>
            <w:color w:val="000000"/>
            <w:vertAlign w:val="superscript"/>
          </w:rPr>
          <w:t>6</w:t>
        </w:r>
      </w:hyperlink>
      <w:r>
        <w:t>, chronic Hepatitis B</w:t>
      </w:r>
      <w:hyperlink r:id="rId11">
        <w:r>
          <w:rPr>
            <w:color w:val="000000"/>
            <w:vertAlign w:val="superscript"/>
          </w:rPr>
          <w:t>7</w:t>
        </w:r>
      </w:hyperlink>
      <w:r>
        <w:t>, Epstein-Barr virus</w:t>
      </w:r>
      <w:hyperlink r:id="rId12">
        <w:r>
          <w:rPr>
            <w:color w:val="000000"/>
            <w:vertAlign w:val="superscript"/>
          </w:rPr>
          <w:t>8</w:t>
        </w:r>
      </w:hyperlink>
      <w:r>
        <w:t>, and other diseases. The HLA region contains 1.5</w:t>
      </w:r>
      <w:r>
        <w:t>% of the genes currently in Online Mendelian Inheritance in Man (OMIM, a database of genetic disorders and traits focusing on gene-phenotype relationships) and accounts for roughly 1% (1,827/185,864) of the genome-wide significant SNP associations in the N</w:t>
      </w:r>
      <w:r>
        <w:t>HGRI/EBI GWAS catalog</w:t>
      </w:r>
      <w:hyperlink r:id="rId13">
        <w:r>
          <w:rPr>
            <w:color w:val="000000"/>
            <w:vertAlign w:val="superscript"/>
          </w:rPr>
          <w:t>9</w:t>
        </w:r>
      </w:hyperlink>
      <w:r>
        <w:t>, underscoring its importance to disease. Despite being an attractive target for comprehensive GWAS, the HLA region presents many challenges that obscure its roles in disease path</w:t>
      </w:r>
      <w:r>
        <w:t>ogenesis; complex linkage disequilibrium (LD) structures, structural variation, closely-related genes, paralogs, segmental duplications, and violations of Hardy-Weinberg equilibrium make high-throughput genotyping methods such as fine-mapping and imputatio</w:t>
      </w:r>
      <w:r>
        <w:t>n challenging</w:t>
      </w:r>
      <w:hyperlink r:id="rId14">
        <w:r>
          <w:rPr>
            <w:color w:val="000000"/>
            <w:vertAlign w:val="superscript"/>
          </w:rPr>
          <w:t>10,11</w:t>
        </w:r>
      </w:hyperlink>
      <w:r>
        <w:t>. Despite custom-designed chips (e.g. the Illumina MHC SNP Panel</w:t>
      </w:r>
      <w:hyperlink r:id="rId15">
        <w:r>
          <w:rPr>
            <w:color w:val="000000"/>
            <w:vertAlign w:val="superscript"/>
          </w:rPr>
          <w:t>12</w:t>
        </w:r>
      </w:hyperlink>
      <w:r>
        <w:t>) and robust reference panels built to study the region</w:t>
      </w:r>
      <w:hyperlink r:id="rId16">
        <w:r>
          <w:rPr>
            <w:color w:val="000000"/>
            <w:vertAlign w:val="superscript"/>
          </w:rPr>
          <w:t>13,14</w:t>
        </w:r>
      </w:hyperlink>
      <w:r>
        <w:t>, there exist well-studied alleles in the HLA region whose impact on disease are unknown. Thus, understanding the role of the HLA region is critical to assessing disease risk.</w:t>
      </w:r>
    </w:p>
    <w:p w:rsidR="00C25E60" w:rsidRDefault="00C25E60"/>
    <w:p w:rsidR="00C25E60" w:rsidRDefault="00D166BA">
      <w:r>
        <w:t>The UK Biobank d</w:t>
      </w:r>
      <w:r>
        <w:t>ataset offers researchers genetic and phenotypic data for over 500,000 individuals, and additionally provides the opportunity to analyze HLA region data for 488,377 individuals, generated via imputation strategies that address the aforementioned challenges</w:t>
      </w:r>
      <w:hyperlink r:id="rId17">
        <w:r>
          <w:rPr>
            <w:color w:val="000000"/>
            <w:vertAlign w:val="superscript"/>
          </w:rPr>
          <w:t>13</w:t>
        </w:r>
      </w:hyperlink>
      <w:r>
        <w:t>. These data can be used to perform association analyses across the rich diversity of phenotypes in the UK Biobank, which are derived from cancer registry, hospital in-patient, primary care, and self</w:t>
      </w:r>
      <w:r>
        <w:t>-reported questionnaire data. Assessing association between HLA alleles with individual level data can help pinpoint culprit alleles for disease associations via well-powered conditional analysis. We can additionally identify settings where HLA alleles exh</w:t>
      </w:r>
      <w:r>
        <w:t>ibit non-additive effects on phenotypes improving our ability to accurately integrate them in disease risk models.</w:t>
      </w:r>
    </w:p>
    <w:p w:rsidR="00C25E60" w:rsidRDefault="00C25E60"/>
    <w:p w:rsidR="00C25E60" w:rsidRDefault="00D166BA">
      <w:r>
        <w:t>Here, we performed a single-allele association analysis for 156 HLA alleles across 677 phenotypes in the UK Biobank and identified 1291 asso</w:t>
      </w:r>
      <w:r>
        <w:t xml:space="preserve">ciations at a false discovery rate (FDR) of 5% after </w:t>
      </w:r>
      <w:proofErr w:type="spellStart"/>
      <w:r>
        <w:t>Benjamini-Yekutieli</w:t>
      </w:r>
      <w:proofErr w:type="spellEnd"/>
      <w:r>
        <w:t xml:space="preserve"> multiple testing correction. The associations spanned 113 HLA alleles (across all 11 Biobank-provided HLA loci) and 128 binary phenotypes. We performed Bayesian Model Averaging to nar</w:t>
      </w:r>
      <w:r>
        <w:t xml:space="preserve">row down to conditionally independent alleles and uncovered 178 high-confidence (posterior probability &gt;= 80%) associations spanning 50 alleles (across all 11 HLA loci) and 78 binary phenotypes (88 [49%] of which were supported by the literature, </w:t>
      </w:r>
      <w:r>
        <w:rPr>
          <w:b/>
          <w:color w:val="0000FF"/>
        </w:rPr>
        <w:t>Supplemen</w:t>
      </w:r>
      <w:r>
        <w:rPr>
          <w:b/>
          <w:color w:val="0000FF"/>
        </w:rPr>
        <w:t>tary Table 1</w:t>
      </w:r>
      <w:r>
        <w:t xml:space="preserve">). We assessed these associations for non-additive effects, i.e. </w:t>
      </w:r>
      <w:r>
        <w:lastRenderedPageBreak/>
        <w:t>“disease contributions beyond the cumulative effect of individual alleles”</w:t>
      </w:r>
      <w:hyperlink r:id="rId18">
        <w:r>
          <w:rPr>
            <w:color w:val="000000"/>
            <w:vertAlign w:val="superscript"/>
          </w:rPr>
          <w:t>15</w:t>
        </w:r>
      </w:hyperlink>
      <w:r>
        <w:t>, finding 25 associations with significant devia</w:t>
      </w:r>
      <w:r>
        <w:t>tions from additivity (8 [32%] of which were supported by the literature,</w:t>
      </w:r>
      <w:r>
        <w:rPr>
          <w:b/>
          <w:color w:val="0000FF"/>
        </w:rPr>
        <w:t xml:space="preserve"> Supplementary Table 1</w:t>
      </w:r>
      <w:r>
        <w:t>). 9 of these 25 non-additive effects drive intestinal malabsorption and/or celiac disease, but other associations affect a multitude of other autoimmune and end</w:t>
      </w:r>
      <w:r>
        <w:t xml:space="preserve">ocrine disorders. For example, although HLA-B*27:05 is known to have strong effects on ankylosing spondylitis and </w:t>
      </w:r>
      <w:proofErr w:type="spellStart"/>
      <w:r>
        <w:t>iridicyclitis</w:t>
      </w:r>
      <w:proofErr w:type="spellEnd"/>
      <w:r>
        <w:t>, and HLA-B*57:01 is likewise known to have strong effects on psoriasis, we find that these effects are also non-additive. This s</w:t>
      </w:r>
      <w:r>
        <w:t>tudy links HLA alleles to a variety of phenotypes in the UK Biobank through association analyses and model selection techniques, providing important insight into disease pathogenesis.</w:t>
      </w:r>
    </w:p>
    <w:p w:rsidR="00C25E60" w:rsidRDefault="00D166BA">
      <w:pPr>
        <w:pStyle w:val="Heading1"/>
      </w:pPr>
      <w:bookmarkStart w:id="4" w:name="_c7j5kqigisyg" w:colFirst="0" w:colLast="0"/>
      <w:bookmarkEnd w:id="4"/>
      <w:r>
        <w:t>Materials and Methods</w:t>
      </w:r>
    </w:p>
    <w:p w:rsidR="00C25E60" w:rsidRDefault="00D166BA">
      <w:r>
        <w:rPr>
          <w:noProof/>
        </w:rPr>
        <w:drawing>
          <wp:inline distT="114300" distB="114300" distL="114300" distR="114300">
            <wp:extent cx="5943600" cy="19177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43600" cy="1917700"/>
                    </a:xfrm>
                    <a:prstGeom prst="rect">
                      <a:avLst/>
                    </a:prstGeom>
                    <a:ln/>
                  </pic:spPr>
                </pic:pic>
              </a:graphicData>
            </a:graphic>
          </wp:inline>
        </w:drawing>
      </w:r>
    </w:p>
    <w:p w:rsidR="00C25E60" w:rsidRDefault="00D166BA">
      <w:pPr>
        <w:jc w:val="center"/>
        <w:rPr>
          <w:b/>
          <w:sz w:val="20"/>
          <w:szCs w:val="20"/>
        </w:rPr>
      </w:pPr>
      <w:r>
        <w:rPr>
          <w:b/>
          <w:color w:val="0000FF"/>
          <w:sz w:val="20"/>
          <w:szCs w:val="20"/>
        </w:rPr>
        <w:t>Figure 1.</w:t>
      </w:r>
      <w:r>
        <w:rPr>
          <w:b/>
          <w:sz w:val="20"/>
          <w:szCs w:val="20"/>
        </w:rPr>
        <w:t xml:space="preserve"> Overview of the study design.</w:t>
      </w:r>
    </w:p>
    <w:p w:rsidR="00C25E60" w:rsidRDefault="00D166BA">
      <w:pPr>
        <w:pStyle w:val="Heading2"/>
      </w:pPr>
      <w:bookmarkStart w:id="5" w:name="_tc04atmg9cei" w:colFirst="0" w:colLast="0"/>
      <w:bookmarkEnd w:id="5"/>
      <w:r>
        <w:t>Data</w:t>
      </w:r>
    </w:p>
    <w:p w:rsidR="00C25E60" w:rsidRDefault="00D166BA">
      <w:r>
        <w:t>For</w:t>
      </w:r>
      <w:r>
        <w:t xml:space="preserve"> unrelated white British individuals (n = 337,138) in the UK Biobank as determined previously</w:t>
      </w:r>
      <w:hyperlink r:id="rId20">
        <w:r>
          <w:rPr>
            <w:color w:val="000000"/>
            <w:vertAlign w:val="superscript"/>
          </w:rPr>
          <w:t>16</w:t>
        </w:r>
      </w:hyperlink>
      <w:r>
        <w:t>, three sets of phenotypes were defined: “high-confidence”, “time-to-event”, and “algorithmically-defined”</w:t>
      </w:r>
      <w:r>
        <w:t>. High-confidence phenotypes were defined by combining disease diagnoses (UK Biobank Field ID 41202) from the UK National Health Service Hospital Episode Statistics (ICD-10 codes H40.[0-6,8,9], H42.8, and Q15.0), the self-reported diagnosis questionnaire (</w:t>
      </w:r>
      <w:r>
        <w:t>UK Biobank Field ID 20002), and the UK Cancer Registry. Time-to-event phenotypes were derived from First Occurrence of Health Outcomes data as defined by 3-character ICD-10 codes in UK Biobank’s Category 1712. The First Occurrence data-fields were generate</w:t>
      </w:r>
      <w:r>
        <w:t>d by mapping: read code information in the primary care data (Category 3000); ICD-9 and ICD-10 codes in hospital inpatient data (Category 2000); ICD-10 codes in death registry records (Field 40001, Field 40002); and self-reported medical condition codes (F</w:t>
      </w:r>
      <w:r>
        <w:t xml:space="preserve">ield 20002), reported at baseline or subsequent UK Biobank assessment center visits as 3-character ICD-10 codes. </w:t>
      </w:r>
      <w:proofErr w:type="gramStart"/>
      <w:r>
        <w:t>Algorithmically-defined</w:t>
      </w:r>
      <w:proofErr w:type="gramEnd"/>
      <w:r>
        <w:t xml:space="preserve"> outcomes (based on data from Category 42) include phenotypes of select health-related events obtained through algorithm</w:t>
      </w:r>
      <w:r>
        <w:t>ic combinations of coded information from the UK Biobank’s baseline assessment data collection. The data were derived from self-reported medical conditions, operations and medications together with linked data from hospital admissions and death registries.</w:t>
      </w:r>
      <w:r>
        <w:t xml:space="preserve"> We included phenotypes with at least 500 cases among the </w:t>
      </w:r>
      <w:r>
        <w:lastRenderedPageBreak/>
        <w:t>white British cohort (</w:t>
      </w:r>
      <w:r>
        <w:rPr>
          <w:b/>
          <w:color w:val="0000FF"/>
        </w:rPr>
        <w:t>Supplementary Table 2</w:t>
      </w:r>
      <w:r>
        <w:t xml:space="preserve">) and manually deduplicated several using the </w:t>
      </w:r>
      <w:proofErr w:type="spellStart"/>
      <w:r>
        <w:t>FuzzyWuzzy</w:t>
      </w:r>
      <w:proofErr w:type="spellEnd"/>
      <w:r>
        <w:t xml:space="preserve"> python package’s partial ratio function, resulting in the 677 phenotypes used in the analysis.</w:t>
      </w:r>
    </w:p>
    <w:p w:rsidR="00C25E60" w:rsidRDefault="00C25E60"/>
    <w:p w:rsidR="00C25E60" w:rsidRDefault="00D166BA">
      <w:r>
        <w:t>HL</w:t>
      </w:r>
      <w:r>
        <w:t>A alleles HLA-A, -B, -C, -DPA1, -DPB1, -DQA1, -DQB1, -DRB1, -DRB3, -DRB4, and -DRB5 were imputed using the HLA*IMP:02 program</w:t>
      </w:r>
      <w:hyperlink r:id="rId21">
        <w:r>
          <w:rPr>
            <w:color w:val="000000"/>
            <w:vertAlign w:val="superscript"/>
          </w:rPr>
          <w:t>13</w:t>
        </w:r>
      </w:hyperlink>
      <w:r>
        <w:t xml:space="preserve">. HLA-IMP:02 is </w:t>
      </w:r>
      <w:r>
        <w:t>built on multiple reference panels and a graphical model of the HLA haplotype structure. The UK Biobank provides an imputed dosage file that contains the estimated dosage of 362 HLA alleles across 11 HLA loci from 488,377 individuals (while modeling imputa</w:t>
      </w:r>
      <w:r>
        <w:t>tion uncertainty). We included 156 alleles across all 11 loci that had a frequency of 0.1% or greater in our white British cohort (</w:t>
      </w:r>
      <w:r>
        <w:rPr>
          <w:b/>
          <w:color w:val="0000FF"/>
        </w:rPr>
        <w:t>Supplementary Table 2</w:t>
      </w:r>
      <w:r>
        <w:t>). For consistency across models, and because the non-additivity analysis requires integral values for a</w:t>
      </w:r>
      <w:r>
        <w:t>llele dosage, those dosages that were within 0.1 of 0, 1, or 2 for each allele were rounded, and the remaining nonzero entries were excluded. Erroneous total allele counts post-rounding were excluded.</w:t>
      </w:r>
    </w:p>
    <w:p w:rsidR="00C25E60" w:rsidRDefault="00D166BA">
      <w:pPr>
        <w:pStyle w:val="Heading2"/>
      </w:pPr>
      <w:bookmarkStart w:id="6" w:name="_njk51e27fcxm" w:colFirst="0" w:colLast="0"/>
      <w:bookmarkEnd w:id="6"/>
      <w:r>
        <w:t>Association analysis</w:t>
      </w:r>
    </w:p>
    <w:p w:rsidR="00C25E60" w:rsidRDefault="00D166BA">
      <w:r>
        <w:t>We performed generalized linear mo</w:t>
      </w:r>
      <w:r>
        <w:t>del association analysis (with “Firth-fallback”) as implemented in PLINK v2.00aLM (March 14 2020)</w:t>
      </w:r>
      <w:hyperlink r:id="rId22">
        <w:r>
          <w:rPr>
            <w:color w:val="000000"/>
            <w:vertAlign w:val="superscript"/>
          </w:rPr>
          <w:t>17</w:t>
        </w:r>
      </w:hyperlink>
      <w:r>
        <w:t>, for the above-described 677 phenotypes and 156 HLA alleles across UK Biobank white British individua</w:t>
      </w:r>
      <w:r>
        <w:t>ls (n = 337,138). Firth-fallback is a hybrid algorithm which normally uses logistic regression but “falls back” to Firth's bias reduction method</w:t>
      </w:r>
      <w:hyperlink r:id="rId23">
        <w:r>
          <w:rPr>
            <w:color w:val="000000"/>
            <w:vertAlign w:val="superscript"/>
          </w:rPr>
          <w:t>18</w:t>
        </w:r>
      </w:hyperlink>
      <w:r>
        <w:t>, equivalent to penalization of the log-likelihood by t</w:t>
      </w:r>
      <w:r>
        <w:t>he Jeffreys prior, in two cases: (1), one of the cells in the 2x2 (allele count-by-case/control status) contingency table is empty; or (2), logistic regression fails to converge within the usual number of steps. We used age, sex, genotyping array, number a</w:t>
      </w:r>
      <w:r>
        <w:t>nd length of copy number variants, and the first ten genotype principal components as covariates in our analysis</w:t>
      </w:r>
      <w:hyperlink r:id="rId24">
        <w:r>
          <w:rPr>
            <w:color w:val="000000"/>
            <w:vertAlign w:val="superscript"/>
          </w:rPr>
          <w:t>19</w:t>
        </w:r>
      </w:hyperlink>
      <w:r>
        <w:t xml:space="preserve">. We used the </w:t>
      </w:r>
      <w:proofErr w:type="spellStart"/>
      <w:r>
        <w:t>Benjamini-Yekutieli</w:t>
      </w:r>
      <w:proofErr w:type="spellEnd"/>
      <w:r>
        <w:t xml:space="preserve"> (BY) multiple-testing FDR control method</w:t>
      </w:r>
      <w:hyperlink r:id="rId25">
        <w:r>
          <w:rPr>
            <w:color w:val="000000"/>
            <w:vertAlign w:val="superscript"/>
          </w:rPr>
          <w:t>20</w:t>
        </w:r>
      </w:hyperlink>
      <w:r>
        <w:t xml:space="preserve"> to adjust the resultant p-values, selecting those associations with BY-corrected p-values less than 0.05 to control FDR at 5%.</w:t>
      </w:r>
    </w:p>
    <w:p w:rsidR="00C25E60" w:rsidRDefault="00D166BA">
      <w:pPr>
        <w:pStyle w:val="Heading2"/>
      </w:pPr>
      <w:bookmarkStart w:id="7" w:name="_jrqwulkriu21" w:colFirst="0" w:colLast="0"/>
      <w:bookmarkEnd w:id="7"/>
      <w:r>
        <w:t>Bayesian Model Averaging</w:t>
      </w:r>
    </w:p>
    <w:p w:rsidR="00C25E60" w:rsidRDefault="00D166BA">
      <w:r>
        <w:t>Given the high amount of LD between HLA alleles and the res</w:t>
      </w:r>
      <w:r>
        <w:t>ultant high number of potentially spurious HLA allele-phenotype associations even despite FDR correction, we used a Bayesian Model Averaging (BMA) approach, implemented in the `</w:t>
      </w:r>
      <w:proofErr w:type="spellStart"/>
      <w:r>
        <w:t>bma</w:t>
      </w:r>
      <w:proofErr w:type="spellEnd"/>
      <w:r>
        <w:t>` R package</w:t>
      </w:r>
      <w:hyperlink r:id="rId26">
        <w:r>
          <w:rPr>
            <w:color w:val="000000"/>
            <w:vertAlign w:val="superscript"/>
          </w:rPr>
          <w:t>21</w:t>
        </w:r>
      </w:hyperlink>
      <w:r>
        <w:t>, to pri</w:t>
      </w:r>
      <w:r>
        <w:t xml:space="preserve">oritize which HLA loci were most likely causal for each phenotype. We used BMA to train a model on each possible subset of </w:t>
      </w:r>
      <w:proofErr w:type="gramStart"/>
      <w:r>
        <w:t>significantly-associated</w:t>
      </w:r>
      <w:proofErr w:type="gramEnd"/>
      <w:r>
        <w:t xml:space="preserve"> alleles. The posterior probabilities of each model are reported, and the degree to which an allele is includ</w:t>
      </w:r>
      <w:r>
        <w:t>ed across all models (the “allele posterior probability”) is then a measure of confidence in the allele-phenotype association.</w:t>
      </w:r>
    </w:p>
    <w:p w:rsidR="00C25E60" w:rsidRDefault="00C25E60"/>
    <w:p w:rsidR="00C25E60" w:rsidRDefault="00D166BA">
      <w:r>
        <w:t>We identified all of the allele-phenotype pairs that had BY-adjusted p-values less than or equal to 0.05 from the PLINK analysis</w:t>
      </w:r>
      <w:r>
        <w:t>. Because BMA is exponential in complexity with respect to the number of alleles analyzed (requiring analysis of 2</w:t>
      </w:r>
      <w:r>
        <w:rPr>
          <w:vertAlign w:val="superscript"/>
        </w:rPr>
        <w:t>n</w:t>
      </w:r>
      <w:r>
        <w:t xml:space="preserve"> models for n alleles included in the analysis), we performed BMA only on the 20 alleles with the lowest BY-adjusted p-values from the PLINK </w:t>
      </w:r>
      <w:r>
        <w:t xml:space="preserve">analysis for each phenotype. If there were less than two such alleles for a given </w:t>
      </w:r>
      <w:r>
        <w:lastRenderedPageBreak/>
        <w:t xml:space="preserve">phenotype, we did not run BMA for that phenotype. Additionally, only the models whose posterior probabilities were within a factor of 1/5 of that of the best model were kept </w:t>
      </w:r>
      <w:r>
        <w:t>for the final averaging. These requirements filtered our testing base down to 116 phenotypes, with 111 alleles included in at least one analysis. We ran BMA with a binomial error distribution and link function and with age, sex, genotyping array, and the f</w:t>
      </w:r>
      <w:r>
        <w:t>irst ten genotype principal components as covariates (copy number variant-related covariates were excluded). We used those allele-phenotype pairs with BMA posterior probabilities &gt;= 0.8 in the subsequent non-additivity analysis.</w:t>
      </w:r>
    </w:p>
    <w:p w:rsidR="00C25E60" w:rsidRDefault="00D166BA">
      <w:pPr>
        <w:pStyle w:val="Heading2"/>
      </w:pPr>
      <w:bookmarkStart w:id="8" w:name="_ng3mfahwvnu2" w:colFirst="0" w:colLast="0"/>
      <w:bookmarkEnd w:id="8"/>
      <w:r>
        <w:t>Analysis of non-additive ge</w:t>
      </w:r>
      <w:r>
        <w:t>netic effects</w:t>
      </w:r>
    </w:p>
    <w:p w:rsidR="00C25E60" w:rsidRDefault="00D166BA">
      <w:r>
        <w:t xml:space="preserve">To assess whether certain allele-phenotype pairs exhibited non-additive effects on the phenotype, we additionally performed logistic regressions in R using the </w:t>
      </w:r>
      <w:proofErr w:type="spellStart"/>
      <w:r>
        <w:t>glm</w:t>
      </w:r>
      <w:proofErr w:type="spellEnd"/>
      <w:r>
        <w:t xml:space="preserve"> function in R (family = "binomial") and providing dosages as factors (i.e., se</w:t>
      </w:r>
      <w:r>
        <w:t>parate terms indicated whether a subject was heterozygous or homozygous for the HLA allele in question) and included age, sex, genotyping array, number and length of copy number variants, and the first ten genotype principal components as covariates (as in</w:t>
      </w:r>
      <w:r>
        <w:t xml:space="preserve"> the PLINK single-allele association analysis). Additionally, we computed an additive model in R to generate Akaike Information Criterion (AIC, a measure of goodness-of-fit</w:t>
      </w:r>
      <w:hyperlink r:id="rId27">
        <w:r>
          <w:rPr>
            <w:color w:val="000000"/>
            <w:vertAlign w:val="superscript"/>
          </w:rPr>
          <w:t>22</w:t>
        </w:r>
      </w:hyperlink>
      <w:r>
        <w:t>), comparing the non-additi</w:t>
      </w:r>
      <w:r>
        <w:t>ve to the additive model for model selection. To identify gene-phenotype associations with suspected departures from additivity, we identified allele-phenotype pairs where the BMA posterior probability was greater than 0.8 and the difference between the no</w:t>
      </w:r>
      <w:r>
        <w:t>n-additive model AIC and additive model AIC (ΔAIC</w:t>
      </w:r>
      <w:r>
        <w:rPr>
          <w:rFonts w:ascii="Arial Unicode MS" w:eastAsia="Arial Unicode MS" w:hAnsi="Arial Unicode MS" w:cs="Arial Unicode MS"/>
        </w:rPr>
        <w:t>) was &lt;= −5.</w:t>
      </w:r>
    </w:p>
    <w:p w:rsidR="00C25E60" w:rsidRDefault="00D166BA">
      <w:pPr>
        <w:pStyle w:val="Heading2"/>
      </w:pPr>
      <w:bookmarkStart w:id="9" w:name="_7n5o9ha9gjmh" w:colFirst="0" w:colLast="0"/>
      <w:bookmarkEnd w:id="9"/>
      <w:r>
        <w:t>Systematic literature review</w:t>
      </w:r>
    </w:p>
    <w:p w:rsidR="00C25E60" w:rsidRDefault="00D166BA">
      <w:r>
        <w:t xml:space="preserve">For each allele-phenotype pair resulting from the BMA analysis, we conducted a systematic literature review to determine whether the association had been previously </w:t>
      </w:r>
      <w:r>
        <w:t>found. The HLA allele and the phenotype in question were entered into Google Scholar both with and without quotations, and aliases were checked (e.g. B*08:01, B*0801, B/08/01, and B/0801). Search results were manually inspected to determine associations (</w:t>
      </w:r>
      <w:r>
        <w:rPr>
          <w:b/>
          <w:color w:val="0000FF"/>
        </w:rPr>
        <w:t>S</w:t>
      </w:r>
      <w:r>
        <w:rPr>
          <w:b/>
          <w:color w:val="0000FF"/>
        </w:rPr>
        <w:t>upplementary Table 1</w:t>
      </w:r>
      <w:r>
        <w:t>).</w:t>
      </w:r>
    </w:p>
    <w:p w:rsidR="00C25E60" w:rsidRDefault="00D166BA">
      <w:pPr>
        <w:pStyle w:val="Heading1"/>
      </w:pPr>
      <w:bookmarkStart w:id="10" w:name="_9hv7y1h0zwrv" w:colFirst="0" w:colLast="0"/>
      <w:bookmarkEnd w:id="10"/>
      <w:r>
        <w:t>Results</w:t>
      </w:r>
    </w:p>
    <w:p w:rsidR="00C25E60" w:rsidRDefault="00D166BA">
      <w:pPr>
        <w:pStyle w:val="Heading2"/>
      </w:pPr>
      <w:bookmarkStart w:id="11" w:name="_k4kbkz5os1ol" w:colFirst="0" w:colLast="0"/>
      <w:bookmarkEnd w:id="11"/>
      <w:r>
        <w:t>Association analysis</w:t>
      </w:r>
    </w:p>
    <w:p w:rsidR="00C25E60" w:rsidRDefault="00D166BA">
      <w:r>
        <w:t>To assess the extent to which HLA alleles affect various phenotypes, we conducted an HLA-wide association study across 337,138 white British individuals in the UK Biobank (Methods). We used 156 HLA alleles (out of 175 total) that were present at greater th</w:t>
      </w:r>
      <w:r>
        <w:t>an 0.1% minor allele frequency in the cohort and 677 de-duplicated binary phenotypes with more than 500 cases in the UK Biobank. These binary phenotypes included autoimmune, lymphatic, cardiovascular, dermal, skeletal, tissue, digestive, respiratory, renal</w:t>
      </w:r>
      <w:r>
        <w:t xml:space="preserve">, and endocrine disorders as well as many </w:t>
      </w:r>
      <w:r>
        <w:lastRenderedPageBreak/>
        <w:t xml:space="preserve">cancers. To control for false discovery, we corrected for multiple testing across the phenotypes using the </w:t>
      </w:r>
      <w:proofErr w:type="spellStart"/>
      <w:r>
        <w:t>Benjamini-Yekutieli</w:t>
      </w:r>
      <w:proofErr w:type="spellEnd"/>
      <w:r>
        <w:t xml:space="preserve"> (BY) procedure at </w:t>
      </w:r>
      <w:proofErr w:type="gramStart"/>
      <w:r>
        <w:t>a</w:t>
      </w:r>
      <w:proofErr w:type="gramEnd"/>
      <w:r>
        <w:t xml:space="preserve"> FDR of 5%. We found 113 alleles that were associated with at least </w:t>
      </w:r>
      <w:r>
        <w:t xml:space="preserve">one of 128 binary phenotypes for a total of 1291 associations. </w:t>
      </w:r>
    </w:p>
    <w:p w:rsidR="00C25E60" w:rsidRDefault="00D166BA">
      <w:pPr>
        <w:pStyle w:val="Heading2"/>
      </w:pPr>
      <w:bookmarkStart w:id="12" w:name="_9xzewpov95fx" w:colFirst="0" w:colLast="0"/>
      <w:bookmarkEnd w:id="12"/>
      <w:r>
        <w:t>Bayesian Model Averaging</w:t>
      </w:r>
    </w:p>
    <w:p w:rsidR="00C25E60" w:rsidRDefault="00D166BA">
      <w:r>
        <w:t>Given many HLA alleles are in high LD with one another, we asked whether some of the discovered associations were conditionally independent. We used Bayesian Model Ave</w:t>
      </w:r>
      <w:r>
        <w:t>raging (BMA) on the top 20 BY-significant alleles for each phenotype that had at least 2 BY-significant allele associations. Across 116 test phenotypes and 111 alleles included in at least one analysis, we found 178 putatively causal allele-phenotype pairs</w:t>
      </w:r>
      <w:r>
        <w:t xml:space="preserve"> among 50 distinct alleles across all 11 loci and 78 distinct phenotypes. Of these 178 putatively causal alleles, 88 have been previously documented as associated allele-disease pairs, and 90 were </w:t>
      </w:r>
      <w:proofErr w:type="spellStart"/>
      <w:r>
        <w:t>novelly</w:t>
      </w:r>
      <w:proofErr w:type="spellEnd"/>
      <w:r>
        <w:t xml:space="preserve"> marked by our analysis as high probability of havin</w:t>
      </w:r>
      <w:r>
        <w:t>g causal signal (</w:t>
      </w:r>
      <w:r>
        <w:rPr>
          <w:b/>
          <w:color w:val="0000FF"/>
        </w:rPr>
        <w:t>Methods, Supplementary Tables 1-2, Figure 2A, Figure 2B</w:t>
      </w:r>
      <w:r>
        <w:t>). Of note, 83 putatively causal allele-phenotype pairs with posterior probability 1 were not previously documented in the literature. These 83 allele-phenotype pairs mostly consist of</w:t>
      </w:r>
      <w:r>
        <w:t xml:space="preserve"> associations that either feature alleles in LD with known associations or associations between alleles and </w:t>
      </w:r>
      <w:proofErr w:type="gramStart"/>
      <w:r>
        <w:t>closely-related</w:t>
      </w:r>
      <w:proofErr w:type="gramEnd"/>
      <w:r>
        <w:t xml:space="preserve"> phenotypes to known associations. For example, we find a link between </w:t>
      </w:r>
      <w:r>
        <w:rPr>
          <w:b/>
        </w:rPr>
        <w:t>non-melanoma skin cancer and DQB1*03:02</w:t>
      </w:r>
      <w:r>
        <w:t>, although the literatu</w:t>
      </w:r>
      <w:r>
        <w:t>re supports only a link with an allele in LD with DQB1*03:02, DQB1*05:01</w:t>
      </w:r>
      <w:hyperlink r:id="rId28">
        <w:r>
          <w:rPr>
            <w:color w:val="000000"/>
            <w:vertAlign w:val="superscript"/>
          </w:rPr>
          <w:t>23</w:t>
        </w:r>
      </w:hyperlink>
      <w:r>
        <w:t xml:space="preserve">. Alleles associated to celiac disease, such as </w:t>
      </w:r>
      <w:r>
        <w:rPr>
          <w:b/>
        </w:rPr>
        <w:t>B*08:01</w:t>
      </w:r>
      <w:hyperlink r:id="rId29">
        <w:r>
          <w:rPr>
            <w:color w:val="000000"/>
            <w:vertAlign w:val="superscript"/>
          </w:rPr>
          <w:t>24</w:t>
        </w:r>
      </w:hyperlink>
      <w:r>
        <w:t>, were found to be associated with</w:t>
      </w:r>
      <w:r>
        <w:rPr>
          <w:b/>
        </w:rPr>
        <w:t xml:space="preserve"> intestinal malabsorption and anemias</w:t>
      </w:r>
      <w:r>
        <w:t>, which have close ties to celiac disease</w:t>
      </w:r>
      <w:hyperlink r:id="rId30">
        <w:r>
          <w:rPr>
            <w:color w:val="000000"/>
            <w:vertAlign w:val="superscript"/>
          </w:rPr>
          <w:t>25</w:t>
        </w:r>
      </w:hyperlink>
      <w:r>
        <w:t>. Additionally, alleles associated with Graves' disease and Hashimoto thyroiditis (such</w:t>
      </w:r>
      <w:r>
        <w:t xml:space="preserve"> as </w:t>
      </w:r>
      <w:r>
        <w:rPr>
          <w:b/>
        </w:rPr>
        <w:t>B*08:01</w:t>
      </w:r>
      <w:hyperlink r:id="rId31">
        <w:r>
          <w:rPr>
            <w:color w:val="000000"/>
            <w:vertAlign w:val="superscript"/>
          </w:rPr>
          <w:t>26</w:t>
        </w:r>
      </w:hyperlink>
      <w:r>
        <w:t xml:space="preserve">, </w:t>
      </w:r>
      <w:r>
        <w:rPr>
          <w:b/>
        </w:rPr>
        <w:t>B*39:06</w:t>
      </w:r>
      <w:hyperlink r:id="rId32">
        <w:r>
          <w:rPr>
            <w:color w:val="000000"/>
            <w:vertAlign w:val="superscript"/>
          </w:rPr>
          <w:t>27</w:t>
        </w:r>
      </w:hyperlink>
      <w:r>
        <w:t xml:space="preserve">, </w:t>
      </w:r>
      <w:r>
        <w:rPr>
          <w:b/>
        </w:rPr>
        <w:t>DQB1*06:04</w:t>
      </w:r>
      <w:hyperlink r:id="rId33">
        <w:r>
          <w:rPr>
            <w:color w:val="000000"/>
            <w:vertAlign w:val="superscript"/>
          </w:rPr>
          <w:t>28</w:t>
        </w:r>
      </w:hyperlink>
      <w:r>
        <w:t xml:space="preserve">, and </w:t>
      </w:r>
      <w:r>
        <w:rPr>
          <w:b/>
        </w:rPr>
        <w:t>DRB1*03:01</w:t>
      </w:r>
      <w:hyperlink r:id="rId34">
        <w:r>
          <w:rPr>
            <w:color w:val="000000"/>
            <w:vertAlign w:val="superscript"/>
          </w:rPr>
          <w:t>29</w:t>
        </w:r>
      </w:hyperlink>
      <w:r>
        <w:t xml:space="preserve">) were found to be associated with </w:t>
      </w:r>
      <w:r>
        <w:rPr>
          <w:b/>
        </w:rPr>
        <w:t>hypo- and hyper-</w:t>
      </w:r>
      <w:proofErr w:type="spellStart"/>
      <w:r>
        <w:rPr>
          <w:b/>
        </w:rPr>
        <w:t>thyroidism</w:t>
      </w:r>
      <w:proofErr w:type="spellEnd"/>
      <w:r>
        <w:rPr>
          <w:b/>
        </w:rPr>
        <w:t xml:space="preserve"> </w:t>
      </w:r>
      <w:r>
        <w:t>in the UK Biobank and account for 13 of the 84 high-probability associations. Finally, alleles associated with type 1 diabetes (</w:t>
      </w:r>
      <w:r>
        <w:rPr>
          <w:b/>
        </w:rPr>
        <w:t>DQB1*02:01, DQB1*03:02, and DRB1*04:01</w:t>
      </w:r>
      <w:r>
        <w:t>) were f</w:t>
      </w:r>
      <w:r>
        <w:t>ound to be associated with “</w:t>
      </w:r>
      <w:r>
        <w:rPr>
          <w:b/>
        </w:rPr>
        <w:t>other disorders of pancreatic internal secretion,</w:t>
      </w:r>
      <w:r>
        <w:t xml:space="preserve">” which have obvious links to type 1 diabetes. </w:t>
      </w:r>
    </w:p>
    <w:p w:rsidR="00C25E60" w:rsidRDefault="00C25E60"/>
    <w:p w:rsidR="00C25E60" w:rsidRDefault="00D166BA">
      <w:r>
        <w:t>Other associations among these 178 include those between HLA alleles and infectious diseases, asthma, systemic autoimmune disorder</w:t>
      </w:r>
      <w:r>
        <w:t>s, and skin cancers (</w:t>
      </w:r>
      <w:r>
        <w:rPr>
          <w:b/>
          <w:color w:val="0000FF"/>
        </w:rPr>
        <w:t>Supplementary Table 1</w:t>
      </w:r>
      <w:r>
        <w:t xml:space="preserve">). Among the strongest risk effects are associations between: </w:t>
      </w:r>
      <w:r>
        <w:rPr>
          <w:b/>
        </w:rPr>
        <w:t xml:space="preserve">B*27:05 and ankylosing spondylitis </w:t>
      </w:r>
      <w:r>
        <w:t>(</w:t>
      </w:r>
      <w:proofErr w:type="spellStart"/>
      <w:r>
        <w:t>p</w:t>
      </w:r>
      <w:r>
        <w:rPr>
          <w:vertAlign w:val="subscript"/>
        </w:rPr>
        <w:t>BY</w:t>
      </w:r>
      <w:proofErr w:type="spellEnd"/>
      <w:r>
        <w:t xml:space="preserve"> = 0, </w:t>
      </w:r>
      <w:proofErr w:type="spellStart"/>
      <w:r>
        <w:t>BMA</w:t>
      </w:r>
      <w:r>
        <w:rPr>
          <w:vertAlign w:val="subscript"/>
        </w:rPr>
        <w:t>postOR</w:t>
      </w:r>
      <w:proofErr w:type="spellEnd"/>
      <w:r>
        <w:t xml:space="preserve"> = 9.02, 95% CI = [8.19, 9.94])</w:t>
      </w:r>
      <w:hyperlink r:id="rId35">
        <w:r>
          <w:rPr>
            <w:color w:val="000000"/>
            <w:vertAlign w:val="superscript"/>
          </w:rPr>
          <w:t>30</w:t>
        </w:r>
      </w:hyperlink>
      <w:r>
        <w:t>,</w:t>
      </w:r>
      <w:r>
        <w:rPr>
          <w:b/>
        </w:rPr>
        <w:t xml:space="preserve"> B*27:05 </w:t>
      </w:r>
      <w:r>
        <w:rPr>
          <w:b/>
        </w:rPr>
        <w:t>and iridocyclitis</w:t>
      </w:r>
      <w:r>
        <w:t>, a type of uveitis (</w:t>
      </w:r>
      <w:proofErr w:type="spellStart"/>
      <w:r>
        <w:t>p</w:t>
      </w:r>
      <w:r>
        <w:rPr>
          <w:vertAlign w:val="subscript"/>
        </w:rPr>
        <w:t>BY</w:t>
      </w:r>
      <w:proofErr w:type="spellEnd"/>
      <w:r>
        <w:t xml:space="preserve"> = 2.94 x 10</w:t>
      </w:r>
      <w:r>
        <w:rPr>
          <w:vertAlign w:val="superscript"/>
        </w:rPr>
        <w:t>-239</w:t>
      </w:r>
      <w:r>
        <w:t xml:space="preserve">, </w:t>
      </w:r>
      <w:proofErr w:type="spellStart"/>
      <w:r>
        <w:t>BMA</w:t>
      </w:r>
      <w:r>
        <w:rPr>
          <w:vertAlign w:val="subscript"/>
        </w:rPr>
        <w:t>postOR</w:t>
      </w:r>
      <w:proofErr w:type="spellEnd"/>
      <w:r>
        <w:t xml:space="preserve"> = 4.75, 95% CI = [4.32, 5.23])</w:t>
      </w:r>
      <w:hyperlink r:id="rId36">
        <w:r>
          <w:rPr>
            <w:color w:val="000000"/>
            <w:vertAlign w:val="superscript"/>
          </w:rPr>
          <w:t>31</w:t>
        </w:r>
      </w:hyperlink>
      <w:r>
        <w:t xml:space="preserve">, </w:t>
      </w:r>
      <w:r>
        <w:rPr>
          <w:b/>
        </w:rPr>
        <w:t>B*39:01 and psoriatic arthropathy</w:t>
      </w:r>
      <w:r>
        <w:t xml:space="preserve"> (</w:t>
      </w:r>
      <w:proofErr w:type="spellStart"/>
      <w:r>
        <w:t>p</w:t>
      </w:r>
      <w:r>
        <w:rPr>
          <w:vertAlign w:val="subscript"/>
        </w:rPr>
        <w:t>BY</w:t>
      </w:r>
      <w:proofErr w:type="spellEnd"/>
      <w:r>
        <w:t xml:space="preserve"> = 1.06 x 10</w:t>
      </w:r>
      <w:r>
        <w:rPr>
          <w:vertAlign w:val="superscript"/>
        </w:rPr>
        <w:t>-8</w:t>
      </w:r>
      <w:r>
        <w:t xml:space="preserve">, </w:t>
      </w:r>
      <w:proofErr w:type="spellStart"/>
      <w:r>
        <w:t>BMA</w:t>
      </w:r>
      <w:r>
        <w:rPr>
          <w:vertAlign w:val="subscript"/>
        </w:rPr>
        <w:t>postOR</w:t>
      </w:r>
      <w:proofErr w:type="spellEnd"/>
      <w:r>
        <w:t xml:space="preserve"> = 3.54, 95% CI = [2.51, 5.0])</w:t>
      </w:r>
      <w:hyperlink r:id="rId37">
        <w:r>
          <w:rPr>
            <w:color w:val="000000"/>
            <w:vertAlign w:val="superscript"/>
          </w:rPr>
          <w:t>32</w:t>
        </w:r>
      </w:hyperlink>
      <w:r>
        <w:t xml:space="preserve"> and </w:t>
      </w:r>
      <w:r>
        <w:rPr>
          <w:b/>
        </w:rPr>
        <w:t xml:space="preserve">DQA1*03:01 and seropositive rheumatoid arthritis </w:t>
      </w:r>
      <w:r>
        <w:t>(</w:t>
      </w:r>
      <w:proofErr w:type="spellStart"/>
      <w:r>
        <w:t>p</w:t>
      </w:r>
      <w:r>
        <w:rPr>
          <w:vertAlign w:val="subscript"/>
        </w:rPr>
        <w:t>BY</w:t>
      </w:r>
      <w:proofErr w:type="spellEnd"/>
      <w:r>
        <w:t xml:space="preserve"> = 6.46 x 10</w:t>
      </w:r>
      <w:r>
        <w:rPr>
          <w:vertAlign w:val="superscript"/>
        </w:rPr>
        <w:t>-66</w:t>
      </w:r>
      <w:r>
        <w:t xml:space="preserve">, </w:t>
      </w:r>
      <w:proofErr w:type="spellStart"/>
      <w:r>
        <w:t>BMA</w:t>
      </w:r>
      <w:r>
        <w:rPr>
          <w:vertAlign w:val="subscript"/>
        </w:rPr>
        <w:t>postOR</w:t>
      </w:r>
      <w:proofErr w:type="spellEnd"/>
      <w:r>
        <w:t xml:space="preserve"> = 3.16, 95% CI = [2.75, 3.63])</w:t>
      </w:r>
      <w:hyperlink r:id="rId38">
        <w:r>
          <w:rPr>
            <w:color w:val="000000"/>
            <w:vertAlign w:val="superscript"/>
          </w:rPr>
          <w:t>33</w:t>
        </w:r>
      </w:hyperlink>
      <w:r>
        <w:t xml:space="preserve">. We replicate previously-found strong protective effects of </w:t>
      </w:r>
      <w:r>
        <w:rPr>
          <w:b/>
        </w:rPr>
        <w:t>DQB1*03:01</w:t>
      </w:r>
      <w:r>
        <w:t xml:space="preserve"> (</w:t>
      </w:r>
      <w:proofErr w:type="spellStart"/>
      <w:r>
        <w:t>p</w:t>
      </w:r>
      <w:r>
        <w:rPr>
          <w:vertAlign w:val="subscript"/>
        </w:rPr>
        <w:t>BY</w:t>
      </w:r>
      <w:proofErr w:type="spellEnd"/>
      <w:r>
        <w:t xml:space="preserve"> = 1.00 x 10</w:t>
      </w:r>
      <w:r>
        <w:rPr>
          <w:vertAlign w:val="superscript"/>
        </w:rPr>
        <w:t>-70</w:t>
      </w:r>
      <w:r>
        <w:t xml:space="preserve">, </w:t>
      </w:r>
      <w:proofErr w:type="spellStart"/>
      <w:r>
        <w:t>BMA</w:t>
      </w:r>
      <w:r>
        <w:rPr>
          <w:vertAlign w:val="subscript"/>
        </w:rPr>
        <w:t>postOR</w:t>
      </w:r>
      <w:proofErr w:type="spellEnd"/>
      <w:r>
        <w:t xml:space="preserve"> = 0.42, 95% CI = [0.34, 0.51]) and</w:t>
      </w:r>
      <w:r>
        <w:rPr>
          <w:b/>
        </w:rPr>
        <w:t xml:space="preserve"> DQA1*01:01</w:t>
      </w:r>
      <w:r>
        <w:t xml:space="preserve"> (</w:t>
      </w:r>
      <w:proofErr w:type="spellStart"/>
      <w:r>
        <w:t>p</w:t>
      </w:r>
      <w:r>
        <w:rPr>
          <w:vertAlign w:val="subscript"/>
        </w:rPr>
        <w:t>BY</w:t>
      </w:r>
      <w:proofErr w:type="spellEnd"/>
      <w:r>
        <w:t xml:space="preserve"> = 2.62 x 10</w:t>
      </w:r>
      <w:r>
        <w:rPr>
          <w:vertAlign w:val="superscript"/>
        </w:rPr>
        <w:t>-51</w:t>
      </w:r>
      <w:r>
        <w:t xml:space="preserve">, </w:t>
      </w:r>
      <w:proofErr w:type="spellStart"/>
      <w:r>
        <w:t>BMA</w:t>
      </w:r>
      <w:r>
        <w:rPr>
          <w:vertAlign w:val="subscript"/>
        </w:rPr>
        <w:t>postOR</w:t>
      </w:r>
      <w:proofErr w:type="spellEnd"/>
      <w:r>
        <w:t xml:space="preserve"> = 0.71, 95% CI = [0.6</w:t>
      </w:r>
      <w:r>
        <w:t>1, 0.81])</w:t>
      </w:r>
      <w:hyperlink r:id="rId39">
        <w:r>
          <w:rPr>
            <w:color w:val="000000"/>
            <w:vertAlign w:val="superscript"/>
          </w:rPr>
          <w:t>15</w:t>
        </w:r>
      </w:hyperlink>
      <w:r>
        <w:t xml:space="preserve"> </w:t>
      </w:r>
      <w:r>
        <w:rPr>
          <w:b/>
        </w:rPr>
        <w:t xml:space="preserve"> </w:t>
      </w:r>
      <w:r>
        <w:t>on</w:t>
      </w:r>
      <w:r>
        <w:rPr>
          <w:b/>
        </w:rPr>
        <w:t xml:space="preserve"> celiac disease </w:t>
      </w:r>
      <w:r>
        <w:t>and</w:t>
      </w:r>
      <w:r>
        <w:rPr>
          <w:b/>
        </w:rPr>
        <w:t xml:space="preserve"> malabsorption</w:t>
      </w:r>
      <w:r>
        <w:t xml:space="preserve">. We also discover novel associations to these phenotypes: </w:t>
      </w:r>
      <w:r>
        <w:rPr>
          <w:b/>
        </w:rPr>
        <w:t>DQB1*03:03</w:t>
      </w:r>
      <w:r>
        <w:t xml:space="preserve"> (</w:t>
      </w:r>
      <w:proofErr w:type="spellStart"/>
      <w:r>
        <w:t>p</w:t>
      </w:r>
      <w:r>
        <w:rPr>
          <w:vertAlign w:val="subscript"/>
        </w:rPr>
        <w:t>BY</w:t>
      </w:r>
      <w:proofErr w:type="spellEnd"/>
      <w:r>
        <w:t xml:space="preserve"> = 2.30 x 10</w:t>
      </w:r>
      <w:r>
        <w:rPr>
          <w:vertAlign w:val="superscript"/>
        </w:rPr>
        <w:t>-22</w:t>
      </w:r>
      <w:r>
        <w:t xml:space="preserve">, </w:t>
      </w:r>
      <w:proofErr w:type="spellStart"/>
      <w:r>
        <w:t>BMA</w:t>
      </w:r>
      <w:r>
        <w:rPr>
          <w:vertAlign w:val="subscript"/>
        </w:rPr>
        <w:t>postOR</w:t>
      </w:r>
      <w:proofErr w:type="spellEnd"/>
      <w:r>
        <w:t xml:space="preserve"> = 0.47, 95% CI = [0.36, 0.62]), DQB1*03:01 (</w:t>
      </w:r>
      <w:proofErr w:type="spellStart"/>
      <w:r>
        <w:t>p</w:t>
      </w:r>
      <w:r>
        <w:rPr>
          <w:vertAlign w:val="subscript"/>
        </w:rPr>
        <w:t>BY</w:t>
      </w:r>
      <w:proofErr w:type="spellEnd"/>
      <w:r>
        <w:t xml:space="preserve"> = 2.</w:t>
      </w:r>
      <w:r>
        <w:t>00 x 10</w:t>
      </w:r>
      <w:r>
        <w:rPr>
          <w:vertAlign w:val="superscript"/>
        </w:rPr>
        <w:t>-53</w:t>
      </w:r>
      <w:r>
        <w:t xml:space="preserve">, </w:t>
      </w:r>
      <w:proofErr w:type="spellStart"/>
      <w:r>
        <w:t>BMA</w:t>
      </w:r>
      <w:r>
        <w:rPr>
          <w:vertAlign w:val="subscript"/>
        </w:rPr>
        <w:t>postOR</w:t>
      </w:r>
      <w:proofErr w:type="spellEnd"/>
      <w:r>
        <w:t xml:space="preserve"> = 0.42, 95% CI = [0.34, 0.51]), </w:t>
      </w:r>
      <w:r>
        <w:rPr>
          <w:b/>
        </w:rPr>
        <w:t>DRB4*99:01</w:t>
      </w:r>
      <w:r>
        <w:t xml:space="preserve"> (</w:t>
      </w:r>
      <w:proofErr w:type="spellStart"/>
      <w:r>
        <w:t>p</w:t>
      </w:r>
      <w:r>
        <w:rPr>
          <w:vertAlign w:val="subscript"/>
        </w:rPr>
        <w:t>BY</w:t>
      </w:r>
      <w:proofErr w:type="spellEnd"/>
      <w:r>
        <w:t xml:space="preserve"> = 4.47 x 10</w:t>
      </w:r>
      <w:r>
        <w:rPr>
          <w:vertAlign w:val="superscript"/>
        </w:rPr>
        <w:t>-31</w:t>
      </w:r>
      <w:r>
        <w:t xml:space="preserve">, </w:t>
      </w:r>
      <w:proofErr w:type="spellStart"/>
      <w:r>
        <w:t>BMA</w:t>
      </w:r>
      <w:r>
        <w:rPr>
          <w:vertAlign w:val="subscript"/>
        </w:rPr>
        <w:t>postOR</w:t>
      </w:r>
      <w:proofErr w:type="spellEnd"/>
      <w:r>
        <w:t xml:space="preserve"> = 0.52, 95% CI = [0.46, 0.58]), and </w:t>
      </w:r>
      <w:r>
        <w:rPr>
          <w:b/>
        </w:rPr>
        <w:t>DRB4*01:03</w:t>
      </w:r>
      <w:r>
        <w:t xml:space="preserve"> (</w:t>
      </w:r>
      <w:proofErr w:type="spellStart"/>
      <w:r>
        <w:t>p</w:t>
      </w:r>
      <w:r>
        <w:rPr>
          <w:vertAlign w:val="subscript"/>
        </w:rPr>
        <w:t>BY</w:t>
      </w:r>
      <w:proofErr w:type="spellEnd"/>
      <w:r>
        <w:t xml:space="preserve"> = 1.40 x 10</w:t>
      </w:r>
      <w:r>
        <w:rPr>
          <w:vertAlign w:val="superscript"/>
        </w:rPr>
        <w:t>-71</w:t>
      </w:r>
      <w:r>
        <w:t xml:space="preserve">, </w:t>
      </w:r>
      <w:proofErr w:type="spellStart"/>
      <w:r>
        <w:t>BMA</w:t>
      </w:r>
      <w:r>
        <w:rPr>
          <w:vertAlign w:val="subscript"/>
        </w:rPr>
        <w:t>postOR</w:t>
      </w:r>
      <w:proofErr w:type="spellEnd"/>
      <w:r>
        <w:t xml:space="preserve"> = 0.63, 95% CI = [0.49, 0.81]) are all associated. Of note, we find new HLA associ</w:t>
      </w:r>
      <w:r>
        <w:t xml:space="preserve">ations to anemias, with which HLA alleles have not previously </w:t>
      </w:r>
      <w:r>
        <w:lastRenderedPageBreak/>
        <w:t xml:space="preserve">been linked to except for the rare case of aplastic anemia (Latin America, France, Turkey, Brazil, and Barcelona have reported </w:t>
      </w:r>
      <w:proofErr w:type="spellStart"/>
      <w:r>
        <w:t>prevalences</w:t>
      </w:r>
      <w:proofErr w:type="spellEnd"/>
      <w:r>
        <w:t xml:space="preserve"> of only 1.6, 1.5, 0.64, 2.4, and 2.5 per million for th</w:t>
      </w:r>
      <w:r>
        <w:t>e disease)</w:t>
      </w:r>
      <w:hyperlink r:id="rId40">
        <w:r>
          <w:rPr>
            <w:color w:val="000000"/>
            <w:vertAlign w:val="superscript"/>
          </w:rPr>
          <w:t>34</w:t>
        </w:r>
      </w:hyperlink>
      <w:r>
        <w:t xml:space="preserve">. We find </w:t>
      </w:r>
      <w:r>
        <w:rPr>
          <w:b/>
        </w:rPr>
        <w:t>B*08:01</w:t>
      </w:r>
      <w:r>
        <w:t xml:space="preserve"> (</w:t>
      </w:r>
      <w:proofErr w:type="spellStart"/>
      <w:r>
        <w:t>p</w:t>
      </w:r>
      <w:r>
        <w:rPr>
          <w:vertAlign w:val="subscript"/>
        </w:rPr>
        <w:t>BY</w:t>
      </w:r>
      <w:proofErr w:type="spellEnd"/>
      <w:r>
        <w:t xml:space="preserve"> = 8.71 x 10</w:t>
      </w:r>
      <w:r>
        <w:rPr>
          <w:vertAlign w:val="superscript"/>
        </w:rPr>
        <w:t>-4</w:t>
      </w:r>
      <w:r>
        <w:t xml:space="preserve">, </w:t>
      </w:r>
      <w:proofErr w:type="spellStart"/>
      <w:r>
        <w:t>BMA</w:t>
      </w:r>
      <w:r>
        <w:rPr>
          <w:vertAlign w:val="subscript"/>
        </w:rPr>
        <w:t>postOR</w:t>
      </w:r>
      <w:proofErr w:type="spellEnd"/>
      <w:r>
        <w:t xml:space="preserve"> = 1.2, 95% CI = [1.11, 1.3]) and</w:t>
      </w:r>
      <w:r>
        <w:rPr>
          <w:b/>
        </w:rPr>
        <w:t xml:space="preserve"> B*39:06</w:t>
      </w:r>
      <w:r>
        <w:t xml:space="preserve"> (</w:t>
      </w:r>
      <w:proofErr w:type="spellStart"/>
      <w:r>
        <w:t>p</w:t>
      </w:r>
      <w:r>
        <w:rPr>
          <w:vertAlign w:val="subscript"/>
        </w:rPr>
        <w:t>BY</w:t>
      </w:r>
      <w:proofErr w:type="spellEnd"/>
      <w:r>
        <w:t xml:space="preserve"> = 7.66 x 10</w:t>
      </w:r>
      <w:r>
        <w:rPr>
          <w:vertAlign w:val="superscript"/>
        </w:rPr>
        <w:t>-3</w:t>
      </w:r>
      <w:r>
        <w:t xml:space="preserve">, </w:t>
      </w:r>
      <w:proofErr w:type="spellStart"/>
      <w:r>
        <w:t>BMA</w:t>
      </w:r>
      <w:r>
        <w:rPr>
          <w:vertAlign w:val="subscript"/>
        </w:rPr>
        <w:t>postOR</w:t>
      </w:r>
      <w:proofErr w:type="spellEnd"/>
      <w:r>
        <w:t xml:space="preserve"> = 1.95, 95% CI = [1.49, 2.56]) to be associated with </w:t>
      </w:r>
      <w:r>
        <w:rPr>
          <w:b/>
        </w:rPr>
        <w:t>vitamin B12 defic</w:t>
      </w:r>
      <w:r>
        <w:rPr>
          <w:b/>
        </w:rPr>
        <w:t xml:space="preserve">iency anemia </w:t>
      </w:r>
      <w:r>
        <w:t xml:space="preserve">risk with moderate effects. In contrast, </w:t>
      </w:r>
      <w:r>
        <w:rPr>
          <w:b/>
        </w:rPr>
        <w:t>DQA1*01:01</w:t>
      </w:r>
      <w:r>
        <w:t xml:space="preserve"> protects against </w:t>
      </w:r>
      <w:r>
        <w:rPr>
          <w:b/>
        </w:rPr>
        <w:t xml:space="preserve">vitamin B12 deficiency anemia </w:t>
      </w:r>
      <w:r>
        <w:t>(</w:t>
      </w:r>
      <w:proofErr w:type="spellStart"/>
      <w:r>
        <w:t>p</w:t>
      </w:r>
      <w:r>
        <w:rPr>
          <w:vertAlign w:val="subscript"/>
        </w:rPr>
        <w:t>BY</w:t>
      </w:r>
      <w:proofErr w:type="spellEnd"/>
      <w:r>
        <w:t xml:space="preserve"> = 8.41 x 10</w:t>
      </w:r>
      <w:r>
        <w:rPr>
          <w:vertAlign w:val="superscript"/>
        </w:rPr>
        <w:t>-7</w:t>
      </w:r>
      <w:r>
        <w:t xml:space="preserve">, </w:t>
      </w:r>
      <w:proofErr w:type="spellStart"/>
      <w:r>
        <w:t>BMA</w:t>
      </w:r>
      <w:r>
        <w:rPr>
          <w:vertAlign w:val="subscript"/>
        </w:rPr>
        <w:t>postOR</w:t>
      </w:r>
      <w:proofErr w:type="spellEnd"/>
      <w:r>
        <w:t xml:space="preserve"> = 0.76, 95% CI = [0.68, 0.83]) and </w:t>
      </w:r>
      <w:r>
        <w:rPr>
          <w:b/>
        </w:rPr>
        <w:t xml:space="preserve">pernicious anemia </w:t>
      </w:r>
      <w:r>
        <w:t>as well (</w:t>
      </w:r>
      <w:proofErr w:type="spellStart"/>
      <w:r>
        <w:t>p</w:t>
      </w:r>
      <w:r>
        <w:rPr>
          <w:vertAlign w:val="subscript"/>
        </w:rPr>
        <w:t>BY</w:t>
      </w:r>
      <w:proofErr w:type="spellEnd"/>
      <w:r>
        <w:t xml:space="preserve"> = 7.20 x 10</w:t>
      </w:r>
      <w:r>
        <w:rPr>
          <w:vertAlign w:val="superscript"/>
        </w:rPr>
        <w:t>-3</w:t>
      </w:r>
      <w:r>
        <w:t xml:space="preserve">, </w:t>
      </w:r>
      <w:proofErr w:type="spellStart"/>
      <w:r>
        <w:t>BMA</w:t>
      </w:r>
      <w:r>
        <w:rPr>
          <w:vertAlign w:val="subscript"/>
        </w:rPr>
        <w:t>postOR</w:t>
      </w:r>
      <w:proofErr w:type="spellEnd"/>
      <w:r>
        <w:t xml:space="preserve"> = </w:t>
      </w:r>
      <w:r>
        <w:t xml:space="preserve">0.73, 95% CI = [0.63, 0.83]). </w:t>
      </w:r>
    </w:p>
    <w:p w:rsidR="00C25E60" w:rsidRDefault="00C25E60"/>
    <w:p w:rsidR="00C25E60" w:rsidRDefault="00D166BA">
      <w:r>
        <w:t>Several other associations are intriguing. The only previous link between the HLA region and acne is the discovery of the DPB1*04:02 allele while HLA-typing a patient with acne vulgaris</w:t>
      </w:r>
      <w:hyperlink r:id="rId41">
        <w:r>
          <w:rPr>
            <w:color w:val="000000"/>
            <w:vertAlign w:val="superscript"/>
          </w:rPr>
          <w:t>35</w:t>
        </w:r>
      </w:hyperlink>
      <w:r>
        <w:t xml:space="preserve">. Yet, we find a weak protective effect of </w:t>
      </w:r>
      <w:r>
        <w:rPr>
          <w:b/>
        </w:rPr>
        <w:t xml:space="preserve">B*08:01 on acne </w:t>
      </w:r>
      <w:r>
        <w:t>(</w:t>
      </w:r>
      <w:proofErr w:type="spellStart"/>
      <w:r>
        <w:t>p</w:t>
      </w:r>
      <w:r>
        <w:rPr>
          <w:vertAlign w:val="subscript"/>
        </w:rPr>
        <w:t>BY</w:t>
      </w:r>
      <w:proofErr w:type="spellEnd"/>
      <w:r>
        <w:t xml:space="preserve"> = 4.21 x 10</w:t>
      </w:r>
      <w:r>
        <w:rPr>
          <w:vertAlign w:val="superscript"/>
        </w:rPr>
        <w:t>-3</w:t>
      </w:r>
      <w:r>
        <w:t xml:space="preserve">, </w:t>
      </w:r>
      <w:proofErr w:type="spellStart"/>
      <w:r>
        <w:t>BMA</w:t>
      </w:r>
      <w:r>
        <w:rPr>
          <w:vertAlign w:val="subscript"/>
        </w:rPr>
        <w:t>postOR</w:t>
      </w:r>
      <w:proofErr w:type="spellEnd"/>
      <w:r>
        <w:t xml:space="preserve"> = 0.85, 95% CI </w:t>
      </w:r>
      <w:proofErr w:type="gramStart"/>
      <w:r>
        <w:t>=  [</w:t>
      </w:r>
      <w:proofErr w:type="gramEnd"/>
      <w:r>
        <w:t xml:space="preserve">0.79, 0.91]). This allele is additionally found to be associated with multiple systemic autoimmune disorders, like </w:t>
      </w:r>
      <w:r>
        <w:rPr>
          <w:b/>
        </w:rPr>
        <w:t>connective tiss</w:t>
      </w:r>
      <w:r>
        <w:rPr>
          <w:b/>
        </w:rPr>
        <w:t>ue disorder</w:t>
      </w:r>
      <w:r>
        <w:t xml:space="preserve"> (</w:t>
      </w:r>
      <w:proofErr w:type="spellStart"/>
      <w:r>
        <w:t>p</w:t>
      </w:r>
      <w:r>
        <w:rPr>
          <w:vertAlign w:val="subscript"/>
        </w:rPr>
        <w:t>BY</w:t>
      </w:r>
      <w:proofErr w:type="spellEnd"/>
      <w:r>
        <w:t xml:space="preserve"> = 3.45 x 10</w:t>
      </w:r>
      <w:r>
        <w:rPr>
          <w:vertAlign w:val="superscript"/>
        </w:rPr>
        <w:t>-10</w:t>
      </w:r>
      <w:r>
        <w:t xml:space="preserve">, </w:t>
      </w:r>
      <w:proofErr w:type="spellStart"/>
      <w:r>
        <w:t>BMA</w:t>
      </w:r>
      <w:r>
        <w:rPr>
          <w:vertAlign w:val="subscript"/>
        </w:rPr>
        <w:t>postOR</w:t>
      </w:r>
      <w:proofErr w:type="spellEnd"/>
      <w:r>
        <w:t xml:space="preserve"> = 1.32, 95% CI =  [1.23, 1.42]), </w:t>
      </w:r>
      <w:r>
        <w:rPr>
          <w:b/>
        </w:rPr>
        <w:t>sarcoidosis</w:t>
      </w:r>
      <w:r>
        <w:t xml:space="preserve"> (</w:t>
      </w:r>
      <w:proofErr w:type="spellStart"/>
      <w:r>
        <w:t>p</w:t>
      </w:r>
      <w:r>
        <w:rPr>
          <w:vertAlign w:val="subscript"/>
        </w:rPr>
        <w:t>BY</w:t>
      </w:r>
      <w:proofErr w:type="spellEnd"/>
      <w:r>
        <w:t xml:space="preserve"> = 2.04 x 10</w:t>
      </w:r>
      <w:r>
        <w:rPr>
          <w:vertAlign w:val="superscript"/>
        </w:rPr>
        <w:t>-33</w:t>
      </w:r>
      <w:r>
        <w:t xml:space="preserve">, </w:t>
      </w:r>
      <w:proofErr w:type="spellStart"/>
      <w:r>
        <w:t>BMA</w:t>
      </w:r>
      <w:r>
        <w:rPr>
          <w:vertAlign w:val="subscript"/>
        </w:rPr>
        <w:t>postOR</w:t>
      </w:r>
      <w:proofErr w:type="spellEnd"/>
      <w:r>
        <w:t xml:space="preserve"> = 1.58, 95% CI =  [1.36, 1.84]),</w:t>
      </w:r>
      <w:r>
        <w:rPr>
          <w:b/>
        </w:rPr>
        <w:t xml:space="preserve"> Sjogren’s syndrome</w:t>
      </w:r>
      <w:r>
        <w:t xml:space="preserve"> (</w:t>
      </w:r>
      <w:proofErr w:type="spellStart"/>
      <w:r>
        <w:t>p</w:t>
      </w:r>
      <w:r>
        <w:rPr>
          <w:vertAlign w:val="subscript"/>
        </w:rPr>
        <w:t>BY</w:t>
      </w:r>
      <w:proofErr w:type="spellEnd"/>
      <w:r>
        <w:t xml:space="preserve"> = 1.52 x 10</w:t>
      </w:r>
      <w:r>
        <w:rPr>
          <w:vertAlign w:val="superscript"/>
        </w:rPr>
        <w:t>-15</w:t>
      </w:r>
      <w:r>
        <w:t xml:space="preserve">, </w:t>
      </w:r>
      <w:proofErr w:type="spellStart"/>
      <w:r>
        <w:t>BMA</w:t>
      </w:r>
      <w:r>
        <w:rPr>
          <w:vertAlign w:val="subscript"/>
        </w:rPr>
        <w:t>postOR</w:t>
      </w:r>
      <w:proofErr w:type="spellEnd"/>
      <w:r>
        <w:t xml:space="preserve"> = 1.83, 95% CI =  [1.61, 2.09]), and </w:t>
      </w:r>
      <w:r>
        <w:rPr>
          <w:b/>
        </w:rPr>
        <w:t>systemic lupus er</w:t>
      </w:r>
      <w:r>
        <w:rPr>
          <w:b/>
        </w:rPr>
        <w:t>ythematosus</w:t>
      </w:r>
      <w:r>
        <w:t xml:space="preserve"> (</w:t>
      </w:r>
      <w:proofErr w:type="spellStart"/>
      <w:r>
        <w:t>p</w:t>
      </w:r>
      <w:r>
        <w:rPr>
          <w:vertAlign w:val="subscript"/>
        </w:rPr>
        <w:t>BY</w:t>
      </w:r>
      <w:proofErr w:type="spellEnd"/>
      <w:r>
        <w:t xml:space="preserve"> = 9.50 x 10</w:t>
      </w:r>
      <w:r>
        <w:rPr>
          <w:vertAlign w:val="superscript"/>
        </w:rPr>
        <w:t>-12</w:t>
      </w:r>
      <w:r>
        <w:t xml:space="preserve">, </w:t>
      </w:r>
      <w:proofErr w:type="spellStart"/>
      <w:r>
        <w:t>BMA</w:t>
      </w:r>
      <w:r>
        <w:rPr>
          <w:vertAlign w:val="subscript"/>
        </w:rPr>
        <w:t>postOR</w:t>
      </w:r>
      <w:proofErr w:type="spellEnd"/>
      <w:r>
        <w:t xml:space="preserve"> = 1.79, 95% CI =  [1.55, 2.06]), suggesting diverse and widespread involvement in various immune and bodily functions (</w:t>
      </w:r>
      <w:r>
        <w:rPr>
          <w:b/>
          <w:color w:val="0000FF"/>
        </w:rPr>
        <w:t>Supplementary Table 1</w:t>
      </w:r>
      <w:r>
        <w:t>). Additionally, we find that</w:t>
      </w:r>
      <w:r>
        <w:rPr>
          <w:b/>
        </w:rPr>
        <w:t xml:space="preserve"> B*57:01</w:t>
      </w:r>
      <w:r>
        <w:t xml:space="preserve"> (notably associated with a spike in</w:t>
      </w:r>
      <w:r>
        <w:t xml:space="preserve"> Alanine aminotransferase levels, among other adverse drug reactions, to the anti-retroviral abacavir</w:t>
      </w:r>
      <w:hyperlink r:id="rId42">
        <w:r>
          <w:rPr>
            <w:color w:val="000000"/>
            <w:vertAlign w:val="superscript"/>
          </w:rPr>
          <w:t>36,37</w:t>
        </w:r>
      </w:hyperlink>
      <w:r>
        <w:t xml:space="preserve">) to be associated with </w:t>
      </w:r>
      <w:r>
        <w:rPr>
          <w:b/>
        </w:rPr>
        <w:t>calculus of kidney and ureter</w:t>
      </w:r>
      <w:r>
        <w:t xml:space="preserve">. </w:t>
      </w:r>
    </w:p>
    <w:p w:rsidR="00C25E60" w:rsidRDefault="00C25E60"/>
    <w:p w:rsidR="00C25E60" w:rsidRDefault="00D166BA">
      <w:r>
        <w:t>HLA links to cancers are well-doc</w:t>
      </w:r>
      <w:r>
        <w:t>umented, and here we recover several known associations, including between</w:t>
      </w:r>
      <w:r>
        <w:rPr>
          <w:b/>
        </w:rPr>
        <w:t xml:space="preserve"> DQB1*05:01 </w:t>
      </w:r>
      <w:r>
        <w:t xml:space="preserve">and </w:t>
      </w:r>
      <w:r>
        <w:rPr>
          <w:b/>
        </w:rPr>
        <w:t xml:space="preserve">DRB3*99:01 </w:t>
      </w:r>
      <w:r>
        <w:t xml:space="preserve">and </w:t>
      </w:r>
      <w:r>
        <w:rPr>
          <w:b/>
        </w:rPr>
        <w:t xml:space="preserve">cervical cancer </w:t>
      </w:r>
      <w:r>
        <w:t xml:space="preserve">and </w:t>
      </w:r>
      <w:r>
        <w:rPr>
          <w:b/>
        </w:rPr>
        <w:t>DQA1*03:01</w:t>
      </w:r>
      <w:r>
        <w:t xml:space="preserve"> and </w:t>
      </w:r>
      <w:r>
        <w:rPr>
          <w:b/>
        </w:rPr>
        <w:t>female genital tract cancer</w:t>
      </w:r>
      <w:r>
        <w:t xml:space="preserve">. We find </w:t>
      </w:r>
      <w:r>
        <w:rPr>
          <w:b/>
        </w:rPr>
        <w:t>DQB1*05:01</w:t>
      </w:r>
      <w:r>
        <w:t xml:space="preserve"> to be associated with </w:t>
      </w:r>
      <w:r>
        <w:rPr>
          <w:b/>
        </w:rPr>
        <w:t>skin cancer</w:t>
      </w:r>
      <w:r>
        <w:t xml:space="preserve">, </w:t>
      </w:r>
      <w:r>
        <w:rPr>
          <w:b/>
        </w:rPr>
        <w:t>non-melanoma skin cancer</w:t>
      </w:r>
      <w:r>
        <w:t xml:space="preserve">, and </w:t>
      </w:r>
      <w:r>
        <w:rPr>
          <w:b/>
        </w:rPr>
        <w:t>non-</w:t>
      </w:r>
      <w:proofErr w:type="spellStart"/>
      <w:r>
        <w:rPr>
          <w:b/>
        </w:rPr>
        <w:t>hodgkin's</w:t>
      </w:r>
      <w:proofErr w:type="spellEnd"/>
      <w:r>
        <w:rPr>
          <w:b/>
        </w:rPr>
        <w:t xml:space="preserve"> lymphoma</w:t>
      </w:r>
      <w:r>
        <w:t xml:space="preserve">. We </w:t>
      </w:r>
      <w:proofErr w:type="spellStart"/>
      <w:r>
        <w:t>novelly</w:t>
      </w:r>
      <w:proofErr w:type="spellEnd"/>
      <w:r>
        <w:t xml:space="preserve"> find several associations between skin cancer, non-melanoma skin cancer, and HLA </w:t>
      </w:r>
      <w:proofErr w:type="spellStart"/>
      <w:r>
        <w:t>allelotypes</w:t>
      </w:r>
      <w:proofErr w:type="spellEnd"/>
      <w:r>
        <w:t xml:space="preserve">. Statistics on all cancer associations (as well as their novelty) are described in </w:t>
      </w:r>
      <w:r>
        <w:rPr>
          <w:b/>
          <w:color w:val="0000FF"/>
        </w:rPr>
        <w:t>Table 1</w:t>
      </w:r>
      <w:r>
        <w:t xml:space="preserve">. Taken </w:t>
      </w:r>
      <w:r>
        <w:t xml:space="preserve">overall, this body of associations, halfway between novel and </w:t>
      </w:r>
      <w:proofErr w:type="gramStart"/>
      <w:r>
        <w:t>previously-discovered</w:t>
      </w:r>
      <w:proofErr w:type="gramEnd"/>
      <w:r>
        <w:t>, can prove vital in elucidating disease risk across a multitude of complex traits.</w:t>
      </w:r>
    </w:p>
    <w:p w:rsidR="00C25E60" w:rsidRDefault="00C25E60"/>
    <w:tbl>
      <w:tblPr>
        <w:tblStyle w:val="a"/>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715"/>
        <w:gridCol w:w="2160"/>
        <w:gridCol w:w="1980"/>
        <w:gridCol w:w="885"/>
      </w:tblGrid>
      <w:tr w:rsidR="00C25E60">
        <w:tc>
          <w:tcPr>
            <w:tcW w:w="1515" w:type="dxa"/>
            <w:shd w:val="clear" w:color="auto" w:fill="auto"/>
            <w:tcMar>
              <w:top w:w="100" w:type="dxa"/>
              <w:left w:w="100" w:type="dxa"/>
              <w:bottom w:w="100" w:type="dxa"/>
              <w:right w:w="100" w:type="dxa"/>
            </w:tcMar>
          </w:tcPr>
          <w:p w:rsidR="00C25E60" w:rsidRDefault="00D166BA">
            <w:pPr>
              <w:widowControl w:val="0"/>
              <w:spacing w:line="240" w:lineRule="auto"/>
              <w:rPr>
                <w:b/>
                <w:sz w:val="20"/>
                <w:szCs w:val="20"/>
              </w:rPr>
            </w:pPr>
            <w:r>
              <w:rPr>
                <w:b/>
                <w:sz w:val="20"/>
                <w:szCs w:val="20"/>
              </w:rPr>
              <w:t>HLA Allele</w:t>
            </w:r>
          </w:p>
        </w:tc>
        <w:tc>
          <w:tcPr>
            <w:tcW w:w="2715" w:type="dxa"/>
            <w:shd w:val="clear" w:color="auto" w:fill="auto"/>
            <w:tcMar>
              <w:top w:w="100" w:type="dxa"/>
              <w:left w:w="100" w:type="dxa"/>
              <w:bottom w:w="100" w:type="dxa"/>
              <w:right w:w="100" w:type="dxa"/>
            </w:tcMar>
          </w:tcPr>
          <w:p w:rsidR="00C25E60" w:rsidRDefault="00D166BA">
            <w:pPr>
              <w:widowControl w:val="0"/>
              <w:spacing w:line="240" w:lineRule="auto"/>
              <w:rPr>
                <w:b/>
                <w:sz w:val="20"/>
                <w:szCs w:val="20"/>
              </w:rPr>
            </w:pPr>
            <w:r>
              <w:rPr>
                <w:b/>
                <w:sz w:val="20"/>
                <w:szCs w:val="20"/>
              </w:rPr>
              <w:t>Phenotype</w:t>
            </w:r>
          </w:p>
        </w:tc>
        <w:tc>
          <w:tcPr>
            <w:tcW w:w="2160" w:type="dxa"/>
            <w:shd w:val="clear" w:color="auto" w:fill="auto"/>
            <w:tcMar>
              <w:top w:w="100" w:type="dxa"/>
              <w:left w:w="100" w:type="dxa"/>
              <w:bottom w:w="100" w:type="dxa"/>
              <w:right w:w="100" w:type="dxa"/>
            </w:tcMar>
          </w:tcPr>
          <w:p w:rsidR="00C25E60" w:rsidRDefault="00D166BA">
            <w:pPr>
              <w:widowControl w:val="0"/>
              <w:spacing w:line="240" w:lineRule="auto"/>
              <w:rPr>
                <w:b/>
                <w:sz w:val="20"/>
                <w:szCs w:val="20"/>
              </w:rPr>
            </w:pPr>
            <w:r>
              <w:rPr>
                <w:b/>
                <w:sz w:val="20"/>
                <w:szCs w:val="20"/>
              </w:rPr>
              <w:t xml:space="preserve">BY-adjusted </w:t>
            </w:r>
            <w:r>
              <w:rPr>
                <w:b/>
                <w:i/>
                <w:sz w:val="20"/>
                <w:szCs w:val="20"/>
              </w:rPr>
              <w:t>p-</w:t>
            </w:r>
            <w:r>
              <w:rPr>
                <w:b/>
                <w:sz w:val="20"/>
                <w:szCs w:val="20"/>
              </w:rPr>
              <w:t>value</w:t>
            </w:r>
          </w:p>
        </w:tc>
        <w:tc>
          <w:tcPr>
            <w:tcW w:w="1980" w:type="dxa"/>
            <w:shd w:val="clear" w:color="auto" w:fill="auto"/>
            <w:tcMar>
              <w:top w:w="100" w:type="dxa"/>
              <w:left w:w="100" w:type="dxa"/>
              <w:bottom w:w="100" w:type="dxa"/>
              <w:right w:w="100" w:type="dxa"/>
            </w:tcMar>
          </w:tcPr>
          <w:p w:rsidR="00C25E60" w:rsidRDefault="00D166BA">
            <w:pPr>
              <w:widowControl w:val="0"/>
              <w:spacing w:line="240" w:lineRule="auto"/>
              <w:rPr>
                <w:b/>
                <w:sz w:val="20"/>
                <w:szCs w:val="20"/>
              </w:rPr>
            </w:pPr>
            <w:r>
              <w:rPr>
                <w:b/>
                <w:sz w:val="20"/>
                <w:szCs w:val="20"/>
              </w:rPr>
              <w:t>BMA OR [95% CI]</w:t>
            </w:r>
          </w:p>
        </w:tc>
        <w:tc>
          <w:tcPr>
            <w:tcW w:w="885" w:type="dxa"/>
            <w:shd w:val="clear" w:color="auto" w:fill="auto"/>
            <w:tcMar>
              <w:top w:w="100" w:type="dxa"/>
              <w:left w:w="100" w:type="dxa"/>
              <w:bottom w:w="100" w:type="dxa"/>
              <w:right w:w="100" w:type="dxa"/>
            </w:tcMar>
          </w:tcPr>
          <w:p w:rsidR="00C25E60" w:rsidRDefault="00D166BA">
            <w:pPr>
              <w:rPr>
                <w:b/>
                <w:sz w:val="20"/>
                <w:szCs w:val="20"/>
              </w:rPr>
            </w:pPr>
            <w:r>
              <w:rPr>
                <w:b/>
                <w:sz w:val="20"/>
                <w:szCs w:val="20"/>
              </w:rPr>
              <w:t>Novel?</w:t>
            </w:r>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DQB1*05:01</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cervical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4.51 x 10</w:t>
            </w:r>
            <w:r>
              <w:rPr>
                <w:sz w:val="20"/>
                <w:szCs w:val="20"/>
                <w:vertAlign w:val="superscript"/>
              </w:rPr>
              <w:t>-4</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0.76 [0.69, 0.83]</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N</w:t>
            </w:r>
            <w:hyperlink r:id="rId43">
              <w:r>
                <w:rPr>
                  <w:color w:val="000000"/>
                  <w:sz w:val="20"/>
                  <w:szCs w:val="20"/>
                  <w:vertAlign w:val="superscript"/>
                </w:rPr>
                <w:t>38</w:t>
              </w:r>
            </w:hyperlink>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DRB3*99:01</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cervical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2.21 x 10</w:t>
            </w:r>
            <w:r>
              <w:rPr>
                <w:sz w:val="20"/>
                <w:szCs w:val="20"/>
                <w:vertAlign w:val="superscript"/>
              </w:rPr>
              <w:t>-3</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1.19 [1.13, 1.27]</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N</w:t>
            </w:r>
            <w:hyperlink r:id="rId44">
              <w:r>
                <w:rPr>
                  <w:color w:val="000000"/>
                  <w:sz w:val="20"/>
                  <w:szCs w:val="20"/>
                  <w:vertAlign w:val="superscript"/>
                </w:rPr>
                <w:t>39</w:t>
              </w:r>
            </w:hyperlink>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 xml:space="preserve">DQA1*03:01 </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 xml:space="preserve">female genital tract </w:t>
            </w:r>
            <w:r>
              <w:rPr>
                <w:sz w:val="20"/>
                <w:szCs w:val="20"/>
              </w:rPr>
              <w:t>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4.77 x 10</w:t>
            </w:r>
            <w:r>
              <w:rPr>
                <w:sz w:val="20"/>
                <w:szCs w:val="20"/>
                <w:vertAlign w:val="superscript"/>
              </w:rPr>
              <w:t>-5</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1.16 [1.1, 1.22]</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N</w:t>
            </w:r>
            <w:hyperlink r:id="rId45">
              <w:r>
                <w:rPr>
                  <w:color w:val="000000"/>
                  <w:sz w:val="20"/>
                  <w:szCs w:val="20"/>
                  <w:vertAlign w:val="superscript"/>
                </w:rPr>
                <w:t>40</w:t>
              </w:r>
            </w:hyperlink>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DQB1*05:01</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2.12 x 10</w:t>
            </w:r>
            <w:r>
              <w:rPr>
                <w:sz w:val="20"/>
                <w:szCs w:val="20"/>
                <w:vertAlign w:val="superscript"/>
              </w:rPr>
              <w:t>-15</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1.11 [1.08, 1.15]</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N</w:t>
            </w:r>
            <w:hyperlink r:id="rId46">
              <w:r>
                <w:rPr>
                  <w:color w:val="000000"/>
                  <w:sz w:val="20"/>
                  <w:szCs w:val="20"/>
                  <w:vertAlign w:val="superscript"/>
                </w:rPr>
                <w:t>23</w:t>
              </w:r>
            </w:hyperlink>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DQB1*05:01</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non-melanoma 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3.27 x 10</w:t>
            </w:r>
            <w:r>
              <w:rPr>
                <w:sz w:val="20"/>
                <w:szCs w:val="20"/>
                <w:vertAlign w:val="superscript"/>
              </w:rPr>
              <w:t>-17</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1.13 [1.09, 1.17]</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N</w:t>
            </w:r>
            <w:hyperlink r:id="rId47">
              <w:r>
                <w:rPr>
                  <w:color w:val="000000"/>
                  <w:sz w:val="20"/>
                  <w:szCs w:val="20"/>
                  <w:vertAlign w:val="superscript"/>
                </w:rPr>
                <w:t>23</w:t>
              </w:r>
            </w:hyperlink>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DQB1*05:01</w:t>
            </w:r>
          </w:p>
        </w:tc>
        <w:tc>
          <w:tcPr>
            <w:tcW w:w="2715" w:type="dxa"/>
            <w:shd w:val="clear" w:color="auto" w:fill="auto"/>
            <w:tcMar>
              <w:top w:w="100" w:type="dxa"/>
              <w:left w:w="100" w:type="dxa"/>
              <w:bottom w:w="100" w:type="dxa"/>
              <w:right w:w="100" w:type="dxa"/>
            </w:tcMar>
          </w:tcPr>
          <w:p w:rsidR="00C25E60" w:rsidRDefault="00D166BA">
            <w:pPr>
              <w:rPr>
                <w:sz w:val="20"/>
                <w:szCs w:val="20"/>
              </w:rPr>
            </w:pPr>
            <w:proofErr w:type="spellStart"/>
            <w:r>
              <w:rPr>
                <w:sz w:val="20"/>
                <w:szCs w:val="20"/>
              </w:rPr>
              <w:t>non--hodgkin’s</w:t>
            </w:r>
            <w:proofErr w:type="spellEnd"/>
            <w:r>
              <w:rPr>
                <w:sz w:val="20"/>
                <w:szCs w:val="20"/>
              </w:rPr>
              <w:t xml:space="preserve"> lymphoma</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3.68 x 10</w:t>
            </w:r>
            <w:r>
              <w:rPr>
                <w:sz w:val="20"/>
                <w:szCs w:val="20"/>
                <w:vertAlign w:val="superscript"/>
              </w:rPr>
              <w:t>-3</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1.31 [1.19, 1.45]</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N</w:t>
            </w:r>
            <w:hyperlink r:id="rId48">
              <w:r>
                <w:rPr>
                  <w:color w:val="000000"/>
                  <w:sz w:val="20"/>
                  <w:szCs w:val="20"/>
                  <w:vertAlign w:val="superscript"/>
                </w:rPr>
                <w:t>41</w:t>
              </w:r>
            </w:hyperlink>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B*44:03</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3.65 x 10</w:t>
            </w:r>
            <w:r>
              <w:rPr>
                <w:sz w:val="20"/>
                <w:szCs w:val="20"/>
                <w:vertAlign w:val="superscript"/>
              </w:rPr>
              <w:t>-5</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0.89 [0.85, 0.93]</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Y</w:t>
            </w:r>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lastRenderedPageBreak/>
              <w:t>DQB1*03:02</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2.69 x 10</w:t>
            </w:r>
            <w:r>
              <w:rPr>
                <w:sz w:val="20"/>
                <w:szCs w:val="20"/>
                <w:vertAlign w:val="superscript"/>
              </w:rPr>
              <w:t>-8</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0.91 [0.87, 0.95]</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Y</w:t>
            </w:r>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DQB1*03:02</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non-melanoma 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3.46 x 10</w:t>
            </w:r>
            <w:r>
              <w:rPr>
                <w:sz w:val="20"/>
                <w:szCs w:val="20"/>
                <w:vertAlign w:val="superscript"/>
              </w:rPr>
              <w:t>-8</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0.92 [0.88, 0.95]</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Y</w:t>
            </w:r>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B*40:01</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non-melanoma 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4.11 x 10</w:t>
            </w:r>
            <w:r>
              <w:rPr>
                <w:sz w:val="20"/>
                <w:szCs w:val="20"/>
                <w:vertAlign w:val="superscript"/>
              </w:rPr>
              <w:t>-5</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0.89 [0.85, 0.94]</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Y</w:t>
            </w:r>
          </w:p>
        </w:tc>
      </w:tr>
      <w:tr w:rsidR="00C25E60">
        <w:tc>
          <w:tcPr>
            <w:tcW w:w="1515" w:type="dxa"/>
            <w:shd w:val="clear" w:color="auto" w:fill="auto"/>
            <w:tcMar>
              <w:top w:w="100" w:type="dxa"/>
              <w:left w:w="100" w:type="dxa"/>
              <w:bottom w:w="100" w:type="dxa"/>
              <w:right w:w="100" w:type="dxa"/>
            </w:tcMar>
          </w:tcPr>
          <w:p w:rsidR="00C25E60" w:rsidRDefault="00D166BA">
            <w:pPr>
              <w:rPr>
                <w:sz w:val="20"/>
                <w:szCs w:val="20"/>
              </w:rPr>
            </w:pPr>
            <w:r>
              <w:rPr>
                <w:sz w:val="20"/>
                <w:szCs w:val="20"/>
              </w:rPr>
              <w:t>B*44:03</w:t>
            </w:r>
          </w:p>
        </w:tc>
        <w:tc>
          <w:tcPr>
            <w:tcW w:w="2715" w:type="dxa"/>
            <w:shd w:val="clear" w:color="auto" w:fill="auto"/>
            <w:tcMar>
              <w:top w:w="100" w:type="dxa"/>
              <w:left w:w="100" w:type="dxa"/>
              <w:bottom w:w="100" w:type="dxa"/>
              <w:right w:w="100" w:type="dxa"/>
            </w:tcMar>
          </w:tcPr>
          <w:p w:rsidR="00C25E60" w:rsidRDefault="00D166BA">
            <w:pPr>
              <w:rPr>
                <w:sz w:val="20"/>
                <w:szCs w:val="20"/>
              </w:rPr>
            </w:pPr>
            <w:r>
              <w:rPr>
                <w:sz w:val="20"/>
                <w:szCs w:val="20"/>
              </w:rPr>
              <w:t>non-melanoma skin cancer</w:t>
            </w:r>
          </w:p>
        </w:tc>
        <w:tc>
          <w:tcPr>
            <w:tcW w:w="2160" w:type="dxa"/>
            <w:shd w:val="clear" w:color="auto" w:fill="auto"/>
            <w:tcMar>
              <w:top w:w="100" w:type="dxa"/>
              <w:left w:w="100" w:type="dxa"/>
              <w:bottom w:w="100" w:type="dxa"/>
              <w:right w:w="100" w:type="dxa"/>
            </w:tcMar>
          </w:tcPr>
          <w:p w:rsidR="00C25E60" w:rsidRDefault="00D166BA">
            <w:pPr>
              <w:rPr>
                <w:sz w:val="20"/>
                <w:szCs w:val="20"/>
              </w:rPr>
            </w:pPr>
            <w:r>
              <w:rPr>
                <w:sz w:val="20"/>
                <w:szCs w:val="20"/>
              </w:rPr>
              <w:t>5.32 x 10</w:t>
            </w:r>
            <w:r>
              <w:rPr>
                <w:sz w:val="20"/>
                <w:szCs w:val="20"/>
                <w:vertAlign w:val="superscript"/>
              </w:rPr>
              <w:t>-5</w:t>
            </w:r>
          </w:p>
        </w:tc>
        <w:tc>
          <w:tcPr>
            <w:tcW w:w="1980" w:type="dxa"/>
            <w:shd w:val="clear" w:color="auto" w:fill="auto"/>
            <w:tcMar>
              <w:top w:w="100" w:type="dxa"/>
              <w:left w:w="100" w:type="dxa"/>
              <w:bottom w:w="100" w:type="dxa"/>
              <w:right w:w="100" w:type="dxa"/>
            </w:tcMar>
          </w:tcPr>
          <w:p w:rsidR="00C25E60" w:rsidRDefault="00D166BA">
            <w:pPr>
              <w:rPr>
                <w:sz w:val="20"/>
                <w:szCs w:val="20"/>
              </w:rPr>
            </w:pPr>
            <w:r>
              <w:rPr>
                <w:sz w:val="20"/>
                <w:szCs w:val="20"/>
              </w:rPr>
              <w:t>0.88 [0.84, 0.93]</w:t>
            </w:r>
          </w:p>
        </w:tc>
        <w:tc>
          <w:tcPr>
            <w:tcW w:w="885" w:type="dxa"/>
            <w:shd w:val="clear" w:color="auto" w:fill="auto"/>
            <w:tcMar>
              <w:top w:w="100" w:type="dxa"/>
              <w:left w:w="100" w:type="dxa"/>
              <w:bottom w:w="100" w:type="dxa"/>
              <w:right w:w="100" w:type="dxa"/>
            </w:tcMar>
          </w:tcPr>
          <w:p w:rsidR="00C25E60" w:rsidRDefault="00D166BA">
            <w:pPr>
              <w:rPr>
                <w:sz w:val="20"/>
                <w:szCs w:val="20"/>
              </w:rPr>
            </w:pPr>
            <w:r>
              <w:rPr>
                <w:sz w:val="20"/>
                <w:szCs w:val="20"/>
              </w:rPr>
              <w:t>Y</w:t>
            </w:r>
          </w:p>
        </w:tc>
      </w:tr>
    </w:tbl>
    <w:p w:rsidR="00C25E60" w:rsidRDefault="00D166BA">
      <w:pPr>
        <w:jc w:val="center"/>
        <w:rPr>
          <w:b/>
          <w:sz w:val="20"/>
          <w:szCs w:val="20"/>
        </w:rPr>
      </w:pPr>
      <w:r>
        <w:rPr>
          <w:b/>
          <w:color w:val="0000FF"/>
          <w:sz w:val="20"/>
          <w:szCs w:val="20"/>
        </w:rPr>
        <w:t>Table 1.</w:t>
      </w:r>
      <w:r>
        <w:rPr>
          <w:sz w:val="20"/>
          <w:szCs w:val="20"/>
        </w:rPr>
        <w:t xml:space="preserve"> </w:t>
      </w:r>
      <w:r>
        <w:rPr>
          <w:b/>
          <w:sz w:val="20"/>
          <w:szCs w:val="20"/>
        </w:rPr>
        <w:t>Cancer associations found by BMA (posterior probability &gt;= 0.8).</w:t>
      </w:r>
    </w:p>
    <w:p w:rsidR="00C25E60" w:rsidRDefault="00C25E60"/>
    <w:p w:rsidR="00375BE9" w:rsidRDefault="00375BE9">
      <w:pPr>
        <w:rPr>
          <w:b/>
        </w:rPr>
      </w:pPr>
      <w:r>
        <w:rPr>
          <w:b/>
        </w:rPr>
        <w:br w:type="page"/>
      </w:r>
    </w:p>
    <w:p w:rsidR="00C25E60" w:rsidRDefault="00D166BA">
      <w:pPr>
        <w:rPr>
          <w:b/>
        </w:rPr>
      </w:pPr>
      <w:r>
        <w:rPr>
          <w:b/>
          <w:color w:val="0000FF"/>
          <w:sz w:val="20"/>
          <w:szCs w:val="20"/>
        </w:rPr>
        <w:lastRenderedPageBreak/>
        <w:t>Figure 2A.</w:t>
      </w:r>
      <w:r>
        <w:rPr>
          <w:b/>
          <w:sz w:val="20"/>
          <w:szCs w:val="20"/>
        </w:rPr>
        <w:t xml:space="preserve"> Overview of BMA results. a) Direction and magnitude of HLA allele effects on phenotypes. </w:t>
      </w:r>
      <w:r>
        <w:rPr>
          <w:sz w:val="20"/>
          <w:szCs w:val="20"/>
        </w:rPr>
        <w:t>x-axis indicates allele, y-axis indicates phenotype. Red shows risk effec</w:t>
      </w:r>
      <w:r>
        <w:rPr>
          <w:sz w:val="20"/>
          <w:szCs w:val="20"/>
        </w:rPr>
        <w:t>ts; blue shows protective effects. A systematic literature search was conducted, yielding a set of previously reported and novel associations (</w:t>
      </w:r>
      <w:r>
        <w:rPr>
          <w:b/>
          <w:color w:val="0000FF"/>
          <w:sz w:val="20"/>
          <w:szCs w:val="20"/>
        </w:rPr>
        <w:t>Supplementary Table 1</w:t>
      </w:r>
      <w:r>
        <w:rPr>
          <w:sz w:val="20"/>
          <w:szCs w:val="20"/>
        </w:rPr>
        <w:t>). Marker size indicates novelty of discovery - small (previously found) or large (novel). y</w:t>
      </w:r>
      <w:r>
        <w:rPr>
          <w:sz w:val="20"/>
          <w:szCs w:val="20"/>
        </w:rPr>
        <w:t>-axis was clustered by mean effects of alleles on phenotypes.</w:t>
      </w:r>
    </w:p>
    <w:p w:rsidR="00C25E60" w:rsidRDefault="00C25E60">
      <w:pPr>
        <w:rPr>
          <w:b/>
          <w:sz w:val="20"/>
          <w:szCs w:val="20"/>
        </w:rPr>
      </w:pPr>
    </w:p>
    <w:p w:rsidR="00C25E60" w:rsidRDefault="00D166BA">
      <w:pPr>
        <w:rPr>
          <w:sz w:val="20"/>
          <w:szCs w:val="20"/>
        </w:rPr>
      </w:pPr>
      <w:r>
        <w:rPr>
          <w:b/>
          <w:color w:val="0000FF"/>
          <w:sz w:val="20"/>
          <w:szCs w:val="20"/>
        </w:rPr>
        <w:t>Figure 2B.</w:t>
      </w:r>
      <w:r>
        <w:rPr>
          <w:b/>
          <w:sz w:val="20"/>
          <w:szCs w:val="20"/>
        </w:rPr>
        <w:t xml:space="preserve"> Spider plot showing BMA associations between HLA alleles and binary phenotypes. </w:t>
      </w:r>
      <w:r>
        <w:rPr>
          <w:sz w:val="20"/>
          <w:szCs w:val="20"/>
        </w:rPr>
        <w:t xml:space="preserve">The phenotypes were grouped by category as in the legend. </w:t>
      </w:r>
      <w:r>
        <w:rPr>
          <w:rFonts w:ascii="Arial Unicode MS" w:eastAsia="Arial Unicode MS" w:hAnsi="Arial Unicode MS" w:cs="Arial Unicode MS"/>
          <w:sz w:val="20"/>
          <w:szCs w:val="20"/>
        </w:rPr>
        <w:t>A line was drawn between an allele and a phe</w:t>
      </w:r>
      <w:r>
        <w:rPr>
          <w:rFonts w:ascii="Arial Unicode MS" w:eastAsia="Arial Unicode MS" w:hAnsi="Arial Unicode MS" w:cs="Arial Unicode MS"/>
          <w:sz w:val="20"/>
          <w:szCs w:val="20"/>
        </w:rPr>
        <w:t>notype if the allele had a BMA posterior probability ≥ 0.8 for that phenotype.</w:t>
      </w:r>
      <w:r>
        <w:rPr>
          <w:sz w:val="20"/>
          <w:szCs w:val="20"/>
        </w:rPr>
        <w:t xml:space="preserve"> Novel associations (as determined in </w:t>
      </w:r>
      <w:r>
        <w:rPr>
          <w:b/>
          <w:color w:val="0000FF"/>
          <w:sz w:val="20"/>
          <w:szCs w:val="20"/>
        </w:rPr>
        <w:t>Supplementary Table 1</w:t>
      </w:r>
      <w:r>
        <w:rPr>
          <w:sz w:val="20"/>
          <w:szCs w:val="20"/>
        </w:rPr>
        <w:t xml:space="preserve">) are shown as solid, opaque lines; </w:t>
      </w:r>
      <w:proofErr w:type="gramStart"/>
      <w:r>
        <w:rPr>
          <w:sz w:val="20"/>
          <w:szCs w:val="20"/>
        </w:rPr>
        <w:t>previously-found</w:t>
      </w:r>
      <w:proofErr w:type="gramEnd"/>
      <w:r>
        <w:rPr>
          <w:sz w:val="20"/>
          <w:szCs w:val="20"/>
        </w:rPr>
        <w:t xml:space="preserve"> associations are indicated as dashed, faded lines. Line width scal</w:t>
      </w:r>
      <w:r>
        <w:rPr>
          <w:sz w:val="20"/>
          <w:szCs w:val="20"/>
        </w:rPr>
        <w:t>es with BMA posterior mean effect size.</w:t>
      </w:r>
    </w:p>
    <w:p w:rsidR="00C25E60" w:rsidRDefault="00D166BA">
      <w:pPr>
        <w:pStyle w:val="Heading2"/>
      </w:pPr>
      <w:bookmarkStart w:id="13" w:name="_t5aacapmjbt2" w:colFirst="0" w:colLast="0"/>
      <w:bookmarkEnd w:id="13"/>
      <w:r>
        <w:t>Analysis of non-additive genetic effects</w:t>
      </w:r>
    </w:p>
    <w:p w:rsidR="00C25E60" w:rsidRDefault="00D166BA">
      <w:r>
        <w:rPr>
          <w:b/>
          <w:noProof/>
          <w:sz w:val="20"/>
          <w:szCs w:val="20"/>
        </w:rPr>
        <w:drawing>
          <wp:inline distT="114300" distB="114300" distL="114300" distR="114300">
            <wp:extent cx="5938137" cy="5176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9"/>
                    <a:srcRect l="9935" t="7692" r="8814" b="7307"/>
                    <a:stretch>
                      <a:fillRect/>
                    </a:stretch>
                  </pic:blipFill>
                  <pic:spPr>
                    <a:xfrm>
                      <a:off x="0" y="0"/>
                      <a:ext cx="5938137" cy="5176838"/>
                    </a:xfrm>
                    <a:prstGeom prst="rect">
                      <a:avLst/>
                    </a:prstGeom>
                    <a:ln/>
                  </pic:spPr>
                </pic:pic>
              </a:graphicData>
            </a:graphic>
          </wp:inline>
        </w:drawing>
      </w:r>
    </w:p>
    <w:p w:rsidR="00C25E60" w:rsidRDefault="00D166BA">
      <w:pPr>
        <w:rPr>
          <w:sz w:val="20"/>
          <w:szCs w:val="20"/>
        </w:rPr>
      </w:pPr>
      <w:r>
        <w:rPr>
          <w:b/>
          <w:color w:val="0000FF"/>
          <w:sz w:val="20"/>
          <w:szCs w:val="20"/>
        </w:rPr>
        <w:t>Figure 3.</w:t>
      </w:r>
      <w:r>
        <w:rPr>
          <w:b/>
          <w:sz w:val="20"/>
          <w:szCs w:val="20"/>
        </w:rPr>
        <w:t xml:space="preserve"> Non-additive dosage model associations. (A) Allele-phenotype pair. </w:t>
      </w:r>
      <w:r>
        <w:rPr>
          <w:sz w:val="20"/>
          <w:szCs w:val="20"/>
        </w:rPr>
        <w:t xml:space="preserve">Light grey text represents a </w:t>
      </w:r>
      <w:proofErr w:type="gramStart"/>
      <w:r>
        <w:rPr>
          <w:sz w:val="20"/>
          <w:szCs w:val="20"/>
        </w:rPr>
        <w:t>previously-found</w:t>
      </w:r>
      <w:proofErr w:type="gramEnd"/>
      <w:r>
        <w:rPr>
          <w:sz w:val="20"/>
          <w:szCs w:val="20"/>
        </w:rPr>
        <w:t xml:space="preserve"> non-additive effect (</w:t>
      </w:r>
      <w:r>
        <w:rPr>
          <w:b/>
          <w:color w:val="0000FF"/>
          <w:sz w:val="20"/>
          <w:szCs w:val="20"/>
        </w:rPr>
        <w:t>Supplementary Table 1</w:t>
      </w:r>
      <w:r>
        <w:rPr>
          <w:sz w:val="20"/>
          <w:szCs w:val="20"/>
        </w:rPr>
        <w:t xml:space="preserve">). </w:t>
      </w:r>
      <w:r>
        <w:rPr>
          <w:b/>
          <w:sz w:val="20"/>
          <w:szCs w:val="20"/>
        </w:rPr>
        <w:t xml:space="preserve">(B) Number of UK Biobank </w:t>
      </w:r>
      <w:r>
        <w:rPr>
          <w:b/>
          <w:sz w:val="20"/>
          <w:szCs w:val="20"/>
        </w:rPr>
        <w:lastRenderedPageBreak/>
        <w:t xml:space="preserve">cases for the phenotype </w:t>
      </w:r>
      <w:r>
        <w:rPr>
          <w:sz w:val="20"/>
          <w:szCs w:val="20"/>
        </w:rPr>
        <w:t>x-axis is log</w:t>
      </w:r>
      <w:r>
        <w:rPr>
          <w:sz w:val="20"/>
          <w:szCs w:val="20"/>
          <w:vertAlign w:val="subscript"/>
        </w:rPr>
        <w:t>10</w:t>
      </w:r>
      <w:r>
        <w:rPr>
          <w:sz w:val="20"/>
          <w:szCs w:val="20"/>
        </w:rPr>
        <w:t xml:space="preserve"> scaled. </w:t>
      </w:r>
      <w:r>
        <w:rPr>
          <w:b/>
          <w:sz w:val="20"/>
          <w:szCs w:val="20"/>
        </w:rPr>
        <w:t xml:space="preserve">(C) Odds ratio and log odds ratio for additive (green) and genotypic model (blue, dosage 1 and yellow, dosage 2). </w:t>
      </w:r>
      <w:r>
        <w:rPr>
          <w:sz w:val="20"/>
          <w:szCs w:val="20"/>
        </w:rPr>
        <w:t xml:space="preserve">Graphical measure of model fit. </w:t>
      </w:r>
      <w:r>
        <w:rPr>
          <w:b/>
          <w:sz w:val="20"/>
          <w:szCs w:val="20"/>
        </w:rPr>
        <w:t>(D) ΔAIC (AIC</w:t>
      </w:r>
      <w:r>
        <w:rPr>
          <w:b/>
          <w:sz w:val="20"/>
          <w:szCs w:val="20"/>
        </w:rPr>
        <w:t xml:space="preserve"> additive model - AIC genotype model). </w:t>
      </w:r>
      <w:r>
        <w:rPr>
          <w:sz w:val="20"/>
          <w:szCs w:val="20"/>
        </w:rPr>
        <w:t>A more negative value represents a larger departure from additivity.</w:t>
      </w:r>
    </w:p>
    <w:p w:rsidR="00C25E60" w:rsidRDefault="00C25E60">
      <w:pPr>
        <w:rPr>
          <w:sz w:val="20"/>
          <w:szCs w:val="20"/>
        </w:rPr>
      </w:pPr>
    </w:p>
    <w:p w:rsidR="00C25E60" w:rsidRDefault="00D166BA">
      <w:r>
        <w:t>Several analyses have looked at the evidence of non-additive effects within the HLA region of the genome</w:t>
      </w:r>
      <w:hyperlink r:id="rId50">
        <w:r>
          <w:rPr>
            <w:color w:val="000000"/>
            <w:vertAlign w:val="superscript"/>
          </w:rPr>
          <w:t>15</w:t>
        </w:r>
      </w:hyperlink>
      <w:r>
        <w:t>. As a further model-selection technique, we probed the presence of non-additive effects among the 178 associations resulting from the BMA analysis. Where ΔAIC was defined as the Akaike Information Criterion goodness-of-fit</w:t>
      </w:r>
      <w:hyperlink r:id="rId51">
        <w:r>
          <w:rPr>
            <w:color w:val="000000"/>
            <w:vertAlign w:val="superscript"/>
          </w:rPr>
          <w:t>22</w:t>
        </w:r>
      </w:hyperlink>
      <w:r>
        <w:t xml:space="preserve"> difference between the additive (standard GWAS) model and the non-additive/”genotypic” model (in which rounded genotype dosage is considered as a factor as opposed to a numerical value), we selected those associations</w:t>
      </w:r>
      <w:r>
        <w:t xml:space="preserve"> where the ΔAIC was &lt;= -5, i.e. where the genotypic model fit was significantly better than that of the additive model. </w:t>
      </w:r>
    </w:p>
    <w:p w:rsidR="00C25E60" w:rsidRDefault="00C25E60"/>
    <w:p w:rsidR="00C25E60" w:rsidRDefault="00D166BA">
      <w:r>
        <w:t>We found 25 associations which met these criteria, of which 8 were previously documented</w:t>
      </w:r>
      <w:hyperlink r:id="rId52">
        <w:r>
          <w:rPr>
            <w:color w:val="000000"/>
            <w:vertAlign w:val="superscript"/>
          </w:rPr>
          <w:t>15</w:t>
        </w:r>
      </w:hyperlink>
      <w:r>
        <w:t xml:space="preserve"> (</w:t>
      </w:r>
      <w:r>
        <w:rPr>
          <w:b/>
          <w:color w:val="0000FF"/>
        </w:rPr>
        <w:t>Figure 3</w:t>
      </w:r>
      <w:r>
        <w:t>). There is an enrichment for malabsorption (9) thyroid (4), and autoimmune (4) phenotypes, but psori</w:t>
      </w:r>
      <w:r>
        <w:t xml:space="preserve">atic (3), asthma (2), and diabetes (2) phenotypes also feature multiple non-additive associations. We define heterozygote odds ratio (OR) to be the OR associated with Dosage 1 and homozygote OR to be the OR associated with Dosage 2, as in </w:t>
      </w:r>
      <w:r>
        <w:rPr>
          <w:b/>
          <w:color w:val="0000FF"/>
        </w:rPr>
        <w:t>Figure 3</w:t>
      </w:r>
      <w:r>
        <w:t>. We find</w:t>
      </w:r>
      <w:r>
        <w:t xml:space="preserve"> </w:t>
      </w:r>
      <w:r>
        <w:rPr>
          <w:b/>
        </w:rPr>
        <w:t xml:space="preserve">C*06:02 </w:t>
      </w:r>
      <w:r>
        <w:t xml:space="preserve">to have a non-additive effect on </w:t>
      </w:r>
      <w:r>
        <w:rPr>
          <w:b/>
        </w:rPr>
        <w:t>psoriasis</w:t>
      </w:r>
      <w:r>
        <w:t xml:space="preserve"> (additive OR 2.79, 95% CI [2.69, 2.89]; heterozygote OR 3.19, 95% CI [3.05, 3.33]; homozygote OR 4.35, 95% CI [3.79, 4.99]), as backed by the literature</w:t>
      </w:r>
      <w:hyperlink r:id="rId53">
        <w:r>
          <w:rPr>
            <w:color w:val="000000"/>
            <w:vertAlign w:val="superscript"/>
          </w:rPr>
          <w:t>15</w:t>
        </w:r>
      </w:hyperlink>
      <w:r>
        <w:t xml:space="preserve">. We then find a series of novel associations, including that between </w:t>
      </w:r>
      <w:r>
        <w:rPr>
          <w:b/>
        </w:rPr>
        <w:t xml:space="preserve">B*27:05 </w:t>
      </w:r>
      <w:r>
        <w:t>and</w:t>
      </w:r>
      <w:r>
        <w:rPr>
          <w:b/>
        </w:rPr>
        <w:t xml:space="preserve"> ankylosing spondylitis</w:t>
      </w:r>
      <w:r>
        <w:t xml:space="preserve"> (additive OR 8.93, 95% CI [8.13, 9.81]; heterozygote OR 12.24, 95% CI [10.94, 13.68]; homozygote OR 14.11, 95% CI [8.24, 24.18]); low homozygote c</w:t>
      </w:r>
      <w:r>
        <w:t xml:space="preserve">ounts result in a large CI for this homozygote OR. In the case of </w:t>
      </w:r>
      <w:r>
        <w:rPr>
          <w:b/>
        </w:rPr>
        <w:t>DRB5*99:01</w:t>
      </w:r>
      <w:r>
        <w:t xml:space="preserve"> and </w:t>
      </w:r>
      <w:r>
        <w:rPr>
          <w:b/>
        </w:rPr>
        <w:t>hypothyroidism/myxedema</w:t>
      </w:r>
      <w:r>
        <w:t xml:space="preserve"> (additive OR 1.22, 95% CI [1.19, 1.26]; heterozygote OR 1.44, 95% CI [1.28, 1.62]; homozygote OR 1.72, 95% CI [1.53, 1.93]), the heterozygote and homoz</w:t>
      </w:r>
      <w:r>
        <w:t xml:space="preserve">ygote CIs overlap with each other but not with the additive CI. We see a significantly higher homozygote OR for </w:t>
      </w:r>
      <w:r>
        <w:rPr>
          <w:b/>
        </w:rPr>
        <w:t>B*57:01</w:t>
      </w:r>
      <w:r>
        <w:t xml:space="preserve"> and </w:t>
      </w:r>
      <w:r>
        <w:rPr>
          <w:b/>
        </w:rPr>
        <w:t xml:space="preserve">psoriasis </w:t>
      </w:r>
      <w:r>
        <w:t>(additive OR 3.07, 95% CI [2.93, 3.23]; heterozygote OR 3.22, 95% CI [3.06, 3.39]; homozygote OR 5.42, 95% CI [4.14, 7.09]</w:t>
      </w:r>
      <w:r>
        <w:t xml:space="preserve">), representing another type of departure from additivity. There is also the case where all CIs overlap with each other, like for </w:t>
      </w:r>
      <w:r>
        <w:rPr>
          <w:b/>
        </w:rPr>
        <w:t>B*27:05</w:t>
      </w:r>
      <w:r>
        <w:t xml:space="preserve"> and </w:t>
      </w:r>
      <w:r>
        <w:rPr>
          <w:b/>
        </w:rPr>
        <w:t xml:space="preserve">iridocyclitis </w:t>
      </w:r>
      <w:r>
        <w:t>(additive OR 4.83, 95% CI [4.4, 5.29]; heterozygote OR 5.5, 95% CI [4.96, 6.09]; homozygote OR 8.05,</w:t>
      </w:r>
      <w:r>
        <w:t xml:space="preserve"> 95% CI [4.8, 13.51]). </w:t>
      </w:r>
    </w:p>
    <w:p w:rsidR="00C25E60" w:rsidRDefault="00C25E60"/>
    <w:p w:rsidR="00C25E60" w:rsidRDefault="00D166BA">
      <w:r>
        <w:t>Perhaps the most dramatic of these is the effect of</w:t>
      </w:r>
      <w:r>
        <w:rPr>
          <w:b/>
        </w:rPr>
        <w:t xml:space="preserve"> DRB4*01:01 on celiac disease </w:t>
      </w:r>
      <w:r>
        <w:t xml:space="preserve">(additive OR 1.71, 95% CI [1.56, 1.87]; heterozygote OR 1.92, 95% CI [1.74, 2.12]; homozygote OR 0.62, 95% CI [0.3, 1.31]). The heterozygote and additive effect estimates are somewhat opposite the homozygote estimate, albeit the confidence interval of the </w:t>
      </w:r>
      <w:r>
        <w:t>homozygote OR crossing 0 (</w:t>
      </w:r>
      <w:r>
        <w:rPr>
          <w:b/>
          <w:color w:val="0000FF"/>
        </w:rPr>
        <w:t>Figure 3</w:t>
      </w:r>
      <w:r>
        <w:t>). 12 associations were not found to be non-additive by our analysis, yet showed moderate non-additive effects in the literature</w:t>
      </w:r>
      <w:hyperlink r:id="rId54">
        <w:r>
          <w:rPr>
            <w:color w:val="000000"/>
            <w:vertAlign w:val="superscript"/>
          </w:rPr>
          <w:t>15</w:t>
        </w:r>
      </w:hyperlink>
      <w:r>
        <w:t xml:space="preserve">. These range in ΔAIC from -3.368 to </w:t>
      </w:r>
      <w:r>
        <w:t>+1.99 (</w:t>
      </w:r>
      <w:r>
        <w:rPr>
          <w:b/>
          <w:color w:val="0000FF"/>
        </w:rPr>
        <w:t>Supplementary Table 2</w:t>
      </w:r>
      <w:r>
        <w:t>). Overall, the underlying biology of these associations could be important to disease pathogenesis.</w:t>
      </w:r>
    </w:p>
    <w:p w:rsidR="00C25E60" w:rsidRDefault="00D166BA">
      <w:pPr>
        <w:pStyle w:val="Heading1"/>
      </w:pPr>
      <w:bookmarkStart w:id="14" w:name="_ay437t7oe996" w:colFirst="0" w:colLast="0"/>
      <w:bookmarkEnd w:id="14"/>
      <w:r>
        <w:lastRenderedPageBreak/>
        <w:t>Discussion</w:t>
      </w:r>
    </w:p>
    <w:p w:rsidR="00C25E60" w:rsidRDefault="00D166BA">
      <w:r>
        <w:t>This study is a comprehensive overview of associations of 156 HLA alleles to 677 phenotypes in 337,138 individuals i</w:t>
      </w:r>
      <w:r>
        <w:t>n the UK Biobank. Using single-allele association analysis and subsequent Bayesian Model Averaging, we replicate 88 known associations between HLA alleles and cancer and other binary phenotypes and discover 90 novel associations; many of the novel associat</w:t>
      </w:r>
      <w:r>
        <w:t xml:space="preserve">ions feature phenotypes close to known associations (e.g. intestinal malabsorption and celiac disease, hypo- and hyperthyroidism), but some introduce links that are not known (e.g. anemias and acne). For example, we find that DRB1*04:04 is associated with </w:t>
      </w:r>
      <w:r>
        <w:t>a family of autoimmune disorders such as rheumatoid arthritis, polymyalgia rheumatica, and connective tissue disorder, replicating signals found previously in the literature. We add to the body of known HLA associations with strong, novel effects such as t</w:t>
      </w:r>
      <w:r>
        <w:t xml:space="preserve">hat of B*39:06 on vitamin B12 deficiency anemia. Most importantly, we find several novel associations to skin and reproductive tract cancers that could prove impactful. </w:t>
      </w:r>
    </w:p>
    <w:p w:rsidR="00C25E60" w:rsidRDefault="00C25E60"/>
    <w:p w:rsidR="00C25E60" w:rsidRDefault="00D166BA">
      <w:r>
        <w:t>These genotype-phenotype associations link the HLA region of the genome to many diver</w:t>
      </w:r>
      <w:r>
        <w:t>se phenotypes and suggest avenues for uncovering relevant, novel biology and developing therapeutics; however, there are many opportunities for future studies to extend this analysis, and avenues for improvement. Given that BMA is exponential in complexity</w:t>
      </w:r>
      <w:r>
        <w:t xml:space="preserve"> with respect to the number of alleles analyzed, it is computationally infeasible to run the analysis on all BY-significant alleles for certain phenotypes. As such, it is likely that the 178 allele-phenotype associations we find are actually conservative, </w:t>
      </w:r>
      <w:r>
        <w:t>underscoring the impact of the HLA on disease risk. Additionally, the non-additivity analysis may be underpowered to determine homozygote odds ratios in some cases where those genotypes are low in number. It is surprising that we do not find any non-additi</w:t>
      </w:r>
      <w:r>
        <w:t>ve effects consistent with a recessive-only model, i.e. where the heterozygote OR overlaps 1. It is also unclear whether or not these non-additive effects can be classified as truly dominant, recessive, or co-dominant effects without additional formal mode</w:t>
      </w:r>
      <w:r>
        <w:t>l comparisons.</w:t>
      </w:r>
    </w:p>
    <w:p w:rsidR="00C25E60" w:rsidRDefault="00D166BA">
      <w:r>
        <w:t xml:space="preserve"> </w:t>
      </w:r>
    </w:p>
    <w:p w:rsidR="00C25E60" w:rsidRDefault="00D166BA">
      <w:r>
        <w:t>HLA alleles are oftentimes inherited as haplotypes that group several alleles in LD with each other. Better HLA typing could enable accurate haplotype frequency estimation and subsequent haplotype-based tests that enable testing of other t</w:t>
      </w:r>
      <w:r>
        <w:t xml:space="preserve">argeted hypotheses of HLA diversity. Interactions between HLA </w:t>
      </w:r>
      <w:proofErr w:type="spellStart"/>
      <w:r>
        <w:t>allelotypes</w:t>
      </w:r>
      <w:proofErr w:type="spellEnd"/>
      <w:r>
        <w:t xml:space="preserve"> are also not studied here and would be a logical extension of this work; examples in which interaction effects are responsible for disease risk include the effect of an HLA-B/ERAP1 i</w:t>
      </w:r>
      <w:r>
        <w:t>nteraction on ankylosing spondylitis</w:t>
      </w:r>
      <w:hyperlink r:id="rId55">
        <w:r>
          <w:rPr>
            <w:color w:val="000000"/>
            <w:vertAlign w:val="superscript"/>
          </w:rPr>
          <w:t>42</w:t>
        </w:r>
      </w:hyperlink>
      <w:r>
        <w:t xml:space="preserve"> and HLA-C/ERAP1 on psoriasis</w:t>
      </w:r>
      <w:hyperlink r:id="rId56">
        <w:r>
          <w:rPr>
            <w:color w:val="000000"/>
            <w:vertAlign w:val="superscript"/>
          </w:rPr>
          <w:t>43</w:t>
        </w:r>
      </w:hyperlink>
      <w:r>
        <w:t>. One of the functions of ERAP1 is to “trim” peptides before they are present</w:t>
      </w:r>
      <w:r>
        <w:t>ed on HLA class I proteins. These studies therefore suggest that the risk effect mediated by certain HLA alleles also depends on peptide pre-</w:t>
      </w:r>
      <w:proofErr w:type="spellStart"/>
      <w:r>
        <w:t>processing.As</w:t>
      </w:r>
      <w:proofErr w:type="spellEnd"/>
      <w:r>
        <w:t xml:space="preserve"> better reference panels, superior imputation techniques, and larger population biobanks are developed</w:t>
      </w:r>
      <w:r>
        <w:t>, the HLA region will continue to grow in importance in human genetics, and down the line, as effective therapeutic hypotheses are generated, in clinical settings.</w:t>
      </w:r>
    </w:p>
    <w:p w:rsidR="00C25E60" w:rsidRDefault="00D166BA">
      <w:pPr>
        <w:pStyle w:val="Heading1"/>
      </w:pPr>
      <w:bookmarkStart w:id="15" w:name="_2b2kdwf7dsjz" w:colFirst="0" w:colLast="0"/>
      <w:bookmarkEnd w:id="15"/>
      <w:r>
        <w:lastRenderedPageBreak/>
        <w:t>Author Contributions</w:t>
      </w:r>
    </w:p>
    <w:p w:rsidR="00C25E60" w:rsidRDefault="00C25E60"/>
    <w:p w:rsidR="00C25E60" w:rsidRDefault="00D166BA">
      <w:pPr>
        <w:pStyle w:val="Heading1"/>
      </w:pPr>
      <w:bookmarkStart w:id="16" w:name="_5zowalgxdk2i" w:colFirst="0" w:colLast="0"/>
      <w:bookmarkEnd w:id="16"/>
      <w:r>
        <w:t>Acknowledgments and Funding</w:t>
      </w:r>
    </w:p>
    <w:p w:rsidR="00C25E60" w:rsidRDefault="00D166BA">
      <w:r>
        <w:t>This research has been conducted using the</w:t>
      </w:r>
      <w:r>
        <w:t xml:space="preserve"> UK Biobank Resource under Application Number 24983, “Generating effective therapeutic hypotheses from genomic and hospital linkage data” (</w:t>
      </w:r>
      <w:hyperlink r:id="rId57">
        <w:r>
          <w:rPr>
            <w:color w:val="1155CC"/>
            <w:u w:val="single"/>
          </w:rPr>
          <w:t>http://www.ukbioba</w:t>
        </w:r>
        <w:r>
          <w:rPr>
            <w:color w:val="1155CC"/>
            <w:u w:val="single"/>
          </w:rPr>
          <w:t>nk.ac.uk/wp-content/uploads/2017/06/24983-Dr-Manuel-Rivas.pdf</w:t>
        </w:r>
      </w:hyperlink>
      <w:r>
        <w:t>). We thank all of the participants in the UK Biobank study. This work was supported by the National Human Genome Research Institute (NHGRI) of the National Institutes of Health (NIH) under award</w:t>
      </w:r>
      <w:r>
        <w:t xml:space="preserve"> R01HG010140. The content is solely the responsibility of the authors and does not necessarily represent the official views of the National Institutes of Health. G.R.V. is supported by the National Library of Medicine (NLM) T15 Continuing Education Trainin</w:t>
      </w:r>
      <w:r>
        <w:t>g Grant. M.A.R. is supported by Stanford University and a National Institute of Health center for Multi- and Trans-ethnic Mapping of Mendelian and Complex Diseases grant (5U01 HG009080).</w:t>
      </w:r>
    </w:p>
    <w:p w:rsidR="00C25E60" w:rsidRDefault="00D166BA">
      <w:pPr>
        <w:pStyle w:val="Heading1"/>
      </w:pPr>
      <w:bookmarkStart w:id="17" w:name="_eztl0bokrphg" w:colFirst="0" w:colLast="0"/>
      <w:bookmarkEnd w:id="17"/>
      <w:r>
        <w:t>Supplementary Materials</w:t>
      </w:r>
    </w:p>
    <w:p w:rsidR="00C25E60" w:rsidRDefault="00D166BA">
      <w:r>
        <w:rPr>
          <w:b/>
          <w:color w:val="0000FF"/>
        </w:rPr>
        <w:t xml:space="preserve">Supplementary Table 1. Results of systematic </w:t>
      </w:r>
      <w:r>
        <w:rPr>
          <w:b/>
          <w:color w:val="0000FF"/>
        </w:rPr>
        <w:t>literature review.</w:t>
      </w:r>
      <w:r>
        <w:rPr>
          <w:b/>
        </w:rPr>
        <w:t xml:space="preserve"> </w:t>
      </w:r>
      <w:r>
        <w:t>Allele-phenotype pairs were marked as “novel” if not found in the literature and “non-additive” if the allele was found to have a non-additive effect on the phenotype. PMIDs and links for all references were provided.</w:t>
      </w:r>
    </w:p>
    <w:p w:rsidR="00C25E60" w:rsidRDefault="00C25E60"/>
    <w:p w:rsidR="00C25E60" w:rsidRDefault="00D166BA">
      <w:pPr>
        <w:rPr>
          <w:color w:val="0000FF"/>
          <w:u w:val="single"/>
        </w:rPr>
      </w:pPr>
      <w:hyperlink r:id="rId58">
        <w:r>
          <w:rPr>
            <w:color w:val="0000FF"/>
            <w:u w:val="single"/>
          </w:rPr>
          <w:t>https://bit.ly/hla_sup1</w:t>
        </w:r>
      </w:hyperlink>
    </w:p>
    <w:p w:rsidR="00C25E60" w:rsidRDefault="00C25E60">
      <w:pPr>
        <w:rPr>
          <w:b/>
          <w:color w:val="0000FF"/>
        </w:rPr>
      </w:pPr>
    </w:p>
    <w:p w:rsidR="00C25E60" w:rsidRDefault="00D166BA">
      <w:r>
        <w:rPr>
          <w:b/>
          <w:color w:val="0000FF"/>
        </w:rPr>
        <w:t xml:space="preserve">Supplementary Table 2. Complete results table. </w:t>
      </w:r>
      <w:r>
        <w:t>Results from PLINK additive association analysis, BMA analysis, and non-additivity analysis for each allele-phenotype pair. Number of cases per phenotype and a</w:t>
      </w:r>
      <w:r>
        <w:t>llele frequencies per allele in the UK Biobank white British cohort.</w:t>
      </w:r>
    </w:p>
    <w:p w:rsidR="00C25E60" w:rsidRDefault="00D166BA">
      <w:pPr>
        <w:pStyle w:val="Heading1"/>
      </w:pPr>
      <w:bookmarkStart w:id="18" w:name="_kno85tvk1qd6" w:colFirst="0" w:colLast="0"/>
      <w:bookmarkEnd w:id="18"/>
      <w:r>
        <w:t>References</w:t>
      </w:r>
    </w:p>
    <w:p w:rsidR="00C25E60" w:rsidRDefault="00D166BA">
      <w:pPr>
        <w:widowControl w:val="0"/>
        <w:pBdr>
          <w:top w:val="nil"/>
          <w:left w:val="nil"/>
          <w:bottom w:val="nil"/>
          <w:right w:val="nil"/>
          <w:between w:val="nil"/>
        </w:pBdr>
        <w:spacing w:before="220" w:after="220" w:line="240" w:lineRule="auto"/>
        <w:rPr>
          <w:color w:val="000000"/>
        </w:rPr>
      </w:pPr>
      <w:hyperlink r:id="rId59">
        <w:r>
          <w:rPr>
            <w:color w:val="000000"/>
          </w:rPr>
          <w:t xml:space="preserve">1. Shukla, S.A., Rooney, M.S., </w:t>
        </w:r>
        <w:proofErr w:type="spellStart"/>
        <w:r>
          <w:rPr>
            <w:color w:val="000000"/>
          </w:rPr>
          <w:t>Rajasagi</w:t>
        </w:r>
        <w:proofErr w:type="spellEnd"/>
        <w:r>
          <w:rPr>
            <w:color w:val="000000"/>
          </w:rPr>
          <w:t xml:space="preserve">, M., </w:t>
        </w:r>
        <w:proofErr w:type="spellStart"/>
        <w:r>
          <w:rPr>
            <w:color w:val="000000"/>
          </w:rPr>
          <w:t>Tiao</w:t>
        </w:r>
        <w:proofErr w:type="spellEnd"/>
        <w:r>
          <w:rPr>
            <w:color w:val="000000"/>
          </w:rPr>
          <w:t xml:space="preserve">, G., Dixon, P.M., Lawrence, M.S., Stevens, J., Lane, W.J., </w:t>
        </w:r>
        <w:proofErr w:type="spellStart"/>
        <w:r>
          <w:rPr>
            <w:color w:val="000000"/>
          </w:rPr>
          <w:t>Dellagatta</w:t>
        </w:r>
        <w:proofErr w:type="spellEnd"/>
        <w:r>
          <w:rPr>
            <w:color w:val="000000"/>
          </w:rPr>
          <w:t>, J</w:t>
        </w:r>
        <w:r>
          <w:rPr>
            <w:color w:val="000000"/>
          </w:rPr>
          <w:t xml:space="preserve">.L., Steelman, S., et al. (2015). Comprehensive analysis of cancer-associated somatic mutations in class I HLA genes. Nat. </w:t>
        </w:r>
        <w:proofErr w:type="spellStart"/>
        <w:r>
          <w:rPr>
            <w:color w:val="000000"/>
          </w:rPr>
          <w:t>Biotechnol</w:t>
        </w:r>
        <w:proofErr w:type="spellEnd"/>
        <w:r>
          <w:rPr>
            <w:color w:val="000000"/>
          </w:rPr>
          <w:t xml:space="preserve">. </w:t>
        </w:r>
      </w:hyperlink>
      <w:hyperlink r:id="rId60">
        <w:r>
          <w:rPr>
            <w:i/>
            <w:color w:val="000000"/>
          </w:rPr>
          <w:t>33</w:t>
        </w:r>
      </w:hyperlink>
      <w:hyperlink r:id="rId61">
        <w:r>
          <w:rPr>
            <w:color w:val="000000"/>
          </w:rPr>
          <w:t>, 1152–1158.</w:t>
        </w:r>
      </w:hyperlink>
    </w:p>
    <w:p w:rsidR="00C25E60" w:rsidRDefault="00D166BA">
      <w:pPr>
        <w:widowControl w:val="0"/>
        <w:pBdr>
          <w:top w:val="nil"/>
          <w:left w:val="nil"/>
          <w:bottom w:val="nil"/>
          <w:right w:val="nil"/>
          <w:between w:val="nil"/>
        </w:pBdr>
        <w:spacing w:after="220" w:line="240" w:lineRule="auto"/>
        <w:rPr>
          <w:color w:val="000000"/>
        </w:rPr>
      </w:pPr>
      <w:hyperlink r:id="rId62">
        <w:r>
          <w:rPr>
            <w:color w:val="000000"/>
          </w:rPr>
          <w:t>2. Alberts, B., Johnson, A., Lewis, J., Raff, M., Roberts, K., and Walter, P. (2002). T Cells and MHC Proteins (Garland Science).</w:t>
        </w:r>
      </w:hyperlink>
    </w:p>
    <w:p w:rsidR="00C25E60" w:rsidRDefault="00D166BA">
      <w:pPr>
        <w:widowControl w:val="0"/>
        <w:pBdr>
          <w:top w:val="nil"/>
          <w:left w:val="nil"/>
          <w:bottom w:val="nil"/>
          <w:right w:val="nil"/>
          <w:between w:val="nil"/>
        </w:pBdr>
        <w:spacing w:after="220" w:line="240" w:lineRule="auto"/>
        <w:rPr>
          <w:color w:val="000000"/>
        </w:rPr>
      </w:pPr>
      <w:hyperlink r:id="rId63">
        <w:r>
          <w:rPr>
            <w:color w:val="000000"/>
          </w:rPr>
          <w:t>3. Raychaudhuri, S., Sandor, C., Stahl, E.A., Freudenberg, J., Lee, H.-S</w:t>
        </w:r>
        <w:r>
          <w:rPr>
            <w:color w:val="000000"/>
          </w:rPr>
          <w:t xml:space="preserve">., Jia, X., Alfredsson, L., </w:t>
        </w:r>
        <w:proofErr w:type="spellStart"/>
        <w:r>
          <w:rPr>
            <w:color w:val="000000"/>
          </w:rPr>
          <w:t>Padyukov</w:t>
        </w:r>
        <w:proofErr w:type="spellEnd"/>
        <w:r>
          <w:rPr>
            <w:color w:val="000000"/>
          </w:rPr>
          <w:t xml:space="preserve">, L., </w:t>
        </w:r>
        <w:proofErr w:type="spellStart"/>
        <w:r>
          <w:rPr>
            <w:color w:val="000000"/>
          </w:rPr>
          <w:t>Klareskog</w:t>
        </w:r>
        <w:proofErr w:type="spellEnd"/>
        <w:r>
          <w:rPr>
            <w:color w:val="000000"/>
          </w:rPr>
          <w:t xml:space="preserve">, L., Worthington, J., et al. (2012). Five amino acids in three HLA proteins explain most of the association between MHC and seropositive rheumatoid arthritis. Nat. Genet. </w:t>
        </w:r>
      </w:hyperlink>
      <w:hyperlink r:id="rId64">
        <w:r>
          <w:rPr>
            <w:i/>
            <w:color w:val="000000"/>
          </w:rPr>
          <w:t>44</w:t>
        </w:r>
      </w:hyperlink>
      <w:hyperlink r:id="rId65">
        <w:r>
          <w:rPr>
            <w:color w:val="000000"/>
          </w:rPr>
          <w:t>, 291–296.</w:t>
        </w:r>
      </w:hyperlink>
    </w:p>
    <w:p w:rsidR="00C25E60" w:rsidRDefault="00D166BA">
      <w:pPr>
        <w:widowControl w:val="0"/>
        <w:pBdr>
          <w:top w:val="nil"/>
          <w:left w:val="nil"/>
          <w:bottom w:val="nil"/>
          <w:right w:val="nil"/>
          <w:between w:val="nil"/>
        </w:pBdr>
        <w:spacing w:after="220" w:line="240" w:lineRule="auto"/>
        <w:rPr>
          <w:color w:val="000000"/>
        </w:rPr>
      </w:pPr>
      <w:hyperlink r:id="rId66">
        <w:r>
          <w:rPr>
            <w:color w:val="000000"/>
          </w:rPr>
          <w:t xml:space="preserve">4. De Re, V., </w:t>
        </w:r>
        <w:proofErr w:type="spellStart"/>
        <w:r>
          <w:rPr>
            <w:color w:val="000000"/>
          </w:rPr>
          <w:t>Caggiari</w:t>
        </w:r>
        <w:proofErr w:type="spellEnd"/>
        <w:r>
          <w:rPr>
            <w:color w:val="000000"/>
          </w:rPr>
          <w:t xml:space="preserve">, L., </w:t>
        </w:r>
        <w:proofErr w:type="spellStart"/>
        <w:r>
          <w:rPr>
            <w:color w:val="000000"/>
          </w:rPr>
          <w:t>Simula</w:t>
        </w:r>
        <w:proofErr w:type="spellEnd"/>
        <w:r>
          <w:rPr>
            <w:color w:val="000000"/>
          </w:rPr>
          <w:t xml:space="preserve">, M.P., De Vita, S., </w:t>
        </w:r>
        <w:proofErr w:type="spellStart"/>
        <w:r>
          <w:rPr>
            <w:color w:val="000000"/>
          </w:rPr>
          <w:t>Mazzaro</w:t>
        </w:r>
        <w:proofErr w:type="spellEnd"/>
        <w:r>
          <w:rPr>
            <w:color w:val="000000"/>
          </w:rPr>
          <w:t xml:space="preserve">, C., </w:t>
        </w:r>
        <w:proofErr w:type="spellStart"/>
        <w:r>
          <w:rPr>
            <w:color w:val="000000"/>
          </w:rPr>
          <w:t>Lenzi</w:t>
        </w:r>
        <w:proofErr w:type="spellEnd"/>
        <w:r>
          <w:rPr>
            <w:color w:val="000000"/>
          </w:rPr>
          <w:t xml:space="preserve">, M., Massimo, G.M., </w:t>
        </w:r>
        <w:r>
          <w:rPr>
            <w:color w:val="000000"/>
          </w:rPr>
          <w:lastRenderedPageBreak/>
          <w:t xml:space="preserve">Monti, G., </w:t>
        </w:r>
        <w:proofErr w:type="spellStart"/>
        <w:r>
          <w:rPr>
            <w:color w:val="000000"/>
          </w:rPr>
          <w:t>Ferri</w:t>
        </w:r>
        <w:proofErr w:type="spellEnd"/>
        <w:r>
          <w:rPr>
            <w:color w:val="000000"/>
          </w:rPr>
          <w:t>, C.</w:t>
        </w:r>
        <w:r>
          <w:rPr>
            <w:color w:val="000000"/>
          </w:rPr>
          <w:t xml:space="preserve">, </w:t>
        </w:r>
        <w:proofErr w:type="spellStart"/>
        <w:r>
          <w:rPr>
            <w:color w:val="000000"/>
          </w:rPr>
          <w:t>Zignego</w:t>
        </w:r>
        <w:proofErr w:type="spellEnd"/>
        <w:r>
          <w:rPr>
            <w:color w:val="000000"/>
          </w:rPr>
          <w:t xml:space="preserve">, A.L., et al. (2007). Role of the HLA class II: HCV-related disorders. Ann. N. Y. Acad. Sci. </w:t>
        </w:r>
      </w:hyperlink>
      <w:hyperlink r:id="rId67">
        <w:r>
          <w:rPr>
            <w:i/>
            <w:color w:val="000000"/>
          </w:rPr>
          <w:t>1107</w:t>
        </w:r>
      </w:hyperlink>
      <w:hyperlink r:id="rId68">
        <w:r>
          <w:rPr>
            <w:color w:val="000000"/>
          </w:rPr>
          <w:t>, 308–318.</w:t>
        </w:r>
      </w:hyperlink>
    </w:p>
    <w:p w:rsidR="00C25E60" w:rsidRDefault="00D166BA">
      <w:pPr>
        <w:widowControl w:val="0"/>
        <w:pBdr>
          <w:top w:val="nil"/>
          <w:left w:val="nil"/>
          <w:bottom w:val="nil"/>
          <w:right w:val="nil"/>
          <w:between w:val="nil"/>
        </w:pBdr>
        <w:spacing w:after="220" w:line="240" w:lineRule="auto"/>
        <w:rPr>
          <w:color w:val="000000"/>
        </w:rPr>
      </w:pPr>
      <w:hyperlink r:id="rId69">
        <w:r>
          <w:rPr>
            <w:color w:val="000000"/>
          </w:rPr>
          <w:t xml:space="preserve">5. Tian, C., </w:t>
        </w:r>
        <w:proofErr w:type="spellStart"/>
        <w:r>
          <w:rPr>
            <w:color w:val="000000"/>
          </w:rPr>
          <w:t>Hromatka</w:t>
        </w:r>
        <w:proofErr w:type="spellEnd"/>
        <w:r>
          <w:rPr>
            <w:color w:val="000000"/>
          </w:rPr>
          <w:t xml:space="preserve">, B.S., Kiefer, A.K., Eriksson, N., Noble, S.M., Tung, J.Y., and Hinds, D.A. (2017). Genome-wide association and HLA region fine-mapping studies identify susceptibility loci for multiple common infections. Nat. </w:t>
        </w:r>
        <w:proofErr w:type="spellStart"/>
        <w:r>
          <w:rPr>
            <w:color w:val="000000"/>
          </w:rPr>
          <w:t>Commun</w:t>
        </w:r>
        <w:proofErr w:type="spellEnd"/>
        <w:r>
          <w:rPr>
            <w:color w:val="000000"/>
          </w:rPr>
          <w:t xml:space="preserve">. </w:t>
        </w:r>
      </w:hyperlink>
      <w:hyperlink r:id="rId70">
        <w:r>
          <w:rPr>
            <w:i/>
            <w:color w:val="000000"/>
          </w:rPr>
          <w:t>8</w:t>
        </w:r>
      </w:hyperlink>
      <w:hyperlink r:id="rId71">
        <w:r>
          <w:rPr>
            <w:color w:val="000000"/>
          </w:rPr>
          <w:t>, 599.</w:t>
        </w:r>
      </w:hyperlink>
    </w:p>
    <w:p w:rsidR="00C25E60" w:rsidRDefault="00D166BA">
      <w:pPr>
        <w:widowControl w:val="0"/>
        <w:pBdr>
          <w:top w:val="nil"/>
          <w:left w:val="nil"/>
          <w:bottom w:val="nil"/>
          <w:right w:val="nil"/>
          <w:between w:val="nil"/>
        </w:pBdr>
        <w:spacing w:after="220" w:line="240" w:lineRule="auto"/>
        <w:rPr>
          <w:color w:val="000000"/>
        </w:rPr>
      </w:pPr>
      <w:hyperlink r:id="rId72">
        <w:r>
          <w:rPr>
            <w:color w:val="000000"/>
          </w:rPr>
          <w:t>6. Crosslin, D.R., Carrell, D.S., Burt, A., Kim, D.S., Underwood, J.G., Hanna,</w:t>
        </w:r>
        <w:r>
          <w:rPr>
            <w:color w:val="000000"/>
          </w:rPr>
          <w:t xml:space="preserve"> D.S., Comstock, B.A., Baldwin, E., de Andrade, M., </w:t>
        </w:r>
        <w:proofErr w:type="spellStart"/>
        <w:r>
          <w:rPr>
            <w:color w:val="000000"/>
          </w:rPr>
          <w:t>Kullo</w:t>
        </w:r>
        <w:proofErr w:type="spellEnd"/>
        <w:r>
          <w:rPr>
            <w:color w:val="000000"/>
          </w:rPr>
          <w:t xml:space="preserve">, I.J., et al. (2015). Genetic variation in the HLA region is associated with susceptibility to herpes zoster. Genes Immun. </w:t>
        </w:r>
      </w:hyperlink>
      <w:hyperlink r:id="rId73">
        <w:r>
          <w:rPr>
            <w:i/>
            <w:color w:val="000000"/>
          </w:rPr>
          <w:t>16</w:t>
        </w:r>
      </w:hyperlink>
      <w:hyperlink r:id="rId74">
        <w:r>
          <w:rPr>
            <w:color w:val="000000"/>
          </w:rPr>
          <w:t>, 1–7.</w:t>
        </w:r>
      </w:hyperlink>
    </w:p>
    <w:p w:rsidR="00C25E60" w:rsidRDefault="00D166BA">
      <w:pPr>
        <w:widowControl w:val="0"/>
        <w:pBdr>
          <w:top w:val="nil"/>
          <w:left w:val="nil"/>
          <w:bottom w:val="nil"/>
          <w:right w:val="nil"/>
          <w:between w:val="nil"/>
        </w:pBdr>
        <w:spacing w:after="220" w:line="240" w:lineRule="auto"/>
        <w:rPr>
          <w:color w:val="000000"/>
        </w:rPr>
      </w:pPr>
      <w:hyperlink r:id="rId75">
        <w:r>
          <w:rPr>
            <w:color w:val="000000"/>
          </w:rPr>
          <w:t xml:space="preserve">7. Mbarek, H., Ochi, H., Urabe, Y., Kumar, V., Kubo, M., </w:t>
        </w:r>
        <w:proofErr w:type="spellStart"/>
        <w:r>
          <w:rPr>
            <w:color w:val="000000"/>
          </w:rPr>
          <w:t>Hosono</w:t>
        </w:r>
        <w:proofErr w:type="spellEnd"/>
        <w:r>
          <w:rPr>
            <w:color w:val="000000"/>
          </w:rPr>
          <w:t xml:space="preserve">, N., Takahashi, A., </w:t>
        </w:r>
        <w:proofErr w:type="spellStart"/>
        <w:r>
          <w:rPr>
            <w:color w:val="000000"/>
          </w:rPr>
          <w:t>Kamatani</w:t>
        </w:r>
        <w:proofErr w:type="spellEnd"/>
        <w:r>
          <w:rPr>
            <w:color w:val="000000"/>
          </w:rPr>
          <w:t>, Y., Miki, D., Abe, H., et al. (2011). A genome-wide association st</w:t>
        </w:r>
        <w:r>
          <w:rPr>
            <w:color w:val="000000"/>
          </w:rPr>
          <w:t xml:space="preserve">udy of chronic hepatitis B identified novel risk locus in a Japanese population. Hum. Mol. Genet. </w:t>
        </w:r>
      </w:hyperlink>
      <w:hyperlink r:id="rId76">
        <w:r>
          <w:rPr>
            <w:i/>
            <w:color w:val="000000"/>
          </w:rPr>
          <w:t>20</w:t>
        </w:r>
      </w:hyperlink>
      <w:hyperlink r:id="rId77">
        <w:r>
          <w:rPr>
            <w:color w:val="000000"/>
          </w:rPr>
          <w:t>, 3884–3892.</w:t>
        </w:r>
      </w:hyperlink>
    </w:p>
    <w:p w:rsidR="00C25E60" w:rsidRDefault="00D166BA">
      <w:pPr>
        <w:widowControl w:val="0"/>
        <w:pBdr>
          <w:top w:val="nil"/>
          <w:left w:val="nil"/>
          <w:bottom w:val="nil"/>
          <w:right w:val="nil"/>
          <w:between w:val="nil"/>
        </w:pBdr>
        <w:spacing w:after="220" w:line="240" w:lineRule="auto"/>
        <w:rPr>
          <w:color w:val="000000"/>
        </w:rPr>
      </w:pPr>
      <w:hyperlink r:id="rId78">
        <w:r>
          <w:rPr>
            <w:color w:val="000000"/>
          </w:rPr>
          <w:t xml:space="preserve">8. Rubicz, R., </w:t>
        </w:r>
        <w:proofErr w:type="spellStart"/>
        <w:r>
          <w:rPr>
            <w:color w:val="000000"/>
          </w:rPr>
          <w:t>Yolken</w:t>
        </w:r>
        <w:proofErr w:type="spellEnd"/>
        <w:r>
          <w:rPr>
            <w:color w:val="000000"/>
          </w:rPr>
          <w:t xml:space="preserve">, R., </w:t>
        </w:r>
        <w:proofErr w:type="spellStart"/>
        <w:r>
          <w:rPr>
            <w:color w:val="000000"/>
          </w:rPr>
          <w:t>Drigalenko</w:t>
        </w:r>
        <w:proofErr w:type="spellEnd"/>
        <w:r>
          <w:rPr>
            <w:color w:val="000000"/>
          </w:rPr>
          <w:t>, E., Carless, M.A., Dyer, T.D., Bauman, L., Melton, P.E., Kent, J.W., Jr, Harley, J.B., Curran, J.E., et al. (2013). A genome-wide integrative genomic study localizes genetic factors influencing anti</w:t>
        </w:r>
        <w:r>
          <w:rPr>
            <w:color w:val="000000"/>
          </w:rPr>
          <w:t xml:space="preserve">bodies against Epstein-Barr virus nuclear antigen 1 (EBNA-1). PLoS Genet. </w:t>
        </w:r>
      </w:hyperlink>
      <w:hyperlink r:id="rId79">
        <w:r>
          <w:rPr>
            <w:i/>
            <w:color w:val="000000"/>
          </w:rPr>
          <w:t>9</w:t>
        </w:r>
      </w:hyperlink>
      <w:hyperlink r:id="rId80">
        <w:r>
          <w:rPr>
            <w:color w:val="000000"/>
          </w:rPr>
          <w:t>, e1003147.</w:t>
        </w:r>
      </w:hyperlink>
    </w:p>
    <w:p w:rsidR="00C25E60" w:rsidRDefault="00D166BA">
      <w:pPr>
        <w:widowControl w:val="0"/>
        <w:pBdr>
          <w:top w:val="nil"/>
          <w:left w:val="nil"/>
          <w:bottom w:val="nil"/>
          <w:right w:val="nil"/>
          <w:between w:val="nil"/>
        </w:pBdr>
        <w:spacing w:after="220" w:line="240" w:lineRule="auto"/>
        <w:rPr>
          <w:color w:val="000000"/>
        </w:rPr>
      </w:pPr>
      <w:hyperlink r:id="rId81">
        <w:r>
          <w:rPr>
            <w:color w:val="000000"/>
          </w:rPr>
          <w:t xml:space="preserve">9. Ripke, S., </w:t>
        </w:r>
        <w:proofErr w:type="spellStart"/>
        <w:r>
          <w:rPr>
            <w:color w:val="000000"/>
          </w:rPr>
          <w:t>O’Dushlaine</w:t>
        </w:r>
        <w:proofErr w:type="spellEnd"/>
        <w:r>
          <w:rPr>
            <w:color w:val="000000"/>
          </w:rPr>
          <w:t xml:space="preserve">, C., </w:t>
        </w:r>
        <w:proofErr w:type="spellStart"/>
        <w:r>
          <w:rPr>
            <w:color w:val="000000"/>
          </w:rPr>
          <w:t>Chambert</w:t>
        </w:r>
        <w:proofErr w:type="spellEnd"/>
        <w:r>
          <w:rPr>
            <w:color w:val="000000"/>
          </w:rPr>
          <w:t xml:space="preserve">, K., Moran, J.L., </w:t>
        </w:r>
        <w:proofErr w:type="spellStart"/>
        <w:r>
          <w:rPr>
            <w:color w:val="000000"/>
          </w:rPr>
          <w:t>Kähler</w:t>
        </w:r>
        <w:proofErr w:type="spellEnd"/>
        <w:r>
          <w:rPr>
            <w:color w:val="000000"/>
          </w:rPr>
          <w:t xml:space="preserve">, A.K., </w:t>
        </w:r>
        <w:proofErr w:type="spellStart"/>
        <w:r>
          <w:rPr>
            <w:color w:val="000000"/>
          </w:rPr>
          <w:t>Akterin</w:t>
        </w:r>
        <w:proofErr w:type="spellEnd"/>
        <w:r>
          <w:rPr>
            <w:color w:val="000000"/>
          </w:rPr>
          <w:t xml:space="preserve">, S., Bergen, S.E., Collins, A.L., Crowley, J.J., </w:t>
        </w:r>
        <w:proofErr w:type="spellStart"/>
        <w:r>
          <w:rPr>
            <w:color w:val="000000"/>
          </w:rPr>
          <w:t>Fromer</w:t>
        </w:r>
        <w:proofErr w:type="spellEnd"/>
        <w:r>
          <w:rPr>
            <w:color w:val="000000"/>
          </w:rPr>
          <w:t>, M., et al. (2013). Genome-wide association analysis identifies 13 n</w:t>
        </w:r>
        <w:r>
          <w:rPr>
            <w:color w:val="000000"/>
          </w:rPr>
          <w:t xml:space="preserve">ew risk loci for schizophrenia. Nat. Genet. </w:t>
        </w:r>
      </w:hyperlink>
      <w:hyperlink r:id="rId82">
        <w:r>
          <w:rPr>
            <w:i/>
            <w:color w:val="000000"/>
          </w:rPr>
          <w:t>45</w:t>
        </w:r>
      </w:hyperlink>
      <w:hyperlink r:id="rId83">
        <w:r>
          <w:rPr>
            <w:color w:val="000000"/>
          </w:rPr>
          <w:t>, 1150–1159.</w:t>
        </w:r>
      </w:hyperlink>
    </w:p>
    <w:p w:rsidR="00C25E60" w:rsidRDefault="00D166BA">
      <w:pPr>
        <w:widowControl w:val="0"/>
        <w:pBdr>
          <w:top w:val="nil"/>
          <w:left w:val="nil"/>
          <w:bottom w:val="nil"/>
          <w:right w:val="nil"/>
          <w:between w:val="nil"/>
        </w:pBdr>
        <w:spacing w:after="220" w:line="240" w:lineRule="auto"/>
        <w:rPr>
          <w:color w:val="000000"/>
        </w:rPr>
      </w:pPr>
      <w:hyperlink r:id="rId84">
        <w:r>
          <w:rPr>
            <w:color w:val="000000"/>
          </w:rPr>
          <w:t xml:space="preserve">10. Pappas, D.J., </w:t>
        </w:r>
        <w:proofErr w:type="spellStart"/>
        <w:r>
          <w:rPr>
            <w:color w:val="000000"/>
          </w:rPr>
          <w:t>Lizee</w:t>
        </w:r>
        <w:proofErr w:type="spellEnd"/>
        <w:r>
          <w:rPr>
            <w:color w:val="000000"/>
          </w:rPr>
          <w:t xml:space="preserve">, A., </w:t>
        </w:r>
        <w:proofErr w:type="spellStart"/>
        <w:r>
          <w:rPr>
            <w:color w:val="000000"/>
          </w:rPr>
          <w:t>Paunic</w:t>
        </w:r>
        <w:proofErr w:type="spellEnd"/>
        <w:r>
          <w:rPr>
            <w:color w:val="000000"/>
          </w:rPr>
          <w:t xml:space="preserve">, V., </w:t>
        </w:r>
        <w:proofErr w:type="spellStart"/>
        <w:r>
          <w:rPr>
            <w:color w:val="000000"/>
          </w:rPr>
          <w:t>Beutner</w:t>
        </w:r>
        <w:proofErr w:type="spellEnd"/>
        <w:r>
          <w:rPr>
            <w:color w:val="000000"/>
          </w:rPr>
          <w:t xml:space="preserve">, K.R., </w:t>
        </w:r>
        <w:proofErr w:type="spellStart"/>
        <w:r>
          <w:rPr>
            <w:color w:val="000000"/>
          </w:rPr>
          <w:t>Motyer</w:t>
        </w:r>
        <w:proofErr w:type="spellEnd"/>
        <w:r>
          <w:rPr>
            <w:color w:val="000000"/>
          </w:rPr>
          <w:t xml:space="preserve">, A., </w:t>
        </w:r>
        <w:proofErr w:type="spellStart"/>
        <w:r>
          <w:rPr>
            <w:color w:val="000000"/>
          </w:rPr>
          <w:t>Vukcevic</w:t>
        </w:r>
        <w:proofErr w:type="spellEnd"/>
        <w:r>
          <w:rPr>
            <w:color w:val="000000"/>
          </w:rPr>
          <w:t xml:space="preserve">, D., Leslie, S., </w:t>
        </w:r>
        <w:proofErr w:type="spellStart"/>
        <w:r>
          <w:rPr>
            <w:color w:val="000000"/>
          </w:rPr>
          <w:t>Biesiada</w:t>
        </w:r>
        <w:proofErr w:type="spellEnd"/>
        <w:r>
          <w:rPr>
            <w:color w:val="000000"/>
          </w:rPr>
          <w:t xml:space="preserve">, J., </w:t>
        </w:r>
        <w:proofErr w:type="spellStart"/>
        <w:r>
          <w:rPr>
            <w:color w:val="000000"/>
          </w:rPr>
          <w:t>Meller</w:t>
        </w:r>
        <w:proofErr w:type="spellEnd"/>
        <w:r>
          <w:rPr>
            <w:color w:val="000000"/>
          </w:rPr>
          <w:t xml:space="preserve">, J., Taylor, K.D., et al. (2018). Significant variation between SNP-based HLA imputations in diverse populations: the last mile is the hardest. Pharmacogenomics J. </w:t>
        </w:r>
      </w:hyperlink>
      <w:hyperlink r:id="rId85">
        <w:r>
          <w:rPr>
            <w:i/>
            <w:color w:val="000000"/>
          </w:rPr>
          <w:t>18</w:t>
        </w:r>
      </w:hyperlink>
      <w:hyperlink r:id="rId86">
        <w:r>
          <w:rPr>
            <w:color w:val="000000"/>
          </w:rPr>
          <w:t>, 367–376.</w:t>
        </w:r>
      </w:hyperlink>
    </w:p>
    <w:p w:rsidR="00C25E60" w:rsidRDefault="00D166BA">
      <w:pPr>
        <w:widowControl w:val="0"/>
        <w:pBdr>
          <w:top w:val="nil"/>
          <w:left w:val="nil"/>
          <w:bottom w:val="nil"/>
          <w:right w:val="nil"/>
          <w:between w:val="nil"/>
        </w:pBdr>
        <w:spacing w:after="220" w:line="240" w:lineRule="auto"/>
        <w:rPr>
          <w:color w:val="000000"/>
        </w:rPr>
      </w:pPr>
      <w:hyperlink r:id="rId87">
        <w:r>
          <w:rPr>
            <w:color w:val="000000"/>
          </w:rPr>
          <w:t xml:space="preserve">11. Kennedy, A.E., </w:t>
        </w:r>
        <w:proofErr w:type="spellStart"/>
        <w:r>
          <w:rPr>
            <w:color w:val="000000"/>
          </w:rPr>
          <w:t>Ozbek</w:t>
        </w:r>
        <w:proofErr w:type="spellEnd"/>
        <w:r>
          <w:rPr>
            <w:color w:val="000000"/>
          </w:rPr>
          <w:t xml:space="preserve">, U., and </w:t>
        </w:r>
        <w:proofErr w:type="spellStart"/>
        <w:r>
          <w:rPr>
            <w:color w:val="000000"/>
          </w:rPr>
          <w:t>Dorak</w:t>
        </w:r>
        <w:proofErr w:type="spellEnd"/>
        <w:r>
          <w:rPr>
            <w:color w:val="000000"/>
          </w:rPr>
          <w:t xml:space="preserve">, M.T. (2017). What has GWAS done for HLA and disease </w:t>
        </w:r>
        <w:r>
          <w:rPr>
            <w:color w:val="000000"/>
          </w:rPr>
          <w:t xml:space="preserve">associations? Int. J. </w:t>
        </w:r>
        <w:proofErr w:type="spellStart"/>
        <w:r>
          <w:rPr>
            <w:color w:val="000000"/>
          </w:rPr>
          <w:t>Immunogenet</w:t>
        </w:r>
        <w:proofErr w:type="spellEnd"/>
        <w:r>
          <w:rPr>
            <w:color w:val="000000"/>
          </w:rPr>
          <w:t xml:space="preserve">. </w:t>
        </w:r>
      </w:hyperlink>
      <w:hyperlink r:id="rId88">
        <w:r>
          <w:rPr>
            <w:i/>
            <w:color w:val="000000"/>
          </w:rPr>
          <w:t>44</w:t>
        </w:r>
      </w:hyperlink>
      <w:hyperlink r:id="rId89">
        <w:r>
          <w:rPr>
            <w:color w:val="000000"/>
          </w:rPr>
          <w:t>, 195–211.</w:t>
        </w:r>
      </w:hyperlink>
    </w:p>
    <w:p w:rsidR="00C25E60" w:rsidRDefault="00D166BA">
      <w:pPr>
        <w:widowControl w:val="0"/>
        <w:pBdr>
          <w:top w:val="nil"/>
          <w:left w:val="nil"/>
          <w:bottom w:val="nil"/>
          <w:right w:val="nil"/>
          <w:between w:val="nil"/>
        </w:pBdr>
        <w:spacing w:after="220" w:line="240" w:lineRule="auto"/>
        <w:rPr>
          <w:color w:val="000000"/>
        </w:rPr>
      </w:pPr>
      <w:hyperlink r:id="rId90">
        <w:r>
          <w:rPr>
            <w:color w:val="000000"/>
          </w:rPr>
          <w:t xml:space="preserve">12. </w:t>
        </w:r>
        <w:proofErr w:type="spellStart"/>
        <w:r>
          <w:rPr>
            <w:color w:val="000000"/>
          </w:rPr>
          <w:t>Jeanmougin</w:t>
        </w:r>
        <w:proofErr w:type="spellEnd"/>
        <w:r>
          <w:rPr>
            <w:color w:val="000000"/>
          </w:rPr>
          <w:t xml:space="preserve">, M., </w:t>
        </w:r>
        <w:proofErr w:type="spellStart"/>
        <w:r>
          <w:rPr>
            <w:color w:val="000000"/>
          </w:rPr>
          <w:t>Noirel</w:t>
        </w:r>
        <w:proofErr w:type="spellEnd"/>
        <w:r>
          <w:rPr>
            <w:color w:val="000000"/>
          </w:rPr>
          <w:t xml:space="preserve">, J., </w:t>
        </w:r>
        <w:proofErr w:type="spellStart"/>
        <w:r>
          <w:rPr>
            <w:color w:val="000000"/>
          </w:rPr>
          <w:t>Coulonges</w:t>
        </w:r>
        <w:proofErr w:type="spellEnd"/>
        <w:r>
          <w:rPr>
            <w:color w:val="000000"/>
          </w:rPr>
          <w:t>, C.,</w:t>
        </w:r>
        <w:r>
          <w:rPr>
            <w:color w:val="000000"/>
          </w:rPr>
          <w:t xml:space="preserve"> and </w:t>
        </w:r>
        <w:proofErr w:type="spellStart"/>
        <w:r>
          <w:rPr>
            <w:color w:val="000000"/>
          </w:rPr>
          <w:t>Zagury</w:t>
        </w:r>
        <w:proofErr w:type="spellEnd"/>
        <w:r>
          <w:rPr>
            <w:color w:val="000000"/>
          </w:rPr>
          <w:t xml:space="preserve">, J.-F. (2017). HLA-check: evaluating HLA data from SNP information. BMC Bioinformatics </w:t>
        </w:r>
      </w:hyperlink>
      <w:hyperlink r:id="rId91">
        <w:r>
          <w:rPr>
            <w:i/>
            <w:color w:val="000000"/>
          </w:rPr>
          <w:t>18</w:t>
        </w:r>
      </w:hyperlink>
      <w:hyperlink r:id="rId92">
        <w:r>
          <w:rPr>
            <w:color w:val="000000"/>
          </w:rPr>
          <w:t>, 334.</w:t>
        </w:r>
      </w:hyperlink>
    </w:p>
    <w:p w:rsidR="00C25E60" w:rsidRDefault="00D166BA">
      <w:pPr>
        <w:widowControl w:val="0"/>
        <w:pBdr>
          <w:top w:val="nil"/>
          <w:left w:val="nil"/>
          <w:bottom w:val="nil"/>
          <w:right w:val="nil"/>
          <w:between w:val="nil"/>
        </w:pBdr>
        <w:spacing w:after="220" w:line="240" w:lineRule="auto"/>
        <w:rPr>
          <w:color w:val="000000"/>
        </w:rPr>
      </w:pPr>
      <w:hyperlink r:id="rId93">
        <w:r>
          <w:rPr>
            <w:color w:val="000000"/>
          </w:rPr>
          <w:t xml:space="preserve">13. Dilthey, A., Leslie, S., </w:t>
        </w:r>
        <w:proofErr w:type="spellStart"/>
        <w:r>
          <w:rPr>
            <w:color w:val="000000"/>
          </w:rPr>
          <w:t>Moutsianas</w:t>
        </w:r>
        <w:proofErr w:type="spellEnd"/>
        <w:r>
          <w:rPr>
            <w:color w:val="000000"/>
          </w:rPr>
          <w:t xml:space="preserve">, L., Shen, J., Cox, C., Nelson, M.R., and </w:t>
        </w:r>
        <w:proofErr w:type="spellStart"/>
        <w:r>
          <w:rPr>
            <w:color w:val="000000"/>
          </w:rPr>
          <w:t>McVean</w:t>
        </w:r>
        <w:proofErr w:type="spellEnd"/>
        <w:r>
          <w:rPr>
            <w:color w:val="000000"/>
          </w:rPr>
          <w:t xml:space="preserve">, G. (2013). Multi-population classical HLA type imputation. PLoS </w:t>
        </w:r>
        <w:proofErr w:type="spellStart"/>
        <w:r>
          <w:rPr>
            <w:color w:val="000000"/>
          </w:rPr>
          <w:t>Comput</w:t>
        </w:r>
        <w:proofErr w:type="spellEnd"/>
        <w:r>
          <w:rPr>
            <w:color w:val="000000"/>
          </w:rPr>
          <w:t xml:space="preserve">. Biol. </w:t>
        </w:r>
      </w:hyperlink>
      <w:hyperlink r:id="rId94">
        <w:r>
          <w:rPr>
            <w:i/>
            <w:color w:val="000000"/>
          </w:rPr>
          <w:t>9</w:t>
        </w:r>
      </w:hyperlink>
      <w:hyperlink r:id="rId95">
        <w:r>
          <w:rPr>
            <w:color w:val="000000"/>
          </w:rPr>
          <w:t>, e1002877.</w:t>
        </w:r>
      </w:hyperlink>
    </w:p>
    <w:p w:rsidR="00C25E60" w:rsidRDefault="00D166BA">
      <w:pPr>
        <w:widowControl w:val="0"/>
        <w:pBdr>
          <w:top w:val="nil"/>
          <w:left w:val="nil"/>
          <w:bottom w:val="nil"/>
          <w:right w:val="nil"/>
          <w:between w:val="nil"/>
        </w:pBdr>
        <w:spacing w:after="220" w:line="240" w:lineRule="auto"/>
        <w:rPr>
          <w:color w:val="000000"/>
        </w:rPr>
      </w:pPr>
      <w:hyperlink r:id="rId96">
        <w:r>
          <w:rPr>
            <w:color w:val="000000"/>
          </w:rPr>
          <w:t xml:space="preserve">14. Degenhardt, F., Wendorff, M., Wittig, M., </w:t>
        </w:r>
        <w:proofErr w:type="spellStart"/>
        <w:r>
          <w:rPr>
            <w:color w:val="000000"/>
          </w:rPr>
          <w:t>Ellinghaus</w:t>
        </w:r>
        <w:proofErr w:type="spellEnd"/>
        <w:r>
          <w:rPr>
            <w:color w:val="000000"/>
          </w:rPr>
          <w:t xml:space="preserve">, E., Datta, L.W., Schembri, J., Ng, S.C., Rosati, E., </w:t>
        </w:r>
        <w:proofErr w:type="spellStart"/>
        <w:r>
          <w:rPr>
            <w:color w:val="000000"/>
          </w:rPr>
          <w:t>Hübenthal</w:t>
        </w:r>
        <w:proofErr w:type="spellEnd"/>
        <w:r>
          <w:rPr>
            <w:color w:val="000000"/>
          </w:rPr>
          <w:t xml:space="preserve">, M., </w:t>
        </w:r>
        <w:proofErr w:type="spellStart"/>
        <w:r>
          <w:rPr>
            <w:color w:val="000000"/>
          </w:rPr>
          <w:t>Ellinghaus</w:t>
        </w:r>
        <w:proofErr w:type="spellEnd"/>
        <w:r>
          <w:rPr>
            <w:color w:val="000000"/>
          </w:rPr>
          <w:t>, D., et al. (2019)</w:t>
        </w:r>
        <w:r>
          <w:rPr>
            <w:color w:val="000000"/>
          </w:rPr>
          <w:t xml:space="preserve">. Construction and benchmarking of a multi-ethnic reference panel for the imputation of HLA class I and II alleles. Hum. Mol. Genet. </w:t>
        </w:r>
      </w:hyperlink>
      <w:hyperlink r:id="rId97">
        <w:r>
          <w:rPr>
            <w:i/>
            <w:color w:val="000000"/>
          </w:rPr>
          <w:t>28</w:t>
        </w:r>
      </w:hyperlink>
      <w:hyperlink r:id="rId98">
        <w:r>
          <w:rPr>
            <w:color w:val="000000"/>
          </w:rPr>
          <w:t>, 2078–2092.</w:t>
        </w:r>
      </w:hyperlink>
    </w:p>
    <w:p w:rsidR="00C25E60" w:rsidRDefault="00D166BA">
      <w:pPr>
        <w:widowControl w:val="0"/>
        <w:pBdr>
          <w:top w:val="nil"/>
          <w:left w:val="nil"/>
          <w:bottom w:val="nil"/>
          <w:right w:val="nil"/>
          <w:between w:val="nil"/>
        </w:pBdr>
        <w:spacing w:after="220" w:line="240" w:lineRule="auto"/>
        <w:rPr>
          <w:color w:val="000000"/>
        </w:rPr>
      </w:pPr>
      <w:hyperlink r:id="rId99">
        <w:r>
          <w:rPr>
            <w:color w:val="000000"/>
          </w:rPr>
          <w:t xml:space="preserve">15. Lenz, T.L., Deutsch, A.J., Han, B., Hu, X., Okada, Y., Eyre, S., Knapp, M., </w:t>
        </w:r>
        <w:proofErr w:type="spellStart"/>
        <w:r>
          <w:rPr>
            <w:color w:val="000000"/>
          </w:rPr>
          <w:t>Zhernakova</w:t>
        </w:r>
        <w:proofErr w:type="spellEnd"/>
        <w:r>
          <w:rPr>
            <w:color w:val="000000"/>
          </w:rPr>
          <w:t xml:space="preserve">, A., Huizinga, T.W.J., </w:t>
        </w:r>
        <w:proofErr w:type="spellStart"/>
        <w:r>
          <w:rPr>
            <w:color w:val="000000"/>
          </w:rPr>
          <w:t>Abecasis</w:t>
        </w:r>
        <w:proofErr w:type="spellEnd"/>
        <w:r>
          <w:rPr>
            <w:color w:val="000000"/>
          </w:rPr>
          <w:t>, G., et al. (2015). Widespread non-additive and interaction effects within HLA</w:t>
        </w:r>
        <w:r>
          <w:rPr>
            <w:color w:val="000000"/>
          </w:rPr>
          <w:t xml:space="preserve"> loci modulate the risk of autoimmune diseases. Nat. Genet. </w:t>
        </w:r>
      </w:hyperlink>
      <w:hyperlink r:id="rId100">
        <w:r>
          <w:rPr>
            <w:i/>
            <w:color w:val="000000"/>
          </w:rPr>
          <w:t>47</w:t>
        </w:r>
      </w:hyperlink>
      <w:hyperlink r:id="rId101">
        <w:r>
          <w:rPr>
            <w:color w:val="000000"/>
          </w:rPr>
          <w:t>, 1085–1090.</w:t>
        </w:r>
      </w:hyperlink>
    </w:p>
    <w:p w:rsidR="00C25E60" w:rsidRDefault="00D166BA">
      <w:pPr>
        <w:widowControl w:val="0"/>
        <w:pBdr>
          <w:top w:val="nil"/>
          <w:left w:val="nil"/>
          <w:bottom w:val="nil"/>
          <w:right w:val="nil"/>
          <w:between w:val="nil"/>
        </w:pBdr>
        <w:spacing w:after="220" w:line="240" w:lineRule="auto"/>
        <w:rPr>
          <w:color w:val="000000"/>
        </w:rPr>
      </w:pPr>
      <w:hyperlink r:id="rId102">
        <w:r>
          <w:rPr>
            <w:color w:val="000000"/>
          </w:rPr>
          <w:t xml:space="preserve">16. </w:t>
        </w:r>
        <w:proofErr w:type="spellStart"/>
        <w:r>
          <w:rPr>
            <w:color w:val="000000"/>
          </w:rPr>
          <w:t>DeBoever</w:t>
        </w:r>
        <w:proofErr w:type="spellEnd"/>
        <w:r>
          <w:rPr>
            <w:color w:val="000000"/>
          </w:rPr>
          <w:t>, C., T</w:t>
        </w:r>
        <w:r>
          <w:rPr>
            <w:color w:val="000000"/>
          </w:rPr>
          <w:t xml:space="preserve">anigawa, Y., Lindholm, M.E., McInnes, G., </w:t>
        </w:r>
        <w:proofErr w:type="spellStart"/>
        <w:r>
          <w:rPr>
            <w:color w:val="000000"/>
          </w:rPr>
          <w:t>Lavertu</w:t>
        </w:r>
        <w:proofErr w:type="spellEnd"/>
        <w:r>
          <w:rPr>
            <w:color w:val="000000"/>
          </w:rPr>
          <w:t xml:space="preserve">, A., </w:t>
        </w:r>
        <w:proofErr w:type="spellStart"/>
        <w:r>
          <w:rPr>
            <w:color w:val="000000"/>
          </w:rPr>
          <w:t>Ingelsson</w:t>
        </w:r>
        <w:proofErr w:type="spellEnd"/>
        <w:r>
          <w:rPr>
            <w:color w:val="000000"/>
          </w:rPr>
          <w:t xml:space="preserve">, E., Chang, C., Ashley, E.A., Bustamante, C.D., Daly, M.J., et al. (2018). Medical relevance of protein-truncating variants across 337,205 individuals in the UK Biobank study. Nat. </w:t>
        </w:r>
        <w:proofErr w:type="spellStart"/>
        <w:r>
          <w:rPr>
            <w:color w:val="000000"/>
          </w:rPr>
          <w:t>Commun</w:t>
        </w:r>
        <w:proofErr w:type="spellEnd"/>
        <w:r>
          <w:rPr>
            <w:color w:val="000000"/>
          </w:rPr>
          <w:t xml:space="preserve">. </w:t>
        </w:r>
      </w:hyperlink>
      <w:hyperlink r:id="rId103">
        <w:r>
          <w:rPr>
            <w:i/>
            <w:color w:val="000000"/>
          </w:rPr>
          <w:t>9</w:t>
        </w:r>
      </w:hyperlink>
      <w:hyperlink r:id="rId104">
        <w:r>
          <w:rPr>
            <w:color w:val="000000"/>
          </w:rPr>
          <w:t>, 1612.</w:t>
        </w:r>
      </w:hyperlink>
    </w:p>
    <w:p w:rsidR="00C25E60" w:rsidRDefault="00D166BA">
      <w:pPr>
        <w:widowControl w:val="0"/>
        <w:pBdr>
          <w:top w:val="nil"/>
          <w:left w:val="nil"/>
          <w:bottom w:val="nil"/>
          <w:right w:val="nil"/>
          <w:between w:val="nil"/>
        </w:pBdr>
        <w:spacing w:after="220" w:line="240" w:lineRule="auto"/>
        <w:rPr>
          <w:color w:val="000000"/>
        </w:rPr>
      </w:pPr>
      <w:hyperlink r:id="rId105">
        <w:r>
          <w:rPr>
            <w:color w:val="000000"/>
          </w:rPr>
          <w:t xml:space="preserve">17. Purcell, S., Neale, B., Todd-Brown, K., Thomas, L., Ferreira, M.A.R., Bender, D., </w:t>
        </w:r>
        <w:proofErr w:type="spellStart"/>
        <w:r>
          <w:rPr>
            <w:color w:val="000000"/>
          </w:rPr>
          <w:t>M</w:t>
        </w:r>
        <w:r>
          <w:rPr>
            <w:color w:val="000000"/>
          </w:rPr>
          <w:t>aller</w:t>
        </w:r>
        <w:proofErr w:type="spellEnd"/>
        <w:r>
          <w:rPr>
            <w:color w:val="000000"/>
          </w:rPr>
          <w:t xml:space="preserve">, J., </w:t>
        </w:r>
        <w:proofErr w:type="spellStart"/>
        <w:r>
          <w:rPr>
            <w:color w:val="000000"/>
          </w:rPr>
          <w:t>Sklar</w:t>
        </w:r>
        <w:proofErr w:type="spellEnd"/>
        <w:r>
          <w:rPr>
            <w:color w:val="000000"/>
          </w:rPr>
          <w:t xml:space="preserve">, P., de Bakker, P.I.W., Daly, M.J., et al. (2007). PLINK: a tool set for whole-genome association and population-based linkage analyses. Am. J. Hum. Genet. </w:t>
        </w:r>
      </w:hyperlink>
      <w:hyperlink r:id="rId106">
        <w:r>
          <w:rPr>
            <w:i/>
            <w:color w:val="000000"/>
          </w:rPr>
          <w:t>81</w:t>
        </w:r>
      </w:hyperlink>
      <w:hyperlink r:id="rId107">
        <w:r>
          <w:rPr>
            <w:color w:val="000000"/>
          </w:rPr>
          <w:t>, 559–575.</w:t>
        </w:r>
      </w:hyperlink>
    </w:p>
    <w:p w:rsidR="00C25E60" w:rsidRDefault="00D166BA">
      <w:pPr>
        <w:widowControl w:val="0"/>
        <w:pBdr>
          <w:top w:val="nil"/>
          <w:left w:val="nil"/>
          <w:bottom w:val="nil"/>
          <w:right w:val="nil"/>
          <w:between w:val="nil"/>
        </w:pBdr>
        <w:spacing w:after="220" w:line="240" w:lineRule="auto"/>
        <w:rPr>
          <w:color w:val="000000"/>
        </w:rPr>
      </w:pPr>
      <w:hyperlink r:id="rId108">
        <w:r>
          <w:rPr>
            <w:color w:val="000000"/>
          </w:rPr>
          <w:t xml:space="preserve">18. Firth, D. (1993). Bias Reduction of Maximum Likelihood Estimates. </w:t>
        </w:r>
        <w:proofErr w:type="spellStart"/>
        <w:r>
          <w:rPr>
            <w:color w:val="000000"/>
          </w:rPr>
          <w:t>Biometrika</w:t>
        </w:r>
        <w:proofErr w:type="spellEnd"/>
        <w:r>
          <w:rPr>
            <w:color w:val="000000"/>
          </w:rPr>
          <w:t xml:space="preserve"> </w:t>
        </w:r>
      </w:hyperlink>
      <w:hyperlink r:id="rId109">
        <w:r>
          <w:rPr>
            <w:i/>
            <w:color w:val="000000"/>
          </w:rPr>
          <w:t>80</w:t>
        </w:r>
      </w:hyperlink>
      <w:hyperlink r:id="rId110">
        <w:r>
          <w:rPr>
            <w:color w:val="000000"/>
          </w:rPr>
          <w:t>, 27–38.</w:t>
        </w:r>
      </w:hyperlink>
    </w:p>
    <w:p w:rsidR="00C25E60" w:rsidRDefault="00D166BA">
      <w:pPr>
        <w:widowControl w:val="0"/>
        <w:pBdr>
          <w:top w:val="nil"/>
          <w:left w:val="nil"/>
          <w:bottom w:val="nil"/>
          <w:right w:val="nil"/>
          <w:between w:val="nil"/>
        </w:pBdr>
        <w:spacing w:after="220" w:line="240" w:lineRule="auto"/>
        <w:rPr>
          <w:color w:val="000000"/>
        </w:rPr>
      </w:pPr>
      <w:hyperlink r:id="rId111">
        <w:r>
          <w:rPr>
            <w:color w:val="000000"/>
          </w:rPr>
          <w:t xml:space="preserve">19. </w:t>
        </w:r>
        <w:proofErr w:type="spellStart"/>
        <w:r>
          <w:rPr>
            <w:color w:val="000000"/>
          </w:rPr>
          <w:t>Lek</w:t>
        </w:r>
        <w:proofErr w:type="spellEnd"/>
        <w:r>
          <w:rPr>
            <w:color w:val="000000"/>
          </w:rPr>
          <w:t xml:space="preserve">, M., </w:t>
        </w:r>
        <w:proofErr w:type="spellStart"/>
        <w:r>
          <w:rPr>
            <w:color w:val="000000"/>
          </w:rPr>
          <w:t>Karczewski</w:t>
        </w:r>
        <w:proofErr w:type="spellEnd"/>
        <w:r>
          <w:rPr>
            <w:color w:val="000000"/>
          </w:rPr>
          <w:t xml:space="preserve">, K.J., </w:t>
        </w:r>
        <w:proofErr w:type="spellStart"/>
        <w:r>
          <w:rPr>
            <w:color w:val="000000"/>
          </w:rPr>
          <w:t>Minikel</w:t>
        </w:r>
        <w:proofErr w:type="spellEnd"/>
        <w:r>
          <w:rPr>
            <w:color w:val="000000"/>
          </w:rPr>
          <w:t xml:space="preserve">, E.V., </w:t>
        </w:r>
        <w:proofErr w:type="spellStart"/>
        <w:r>
          <w:rPr>
            <w:color w:val="000000"/>
          </w:rPr>
          <w:t>Samocha</w:t>
        </w:r>
        <w:proofErr w:type="spellEnd"/>
        <w:r>
          <w:rPr>
            <w:color w:val="000000"/>
          </w:rPr>
          <w:t>, K.E., Banks, E., Fennell, T., O’Donnell-Luria, A.H., Ware, J.S., Hill, A.J., Cummings, B.B., et al. (2016). Ana</w:t>
        </w:r>
        <w:r>
          <w:rPr>
            <w:color w:val="000000"/>
          </w:rPr>
          <w:t xml:space="preserve">lysis of protein-coding genetic variation in 60,706 humans. Nature </w:t>
        </w:r>
      </w:hyperlink>
      <w:hyperlink r:id="rId112">
        <w:r>
          <w:rPr>
            <w:i/>
            <w:color w:val="000000"/>
          </w:rPr>
          <w:t>536</w:t>
        </w:r>
      </w:hyperlink>
      <w:hyperlink r:id="rId113">
        <w:r>
          <w:rPr>
            <w:color w:val="000000"/>
          </w:rPr>
          <w:t>, 285–291.</w:t>
        </w:r>
      </w:hyperlink>
    </w:p>
    <w:p w:rsidR="00C25E60" w:rsidRDefault="00D166BA">
      <w:pPr>
        <w:widowControl w:val="0"/>
        <w:pBdr>
          <w:top w:val="nil"/>
          <w:left w:val="nil"/>
          <w:bottom w:val="nil"/>
          <w:right w:val="nil"/>
          <w:between w:val="nil"/>
        </w:pBdr>
        <w:spacing w:after="220" w:line="240" w:lineRule="auto"/>
        <w:rPr>
          <w:color w:val="000000"/>
        </w:rPr>
      </w:pPr>
      <w:hyperlink r:id="rId114">
        <w:r>
          <w:rPr>
            <w:color w:val="000000"/>
          </w:rPr>
          <w:t xml:space="preserve">20. </w:t>
        </w:r>
        <w:proofErr w:type="spellStart"/>
        <w:r>
          <w:rPr>
            <w:color w:val="000000"/>
          </w:rPr>
          <w:t>Benjamini</w:t>
        </w:r>
        <w:proofErr w:type="spellEnd"/>
        <w:r>
          <w:rPr>
            <w:color w:val="000000"/>
          </w:rPr>
          <w:t xml:space="preserve">, Y., and </w:t>
        </w:r>
        <w:proofErr w:type="spellStart"/>
        <w:r>
          <w:rPr>
            <w:color w:val="000000"/>
          </w:rPr>
          <w:t>Yekutieli</w:t>
        </w:r>
        <w:proofErr w:type="spellEnd"/>
        <w:r>
          <w:rPr>
            <w:color w:val="000000"/>
          </w:rPr>
          <w:t xml:space="preserve">, D. (2001). The Control of the False Discovery Rate in Multiple Testing under Dependency. Ann. Stat. </w:t>
        </w:r>
      </w:hyperlink>
      <w:hyperlink r:id="rId115">
        <w:r>
          <w:rPr>
            <w:i/>
            <w:color w:val="000000"/>
          </w:rPr>
          <w:t>29</w:t>
        </w:r>
      </w:hyperlink>
      <w:hyperlink r:id="rId116">
        <w:r>
          <w:rPr>
            <w:color w:val="000000"/>
          </w:rPr>
          <w:t>, 1165–1188.</w:t>
        </w:r>
      </w:hyperlink>
    </w:p>
    <w:p w:rsidR="00C25E60" w:rsidRDefault="00D166BA">
      <w:pPr>
        <w:widowControl w:val="0"/>
        <w:pBdr>
          <w:top w:val="nil"/>
          <w:left w:val="nil"/>
          <w:bottom w:val="nil"/>
          <w:right w:val="nil"/>
          <w:between w:val="nil"/>
        </w:pBdr>
        <w:spacing w:after="220" w:line="240" w:lineRule="auto"/>
        <w:rPr>
          <w:color w:val="000000"/>
        </w:rPr>
      </w:pPr>
      <w:hyperlink r:id="rId117">
        <w:r>
          <w:rPr>
            <w:color w:val="000000"/>
          </w:rPr>
          <w:t xml:space="preserve">21. Raftery, A.E., Madigan, D., and </w:t>
        </w:r>
        <w:proofErr w:type="spellStart"/>
        <w:r>
          <w:rPr>
            <w:color w:val="000000"/>
          </w:rPr>
          <w:t>Hoeting</w:t>
        </w:r>
        <w:proofErr w:type="spellEnd"/>
        <w:r>
          <w:rPr>
            <w:color w:val="000000"/>
          </w:rPr>
          <w:t xml:space="preserve">, J.A. (1997). Bayesian Model Averaging for Linear Regression Models. J. Am. Stat. Assoc. </w:t>
        </w:r>
      </w:hyperlink>
      <w:hyperlink r:id="rId118">
        <w:r>
          <w:rPr>
            <w:i/>
            <w:color w:val="000000"/>
          </w:rPr>
          <w:t>92</w:t>
        </w:r>
      </w:hyperlink>
      <w:hyperlink r:id="rId119">
        <w:r>
          <w:rPr>
            <w:color w:val="000000"/>
          </w:rPr>
          <w:t>, 179–191.</w:t>
        </w:r>
      </w:hyperlink>
    </w:p>
    <w:p w:rsidR="00C25E60" w:rsidRDefault="00D166BA">
      <w:pPr>
        <w:widowControl w:val="0"/>
        <w:pBdr>
          <w:top w:val="nil"/>
          <w:left w:val="nil"/>
          <w:bottom w:val="nil"/>
          <w:right w:val="nil"/>
          <w:between w:val="nil"/>
        </w:pBdr>
        <w:spacing w:after="220" w:line="240" w:lineRule="auto"/>
        <w:rPr>
          <w:color w:val="000000"/>
        </w:rPr>
      </w:pPr>
      <w:hyperlink r:id="rId120">
        <w:r>
          <w:rPr>
            <w:color w:val="000000"/>
          </w:rPr>
          <w:t>22. Akaike, H. (2011). Akaike’s Information Criterion. International Encyclopedia o</w:t>
        </w:r>
        <w:r>
          <w:rPr>
            <w:color w:val="000000"/>
          </w:rPr>
          <w:t>f Statistical Science 25–25.</w:t>
        </w:r>
      </w:hyperlink>
    </w:p>
    <w:p w:rsidR="00C25E60" w:rsidRDefault="00D166BA">
      <w:pPr>
        <w:widowControl w:val="0"/>
        <w:pBdr>
          <w:top w:val="nil"/>
          <w:left w:val="nil"/>
          <w:bottom w:val="nil"/>
          <w:right w:val="nil"/>
          <w:between w:val="nil"/>
        </w:pBdr>
        <w:spacing w:after="220" w:line="240" w:lineRule="auto"/>
        <w:rPr>
          <w:color w:val="000000"/>
        </w:rPr>
      </w:pPr>
      <w:hyperlink r:id="rId121">
        <w:r>
          <w:rPr>
            <w:color w:val="000000"/>
          </w:rPr>
          <w:t xml:space="preserve">23. Wang, W., Ollila, H.M., Whittemore, A.S., </w:t>
        </w:r>
        <w:proofErr w:type="spellStart"/>
        <w:r>
          <w:rPr>
            <w:color w:val="000000"/>
          </w:rPr>
          <w:t>Demehri</w:t>
        </w:r>
        <w:proofErr w:type="spellEnd"/>
        <w:r>
          <w:rPr>
            <w:color w:val="000000"/>
          </w:rPr>
          <w:t xml:space="preserve">, S., Ioannidis, N.M., Jorgenson, E., </w:t>
        </w:r>
        <w:proofErr w:type="spellStart"/>
        <w:r>
          <w:rPr>
            <w:color w:val="000000"/>
          </w:rPr>
          <w:t>Mignot</w:t>
        </w:r>
        <w:proofErr w:type="spellEnd"/>
        <w:r>
          <w:rPr>
            <w:color w:val="000000"/>
          </w:rPr>
          <w:t xml:space="preserve">, E., and </w:t>
        </w:r>
        <w:proofErr w:type="spellStart"/>
        <w:r>
          <w:rPr>
            <w:color w:val="000000"/>
          </w:rPr>
          <w:t>Asgari</w:t>
        </w:r>
        <w:proofErr w:type="spellEnd"/>
        <w:r>
          <w:rPr>
            <w:color w:val="000000"/>
          </w:rPr>
          <w:t>, M.M. (2018). Genetic variants in the HLA class II region a</w:t>
        </w:r>
        <w:r>
          <w:rPr>
            <w:color w:val="000000"/>
          </w:rPr>
          <w:t xml:space="preserve">ssociated with risk of cutaneous squamous cell carcinoma. Cancer Immunol. </w:t>
        </w:r>
        <w:proofErr w:type="spellStart"/>
        <w:r>
          <w:rPr>
            <w:color w:val="000000"/>
          </w:rPr>
          <w:t>Immunother</w:t>
        </w:r>
        <w:proofErr w:type="spellEnd"/>
        <w:r>
          <w:rPr>
            <w:color w:val="000000"/>
          </w:rPr>
          <w:t xml:space="preserve">. </w:t>
        </w:r>
      </w:hyperlink>
      <w:hyperlink r:id="rId122">
        <w:r>
          <w:rPr>
            <w:i/>
            <w:color w:val="000000"/>
          </w:rPr>
          <w:t>67</w:t>
        </w:r>
      </w:hyperlink>
      <w:hyperlink r:id="rId123">
        <w:r>
          <w:rPr>
            <w:color w:val="000000"/>
          </w:rPr>
          <w:t>, 1123–1133.</w:t>
        </w:r>
      </w:hyperlink>
    </w:p>
    <w:p w:rsidR="00C25E60" w:rsidRDefault="00D166BA">
      <w:pPr>
        <w:widowControl w:val="0"/>
        <w:pBdr>
          <w:top w:val="nil"/>
          <w:left w:val="nil"/>
          <w:bottom w:val="nil"/>
          <w:right w:val="nil"/>
          <w:between w:val="nil"/>
        </w:pBdr>
        <w:spacing w:after="220" w:line="240" w:lineRule="auto"/>
        <w:rPr>
          <w:color w:val="000000"/>
        </w:rPr>
      </w:pPr>
      <w:hyperlink r:id="rId124">
        <w:r>
          <w:rPr>
            <w:color w:val="000000"/>
          </w:rPr>
          <w:t xml:space="preserve">24. </w:t>
        </w:r>
        <w:proofErr w:type="spellStart"/>
        <w:r>
          <w:rPr>
            <w:color w:val="000000"/>
          </w:rPr>
          <w:t>Picascia</w:t>
        </w:r>
        <w:proofErr w:type="spellEnd"/>
        <w:r>
          <w:rPr>
            <w:color w:val="000000"/>
          </w:rPr>
          <w:t xml:space="preserve">, S., Sidney, J., </w:t>
        </w:r>
        <w:proofErr w:type="spellStart"/>
        <w:r>
          <w:rPr>
            <w:color w:val="000000"/>
          </w:rPr>
          <w:t>Camarca</w:t>
        </w:r>
        <w:proofErr w:type="spellEnd"/>
        <w:r>
          <w:rPr>
            <w:color w:val="000000"/>
          </w:rPr>
          <w:t xml:space="preserve">, A., </w:t>
        </w:r>
        <w:proofErr w:type="spellStart"/>
        <w:r>
          <w:rPr>
            <w:color w:val="000000"/>
          </w:rPr>
          <w:t>Mazzarella</w:t>
        </w:r>
        <w:proofErr w:type="spellEnd"/>
        <w:r>
          <w:rPr>
            <w:color w:val="000000"/>
          </w:rPr>
          <w:t xml:space="preserve">, G., </w:t>
        </w:r>
        <w:proofErr w:type="spellStart"/>
        <w:r>
          <w:rPr>
            <w:color w:val="000000"/>
          </w:rPr>
          <w:t>Giardullo</w:t>
        </w:r>
        <w:proofErr w:type="spellEnd"/>
        <w:r>
          <w:rPr>
            <w:color w:val="000000"/>
          </w:rPr>
          <w:t xml:space="preserve">, N., Greco, L., </w:t>
        </w:r>
        <w:proofErr w:type="spellStart"/>
        <w:r>
          <w:rPr>
            <w:color w:val="000000"/>
          </w:rPr>
          <w:t>Auricchio</w:t>
        </w:r>
        <w:proofErr w:type="spellEnd"/>
        <w:r>
          <w:rPr>
            <w:color w:val="000000"/>
          </w:rPr>
          <w:t xml:space="preserve">, R., </w:t>
        </w:r>
        <w:proofErr w:type="spellStart"/>
        <w:r>
          <w:rPr>
            <w:color w:val="000000"/>
          </w:rPr>
          <w:t>Auricchio</w:t>
        </w:r>
        <w:proofErr w:type="spellEnd"/>
        <w:r>
          <w:rPr>
            <w:color w:val="000000"/>
          </w:rPr>
          <w:t xml:space="preserve">, S., </w:t>
        </w:r>
        <w:proofErr w:type="spellStart"/>
        <w:r>
          <w:rPr>
            <w:color w:val="000000"/>
          </w:rPr>
          <w:t>Troncone</w:t>
        </w:r>
        <w:proofErr w:type="spellEnd"/>
        <w:r>
          <w:rPr>
            <w:color w:val="000000"/>
          </w:rPr>
          <w:t xml:space="preserve">, R., </w:t>
        </w:r>
        <w:proofErr w:type="spellStart"/>
        <w:r>
          <w:rPr>
            <w:color w:val="000000"/>
          </w:rPr>
          <w:t>Sette</w:t>
        </w:r>
        <w:proofErr w:type="spellEnd"/>
        <w:r>
          <w:rPr>
            <w:color w:val="000000"/>
          </w:rPr>
          <w:t>, A., et al. (2017). Gliadin-Specific CD8 T Cell Responses Restricted by HLA Class I A*0101 and B*0801 Molecules in</w:t>
        </w:r>
        <w:r>
          <w:rPr>
            <w:color w:val="000000"/>
          </w:rPr>
          <w:t xml:space="preserve"> Celiac Disease Patients. The Journal of Immunology </w:t>
        </w:r>
      </w:hyperlink>
      <w:hyperlink r:id="rId125">
        <w:r>
          <w:rPr>
            <w:i/>
            <w:color w:val="000000"/>
          </w:rPr>
          <w:t>198</w:t>
        </w:r>
      </w:hyperlink>
      <w:hyperlink r:id="rId126">
        <w:r>
          <w:rPr>
            <w:color w:val="000000"/>
          </w:rPr>
          <w:t>, 1838–1845.</w:t>
        </w:r>
      </w:hyperlink>
    </w:p>
    <w:p w:rsidR="00C25E60" w:rsidRDefault="00D166BA">
      <w:pPr>
        <w:widowControl w:val="0"/>
        <w:pBdr>
          <w:top w:val="nil"/>
          <w:left w:val="nil"/>
          <w:bottom w:val="nil"/>
          <w:right w:val="nil"/>
          <w:between w:val="nil"/>
        </w:pBdr>
        <w:spacing w:after="220" w:line="240" w:lineRule="auto"/>
        <w:rPr>
          <w:color w:val="000000"/>
        </w:rPr>
      </w:pPr>
      <w:hyperlink r:id="rId127">
        <w:r>
          <w:rPr>
            <w:color w:val="000000"/>
          </w:rPr>
          <w:t>25. Martín-</w:t>
        </w:r>
        <w:proofErr w:type="spellStart"/>
        <w:r>
          <w:rPr>
            <w:color w:val="000000"/>
          </w:rPr>
          <w:t>Masot</w:t>
        </w:r>
        <w:proofErr w:type="spellEnd"/>
        <w:r>
          <w:rPr>
            <w:color w:val="000000"/>
          </w:rPr>
          <w:t xml:space="preserve">, R., </w:t>
        </w:r>
        <w:proofErr w:type="spellStart"/>
        <w:r>
          <w:rPr>
            <w:color w:val="000000"/>
          </w:rPr>
          <w:t>Nestares</w:t>
        </w:r>
        <w:proofErr w:type="spellEnd"/>
        <w:r>
          <w:rPr>
            <w:color w:val="000000"/>
          </w:rPr>
          <w:t>, M.T., Diaz-Castro, J., López-</w:t>
        </w:r>
        <w:proofErr w:type="spellStart"/>
        <w:r>
          <w:rPr>
            <w:color w:val="000000"/>
          </w:rPr>
          <w:t>Aliaga</w:t>
        </w:r>
        <w:proofErr w:type="spellEnd"/>
        <w:r>
          <w:rPr>
            <w:color w:val="000000"/>
          </w:rPr>
          <w:t xml:space="preserve">, I., </w:t>
        </w:r>
        <w:proofErr w:type="spellStart"/>
        <w:r>
          <w:rPr>
            <w:color w:val="000000"/>
          </w:rPr>
          <w:t>Alférez</w:t>
        </w:r>
        <w:proofErr w:type="spellEnd"/>
        <w:r>
          <w:rPr>
            <w:color w:val="000000"/>
          </w:rPr>
          <w:t xml:space="preserve">, M.J.M., Moreno-Fernandez, J., and Maldonado, J. (2019). Multifactorial Etiology of Anemia in Celiac Disease and Effect of </w:t>
        </w:r>
        <w:r>
          <w:rPr>
            <w:color w:val="000000"/>
          </w:rPr>
          <w:t xml:space="preserve">Gluten-Free Diet: A Comprehensive Review. Nutrients </w:t>
        </w:r>
      </w:hyperlink>
      <w:hyperlink r:id="rId128">
        <w:r>
          <w:rPr>
            <w:i/>
            <w:color w:val="000000"/>
          </w:rPr>
          <w:t>11</w:t>
        </w:r>
      </w:hyperlink>
      <w:hyperlink r:id="rId129">
        <w:r>
          <w:rPr>
            <w:color w:val="000000"/>
          </w:rPr>
          <w:t>,.</w:t>
        </w:r>
      </w:hyperlink>
    </w:p>
    <w:p w:rsidR="00C25E60" w:rsidRDefault="00D166BA">
      <w:pPr>
        <w:widowControl w:val="0"/>
        <w:pBdr>
          <w:top w:val="nil"/>
          <w:left w:val="nil"/>
          <w:bottom w:val="nil"/>
          <w:right w:val="nil"/>
          <w:between w:val="nil"/>
        </w:pBdr>
        <w:spacing w:after="220" w:line="240" w:lineRule="auto"/>
        <w:rPr>
          <w:color w:val="000000"/>
        </w:rPr>
      </w:pPr>
      <w:hyperlink r:id="rId130">
        <w:r>
          <w:rPr>
            <w:color w:val="000000"/>
          </w:rPr>
          <w:t xml:space="preserve">26. </w:t>
        </w:r>
        <w:proofErr w:type="spellStart"/>
        <w:r>
          <w:rPr>
            <w:color w:val="000000"/>
          </w:rPr>
          <w:t>Mehraji</w:t>
        </w:r>
        <w:proofErr w:type="spellEnd"/>
        <w:r>
          <w:rPr>
            <w:color w:val="000000"/>
          </w:rPr>
          <w:t xml:space="preserve">, Z., </w:t>
        </w:r>
        <w:proofErr w:type="spellStart"/>
        <w:r>
          <w:rPr>
            <w:color w:val="000000"/>
          </w:rPr>
          <w:t>Farazmand</w:t>
        </w:r>
        <w:proofErr w:type="spellEnd"/>
        <w:r>
          <w:rPr>
            <w:color w:val="000000"/>
          </w:rPr>
          <w:t xml:space="preserve">, A., </w:t>
        </w:r>
        <w:proofErr w:type="spellStart"/>
        <w:r>
          <w:rPr>
            <w:color w:val="000000"/>
          </w:rPr>
          <w:t>Esteg</w:t>
        </w:r>
        <w:r>
          <w:rPr>
            <w:color w:val="000000"/>
          </w:rPr>
          <w:t>hamati</w:t>
        </w:r>
        <w:proofErr w:type="spellEnd"/>
        <w:r>
          <w:rPr>
            <w:color w:val="000000"/>
          </w:rPr>
          <w:t xml:space="preserve">, A., </w:t>
        </w:r>
        <w:proofErr w:type="spellStart"/>
        <w:r>
          <w:rPr>
            <w:color w:val="000000"/>
          </w:rPr>
          <w:t>Noshad</w:t>
        </w:r>
        <w:proofErr w:type="spellEnd"/>
        <w:r>
          <w:rPr>
            <w:color w:val="000000"/>
          </w:rPr>
          <w:t xml:space="preserve">, S., Sadr, M., </w:t>
        </w:r>
        <w:proofErr w:type="spellStart"/>
        <w:r>
          <w:rPr>
            <w:color w:val="000000"/>
          </w:rPr>
          <w:t>Amirzargar</w:t>
        </w:r>
        <w:proofErr w:type="spellEnd"/>
        <w:r>
          <w:rPr>
            <w:color w:val="000000"/>
          </w:rPr>
          <w:t xml:space="preserve">, S., </w:t>
        </w:r>
        <w:proofErr w:type="spellStart"/>
        <w:r>
          <w:rPr>
            <w:color w:val="000000"/>
          </w:rPr>
          <w:t>Yekaninejad</w:t>
        </w:r>
        <w:proofErr w:type="spellEnd"/>
        <w:r>
          <w:rPr>
            <w:color w:val="000000"/>
          </w:rPr>
          <w:t xml:space="preserve">, M.S., and </w:t>
        </w:r>
        <w:proofErr w:type="spellStart"/>
        <w:r>
          <w:rPr>
            <w:color w:val="000000"/>
          </w:rPr>
          <w:t>Amirzargar</w:t>
        </w:r>
        <w:proofErr w:type="spellEnd"/>
        <w:r>
          <w:rPr>
            <w:color w:val="000000"/>
          </w:rPr>
          <w:t xml:space="preserve">, A. (2017). Association of Human Leukocyte Antigens Class I &amp; II with Graves’ Disease in Iranian Population. Iran. J. Immunol. </w:t>
        </w:r>
      </w:hyperlink>
      <w:hyperlink r:id="rId131">
        <w:r>
          <w:rPr>
            <w:i/>
            <w:color w:val="000000"/>
          </w:rPr>
          <w:t>14</w:t>
        </w:r>
      </w:hyperlink>
      <w:hyperlink r:id="rId132">
        <w:r>
          <w:rPr>
            <w:color w:val="000000"/>
          </w:rPr>
          <w:t>, 223–230.</w:t>
        </w:r>
      </w:hyperlink>
    </w:p>
    <w:p w:rsidR="00C25E60" w:rsidRDefault="00D166BA">
      <w:pPr>
        <w:widowControl w:val="0"/>
        <w:pBdr>
          <w:top w:val="nil"/>
          <w:left w:val="nil"/>
          <w:bottom w:val="nil"/>
          <w:right w:val="nil"/>
          <w:between w:val="nil"/>
        </w:pBdr>
        <w:spacing w:after="220" w:line="240" w:lineRule="auto"/>
        <w:rPr>
          <w:color w:val="000000"/>
        </w:rPr>
      </w:pPr>
      <w:hyperlink r:id="rId133">
        <w:r>
          <w:rPr>
            <w:color w:val="000000"/>
          </w:rPr>
          <w:t>27. Valdés-Corona, L.F., Hernández-</w:t>
        </w:r>
        <w:proofErr w:type="spellStart"/>
        <w:r>
          <w:rPr>
            <w:color w:val="000000"/>
          </w:rPr>
          <w:t>Doño</w:t>
        </w:r>
        <w:proofErr w:type="spellEnd"/>
        <w:r>
          <w:rPr>
            <w:color w:val="000000"/>
          </w:rPr>
          <w:t xml:space="preserve">, S., Rodríguez-Reyna, T.S., García-Silva, R., </w:t>
        </w:r>
        <w:proofErr w:type="spellStart"/>
        <w:r>
          <w:rPr>
            <w:color w:val="000000"/>
          </w:rPr>
          <w:t>Jakez</w:t>
        </w:r>
        <w:proofErr w:type="spellEnd"/>
        <w:r>
          <w:rPr>
            <w:color w:val="000000"/>
          </w:rPr>
          <w:t>, J., Escamilla-</w:t>
        </w:r>
        <w:proofErr w:type="spellStart"/>
        <w:r>
          <w:rPr>
            <w:color w:val="000000"/>
          </w:rPr>
          <w:t>Tilch</w:t>
        </w:r>
        <w:proofErr w:type="spellEnd"/>
        <w:r>
          <w:rPr>
            <w:color w:val="000000"/>
          </w:rPr>
          <w:t>, M., Lima, G.</w:t>
        </w:r>
        <w:r>
          <w:rPr>
            <w:color w:val="000000"/>
          </w:rPr>
          <w:t xml:space="preserve">, </w:t>
        </w:r>
        <w:proofErr w:type="spellStart"/>
        <w:r>
          <w:rPr>
            <w:color w:val="000000"/>
          </w:rPr>
          <w:t>Llorente</w:t>
        </w:r>
        <w:proofErr w:type="spellEnd"/>
        <w:r>
          <w:rPr>
            <w:color w:val="000000"/>
          </w:rPr>
          <w:t>, L., Pineda, C., Yunis, E., et al. (2020). Aspartic acid70 in the HLA-DRB1 chain and Shared Epitope alleles partially explain the high prevalence of autoimmunity in Mexicans. Journal of Translational Autoimmunity 100057.</w:t>
        </w:r>
      </w:hyperlink>
    </w:p>
    <w:p w:rsidR="00C25E60" w:rsidRDefault="00D166BA">
      <w:pPr>
        <w:widowControl w:val="0"/>
        <w:pBdr>
          <w:top w:val="nil"/>
          <w:left w:val="nil"/>
          <w:bottom w:val="nil"/>
          <w:right w:val="nil"/>
          <w:between w:val="nil"/>
        </w:pBdr>
        <w:spacing w:after="220" w:line="240" w:lineRule="auto"/>
        <w:rPr>
          <w:color w:val="000000"/>
        </w:rPr>
      </w:pPr>
      <w:hyperlink r:id="rId134">
        <w:r>
          <w:rPr>
            <w:color w:val="000000"/>
          </w:rPr>
          <w:t xml:space="preserve">28. Ueda, S., </w:t>
        </w:r>
        <w:proofErr w:type="spellStart"/>
        <w:r>
          <w:rPr>
            <w:color w:val="000000"/>
          </w:rPr>
          <w:t>Oryoji</w:t>
        </w:r>
        <w:proofErr w:type="spellEnd"/>
        <w:r>
          <w:rPr>
            <w:color w:val="000000"/>
          </w:rPr>
          <w:t xml:space="preserve">, D., Yamamoto, K., Noh, J.Y., Okamura, K., Noda, M., </w:t>
        </w:r>
        <w:proofErr w:type="spellStart"/>
        <w:r>
          <w:rPr>
            <w:color w:val="000000"/>
          </w:rPr>
          <w:t>Kashiwase</w:t>
        </w:r>
        <w:proofErr w:type="spellEnd"/>
        <w:r>
          <w:rPr>
            <w:color w:val="000000"/>
          </w:rPr>
          <w:t xml:space="preserve">, K., </w:t>
        </w:r>
        <w:proofErr w:type="spellStart"/>
        <w:r>
          <w:rPr>
            <w:color w:val="000000"/>
          </w:rPr>
          <w:t>Kosuga</w:t>
        </w:r>
        <w:proofErr w:type="spellEnd"/>
        <w:r>
          <w:rPr>
            <w:color w:val="000000"/>
          </w:rPr>
          <w:t>, Y., Sekiya, K., Inoue, K., et al. (2014). Identification of independent susceptible and protective HLA alleles in Japanese autoim</w:t>
        </w:r>
        <w:r>
          <w:rPr>
            <w:color w:val="000000"/>
          </w:rPr>
          <w:t xml:space="preserve">mune thyroid disease and their epistasis. J. Clin. Endocrinol. </w:t>
        </w:r>
        <w:proofErr w:type="spellStart"/>
        <w:r>
          <w:rPr>
            <w:color w:val="000000"/>
          </w:rPr>
          <w:t>Metab</w:t>
        </w:r>
        <w:proofErr w:type="spellEnd"/>
        <w:r>
          <w:rPr>
            <w:color w:val="000000"/>
          </w:rPr>
          <w:t xml:space="preserve">. </w:t>
        </w:r>
      </w:hyperlink>
      <w:hyperlink r:id="rId135">
        <w:r>
          <w:rPr>
            <w:i/>
            <w:color w:val="000000"/>
          </w:rPr>
          <w:t>99</w:t>
        </w:r>
      </w:hyperlink>
      <w:hyperlink r:id="rId136">
        <w:r>
          <w:rPr>
            <w:color w:val="000000"/>
          </w:rPr>
          <w:t>, E379–E383.</w:t>
        </w:r>
      </w:hyperlink>
    </w:p>
    <w:p w:rsidR="00C25E60" w:rsidRDefault="00D166BA">
      <w:pPr>
        <w:widowControl w:val="0"/>
        <w:pBdr>
          <w:top w:val="nil"/>
          <w:left w:val="nil"/>
          <w:bottom w:val="nil"/>
          <w:right w:val="nil"/>
          <w:between w:val="nil"/>
        </w:pBdr>
        <w:spacing w:after="220" w:line="240" w:lineRule="auto"/>
        <w:rPr>
          <w:color w:val="000000"/>
        </w:rPr>
      </w:pPr>
      <w:hyperlink r:id="rId137">
        <w:r>
          <w:rPr>
            <w:color w:val="000000"/>
          </w:rPr>
          <w:t xml:space="preserve">29. </w:t>
        </w:r>
        <w:proofErr w:type="spellStart"/>
        <w:r>
          <w:rPr>
            <w:color w:val="000000"/>
          </w:rPr>
          <w:t>Macel</w:t>
        </w:r>
        <w:proofErr w:type="spellEnd"/>
        <w:r>
          <w:rPr>
            <w:color w:val="000000"/>
          </w:rPr>
          <w:t xml:space="preserve">, L.M.Z., Rodrigues, S.S., </w:t>
        </w:r>
        <w:proofErr w:type="spellStart"/>
        <w:r>
          <w:rPr>
            <w:color w:val="000000"/>
          </w:rPr>
          <w:t>Dibbern</w:t>
        </w:r>
        <w:proofErr w:type="spellEnd"/>
        <w:r>
          <w:rPr>
            <w:color w:val="000000"/>
          </w:rPr>
          <w:t xml:space="preserve">, R.S., Navarro, P.A.A., and </w:t>
        </w:r>
        <w:proofErr w:type="spellStart"/>
        <w:r>
          <w:rPr>
            <w:color w:val="000000"/>
          </w:rPr>
          <w:t>Donadi</w:t>
        </w:r>
        <w:proofErr w:type="spellEnd"/>
        <w:r>
          <w:rPr>
            <w:color w:val="000000"/>
          </w:rPr>
          <w:t>, E.A. (2001). Association of the HLA-DRB1*0301 and HLA-DQA1*0501 Alleles with Graves’ Disease in a Population Representing th</w:t>
        </w:r>
        <w:r>
          <w:rPr>
            <w:color w:val="000000"/>
          </w:rPr>
          <w:t xml:space="preserve">e Gene Contribution from Several Ethnic Backgrounds. Thyroid </w:t>
        </w:r>
      </w:hyperlink>
      <w:hyperlink r:id="rId138">
        <w:r>
          <w:rPr>
            <w:i/>
            <w:color w:val="000000"/>
          </w:rPr>
          <w:t>11</w:t>
        </w:r>
      </w:hyperlink>
      <w:hyperlink r:id="rId139">
        <w:r>
          <w:rPr>
            <w:color w:val="000000"/>
          </w:rPr>
          <w:t>, 31–35.</w:t>
        </w:r>
      </w:hyperlink>
    </w:p>
    <w:p w:rsidR="00C25E60" w:rsidRDefault="00D166BA">
      <w:pPr>
        <w:widowControl w:val="0"/>
        <w:pBdr>
          <w:top w:val="nil"/>
          <w:left w:val="nil"/>
          <w:bottom w:val="nil"/>
          <w:right w:val="nil"/>
          <w:between w:val="nil"/>
        </w:pBdr>
        <w:spacing w:after="220" w:line="240" w:lineRule="auto"/>
        <w:rPr>
          <w:color w:val="000000"/>
        </w:rPr>
      </w:pPr>
      <w:hyperlink r:id="rId140">
        <w:r>
          <w:rPr>
            <w:color w:val="000000"/>
          </w:rPr>
          <w:t xml:space="preserve">30. Chen, B., Li, J., </w:t>
        </w:r>
        <w:r>
          <w:rPr>
            <w:color w:val="000000"/>
          </w:rPr>
          <w:t xml:space="preserve">He, C., Li, D., Tong, W., Zou, Y., and Xu, W. (2017). Role of HLA-B27 in the </w:t>
        </w:r>
        <w:r>
          <w:rPr>
            <w:color w:val="000000"/>
          </w:rPr>
          <w:lastRenderedPageBreak/>
          <w:t xml:space="preserve">pathogenesis of ankylosing spondylitis (Review). Mol. Med. Rep. </w:t>
        </w:r>
      </w:hyperlink>
      <w:hyperlink r:id="rId141">
        <w:r>
          <w:rPr>
            <w:i/>
            <w:color w:val="000000"/>
          </w:rPr>
          <w:t>15</w:t>
        </w:r>
      </w:hyperlink>
      <w:hyperlink r:id="rId142">
        <w:r>
          <w:rPr>
            <w:color w:val="000000"/>
          </w:rPr>
          <w:t>, 194</w:t>
        </w:r>
        <w:r>
          <w:rPr>
            <w:color w:val="000000"/>
          </w:rPr>
          <w:t>3–1951.</w:t>
        </w:r>
      </w:hyperlink>
    </w:p>
    <w:p w:rsidR="00C25E60" w:rsidRDefault="00D166BA">
      <w:pPr>
        <w:widowControl w:val="0"/>
        <w:pBdr>
          <w:top w:val="nil"/>
          <w:left w:val="nil"/>
          <w:bottom w:val="nil"/>
          <w:right w:val="nil"/>
          <w:between w:val="nil"/>
        </w:pBdr>
        <w:spacing w:after="220" w:line="240" w:lineRule="auto"/>
        <w:rPr>
          <w:color w:val="000000"/>
        </w:rPr>
      </w:pPr>
      <w:hyperlink r:id="rId143">
        <w:r>
          <w:rPr>
            <w:color w:val="000000"/>
          </w:rPr>
          <w:t xml:space="preserve">31. Li, H., Li, Q., Ji, C., and Gu, J. (2018). Ankylosing Spondylitis Patients with HLA-B*2704 have More Uveitis than Patients with HLA-B*2705 in a North Chinese Population. </w:t>
        </w:r>
        <w:proofErr w:type="spellStart"/>
        <w:r>
          <w:rPr>
            <w:color w:val="000000"/>
          </w:rPr>
          <w:t>Ocul</w:t>
        </w:r>
        <w:proofErr w:type="spellEnd"/>
        <w:r>
          <w:rPr>
            <w:color w:val="000000"/>
          </w:rPr>
          <w:t xml:space="preserve">. Immunol. </w:t>
        </w:r>
        <w:proofErr w:type="spellStart"/>
        <w:r>
          <w:rPr>
            <w:color w:val="000000"/>
          </w:rPr>
          <w:t>Infla</w:t>
        </w:r>
        <w:r>
          <w:rPr>
            <w:color w:val="000000"/>
          </w:rPr>
          <w:t>mm</w:t>
        </w:r>
        <w:proofErr w:type="spellEnd"/>
        <w:r>
          <w:rPr>
            <w:color w:val="000000"/>
          </w:rPr>
          <w:t xml:space="preserve">. </w:t>
        </w:r>
      </w:hyperlink>
      <w:hyperlink r:id="rId144">
        <w:r>
          <w:rPr>
            <w:i/>
            <w:color w:val="000000"/>
          </w:rPr>
          <w:t>26</w:t>
        </w:r>
      </w:hyperlink>
      <w:hyperlink r:id="rId145">
        <w:r>
          <w:rPr>
            <w:color w:val="000000"/>
          </w:rPr>
          <w:t>, 65–69.</w:t>
        </w:r>
      </w:hyperlink>
    </w:p>
    <w:p w:rsidR="00C25E60" w:rsidRDefault="00D166BA">
      <w:pPr>
        <w:widowControl w:val="0"/>
        <w:pBdr>
          <w:top w:val="nil"/>
          <w:left w:val="nil"/>
          <w:bottom w:val="nil"/>
          <w:right w:val="nil"/>
          <w:between w:val="nil"/>
        </w:pBdr>
        <w:spacing w:after="220" w:line="240" w:lineRule="auto"/>
        <w:rPr>
          <w:color w:val="000000"/>
        </w:rPr>
      </w:pPr>
      <w:hyperlink r:id="rId146">
        <w:r>
          <w:rPr>
            <w:color w:val="000000"/>
          </w:rPr>
          <w:t>32. FitzGerald, O., Haroon, M., Giles, J.T., and Winchester, R. (2015). Concept</w:t>
        </w:r>
        <w:r>
          <w:rPr>
            <w:color w:val="000000"/>
          </w:rPr>
          <w:t xml:space="preserve">s of pathogenesis in psoriatic arthritis: genotype determines clinical phenotype. Arthritis Res. </w:t>
        </w:r>
        <w:proofErr w:type="spellStart"/>
        <w:r>
          <w:rPr>
            <w:color w:val="000000"/>
          </w:rPr>
          <w:t>Ther</w:t>
        </w:r>
        <w:proofErr w:type="spellEnd"/>
        <w:r>
          <w:rPr>
            <w:color w:val="000000"/>
          </w:rPr>
          <w:t xml:space="preserve">. </w:t>
        </w:r>
      </w:hyperlink>
      <w:hyperlink r:id="rId147">
        <w:r>
          <w:rPr>
            <w:i/>
            <w:color w:val="000000"/>
          </w:rPr>
          <w:t>17</w:t>
        </w:r>
      </w:hyperlink>
      <w:hyperlink r:id="rId148">
        <w:r>
          <w:rPr>
            <w:color w:val="000000"/>
          </w:rPr>
          <w:t>, 115.</w:t>
        </w:r>
      </w:hyperlink>
    </w:p>
    <w:p w:rsidR="00C25E60" w:rsidRDefault="00D166BA">
      <w:pPr>
        <w:widowControl w:val="0"/>
        <w:pBdr>
          <w:top w:val="nil"/>
          <w:left w:val="nil"/>
          <w:bottom w:val="nil"/>
          <w:right w:val="nil"/>
          <w:between w:val="nil"/>
        </w:pBdr>
        <w:spacing w:after="220" w:line="240" w:lineRule="auto"/>
        <w:rPr>
          <w:color w:val="000000"/>
        </w:rPr>
      </w:pPr>
      <w:hyperlink r:id="rId149">
        <w:r>
          <w:rPr>
            <w:color w:val="000000"/>
          </w:rPr>
          <w:t xml:space="preserve">33. Yen, J.H., Chen, C.J., Tsai, W.C., </w:t>
        </w:r>
        <w:proofErr w:type="spellStart"/>
        <w:r>
          <w:rPr>
            <w:color w:val="000000"/>
          </w:rPr>
          <w:t>Ou</w:t>
        </w:r>
        <w:proofErr w:type="spellEnd"/>
        <w:r>
          <w:rPr>
            <w:color w:val="000000"/>
          </w:rPr>
          <w:t xml:space="preserve">, T.T., Lin, C.H., Lin, S.C., and Liu, H.W. (2001). HLA-DQA1 genotyping in patients with rheumatoid arthritis in Taiwan. Kaohsiung J. Med. Sci. </w:t>
        </w:r>
      </w:hyperlink>
      <w:hyperlink r:id="rId150">
        <w:r>
          <w:rPr>
            <w:i/>
            <w:color w:val="000000"/>
          </w:rPr>
          <w:t>17</w:t>
        </w:r>
      </w:hyperlink>
      <w:hyperlink r:id="rId151">
        <w:r>
          <w:rPr>
            <w:color w:val="000000"/>
          </w:rPr>
          <w:t>, 183–189.</w:t>
        </w:r>
      </w:hyperlink>
    </w:p>
    <w:p w:rsidR="00C25E60" w:rsidRDefault="00D166BA">
      <w:pPr>
        <w:widowControl w:val="0"/>
        <w:pBdr>
          <w:top w:val="nil"/>
          <w:left w:val="nil"/>
          <w:bottom w:val="nil"/>
          <w:right w:val="nil"/>
          <w:between w:val="nil"/>
        </w:pBdr>
        <w:spacing w:after="220" w:line="240" w:lineRule="auto"/>
        <w:rPr>
          <w:color w:val="000000"/>
        </w:rPr>
      </w:pPr>
      <w:hyperlink r:id="rId152">
        <w:r>
          <w:rPr>
            <w:color w:val="000000"/>
          </w:rPr>
          <w:t xml:space="preserve">34. Dhaliwal, J.S., Wong, L., </w:t>
        </w:r>
        <w:proofErr w:type="spellStart"/>
        <w:r>
          <w:rPr>
            <w:color w:val="000000"/>
          </w:rPr>
          <w:t>Kamaluddin</w:t>
        </w:r>
        <w:proofErr w:type="spellEnd"/>
        <w:r>
          <w:rPr>
            <w:color w:val="000000"/>
          </w:rPr>
          <w:t xml:space="preserve">, M.A., Yin, L.Y., and Murad, S. (2011). Susceptibility to aplastic anemia is associated with </w:t>
        </w:r>
        <w:r>
          <w:rPr>
            <w:color w:val="000000"/>
          </w:rPr>
          <w:t xml:space="preserve">HLA-DRB1*1501 in an aboriginal population in Sabah, Malaysia. Hum. Immunol. </w:t>
        </w:r>
      </w:hyperlink>
      <w:hyperlink r:id="rId153">
        <w:r>
          <w:rPr>
            <w:i/>
            <w:color w:val="000000"/>
          </w:rPr>
          <w:t>72</w:t>
        </w:r>
      </w:hyperlink>
      <w:hyperlink r:id="rId154">
        <w:r>
          <w:rPr>
            <w:color w:val="000000"/>
          </w:rPr>
          <w:t>, 889–892.</w:t>
        </w:r>
      </w:hyperlink>
    </w:p>
    <w:p w:rsidR="00C25E60" w:rsidRDefault="00D166BA">
      <w:pPr>
        <w:widowControl w:val="0"/>
        <w:pBdr>
          <w:top w:val="nil"/>
          <w:left w:val="nil"/>
          <w:bottom w:val="nil"/>
          <w:right w:val="nil"/>
          <w:between w:val="nil"/>
        </w:pBdr>
        <w:spacing w:after="220" w:line="240" w:lineRule="auto"/>
        <w:rPr>
          <w:color w:val="000000"/>
        </w:rPr>
      </w:pPr>
      <w:hyperlink r:id="rId155">
        <w:r>
          <w:rPr>
            <w:color w:val="000000"/>
          </w:rPr>
          <w:t>35. W</w:t>
        </w:r>
        <w:r>
          <w:rPr>
            <w:color w:val="000000"/>
          </w:rPr>
          <w:t xml:space="preserve">itter, K., Kirchner, E., Borelli, C., Messer, G., Albert, T., Zahn, R., and </w:t>
        </w:r>
        <w:proofErr w:type="spellStart"/>
        <w:r>
          <w:rPr>
            <w:color w:val="000000"/>
          </w:rPr>
          <w:t>Kauke</w:t>
        </w:r>
        <w:proofErr w:type="spellEnd"/>
        <w:r>
          <w:rPr>
            <w:color w:val="000000"/>
          </w:rPr>
          <w:t xml:space="preserve">, T. (2009). In a study for acne vulgaris, sequence-based HLA typing showed a novel DPB1 allele, DPB1*2402. Tissue Antigens </w:t>
        </w:r>
      </w:hyperlink>
      <w:hyperlink r:id="rId156">
        <w:r>
          <w:rPr>
            <w:i/>
            <w:color w:val="000000"/>
          </w:rPr>
          <w:t>74</w:t>
        </w:r>
      </w:hyperlink>
      <w:hyperlink r:id="rId157">
        <w:r>
          <w:rPr>
            <w:color w:val="000000"/>
          </w:rPr>
          <w:t>, 354–356.</w:t>
        </w:r>
      </w:hyperlink>
    </w:p>
    <w:p w:rsidR="00C25E60" w:rsidRDefault="00D166BA">
      <w:pPr>
        <w:widowControl w:val="0"/>
        <w:pBdr>
          <w:top w:val="nil"/>
          <w:left w:val="nil"/>
          <w:bottom w:val="nil"/>
          <w:right w:val="nil"/>
          <w:between w:val="nil"/>
        </w:pBdr>
        <w:spacing w:after="220" w:line="240" w:lineRule="auto"/>
        <w:rPr>
          <w:color w:val="000000"/>
        </w:rPr>
      </w:pPr>
      <w:hyperlink r:id="rId158">
        <w:r>
          <w:rPr>
            <w:color w:val="000000"/>
          </w:rPr>
          <w:t xml:space="preserve">36. Mounzer, K., Hsu, R., Fusco, J.S., Brunet, L., </w:t>
        </w:r>
        <w:proofErr w:type="spellStart"/>
        <w:r>
          <w:rPr>
            <w:color w:val="000000"/>
          </w:rPr>
          <w:t>Henegar</w:t>
        </w:r>
        <w:proofErr w:type="spellEnd"/>
        <w:r>
          <w:rPr>
            <w:color w:val="000000"/>
          </w:rPr>
          <w:t xml:space="preserve">, C.E., </w:t>
        </w:r>
        <w:proofErr w:type="spellStart"/>
        <w:r>
          <w:rPr>
            <w:color w:val="000000"/>
          </w:rPr>
          <w:t>Vannappagari</w:t>
        </w:r>
        <w:proofErr w:type="spellEnd"/>
        <w:r>
          <w:rPr>
            <w:color w:val="000000"/>
          </w:rPr>
          <w:t xml:space="preserve">, V., Stainsby, C.M., Shaefer, M.S., </w:t>
        </w:r>
        <w:proofErr w:type="spellStart"/>
        <w:r>
          <w:rPr>
            <w:color w:val="000000"/>
          </w:rPr>
          <w:t>Ragone</w:t>
        </w:r>
        <w:proofErr w:type="spellEnd"/>
        <w:r>
          <w:rPr>
            <w:color w:val="000000"/>
          </w:rPr>
          <w:t>, L., and Fusco, G.P. (2019). HLA-B*57:01 screening and hypersensitivity reaction to abacavir between 1999 and 2016 in the OPERA® obser</w:t>
        </w:r>
        <w:r>
          <w:rPr>
            <w:color w:val="000000"/>
          </w:rPr>
          <w:t xml:space="preserve">vational database: a cohort study. AIDS Res. </w:t>
        </w:r>
        <w:proofErr w:type="spellStart"/>
        <w:r>
          <w:rPr>
            <w:color w:val="000000"/>
          </w:rPr>
          <w:t>Ther</w:t>
        </w:r>
        <w:proofErr w:type="spellEnd"/>
        <w:r>
          <w:rPr>
            <w:color w:val="000000"/>
          </w:rPr>
          <w:t xml:space="preserve">. </w:t>
        </w:r>
      </w:hyperlink>
      <w:hyperlink r:id="rId159">
        <w:r>
          <w:rPr>
            <w:i/>
            <w:color w:val="000000"/>
          </w:rPr>
          <w:t>16</w:t>
        </w:r>
      </w:hyperlink>
      <w:hyperlink r:id="rId160">
        <w:r>
          <w:rPr>
            <w:color w:val="000000"/>
          </w:rPr>
          <w:t>, 1.</w:t>
        </w:r>
      </w:hyperlink>
    </w:p>
    <w:p w:rsidR="00C25E60" w:rsidRDefault="00D166BA">
      <w:pPr>
        <w:widowControl w:val="0"/>
        <w:pBdr>
          <w:top w:val="nil"/>
          <w:left w:val="nil"/>
          <w:bottom w:val="nil"/>
          <w:right w:val="nil"/>
          <w:between w:val="nil"/>
        </w:pBdr>
        <w:spacing w:after="220" w:line="240" w:lineRule="auto"/>
        <w:rPr>
          <w:color w:val="000000"/>
        </w:rPr>
      </w:pPr>
      <w:hyperlink r:id="rId161">
        <w:r>
          <w:rPr>
            <w:color w:val="000000"/>
          </w:rPr>
          <w:t xml:space="preserve">37. Cardone, M., Garcia, K., </w:t>
        </w:r>
        <w:proofErr w:type="spellStart"/>
        <w:r>
          <w:rPr>
            <w:color w:val="000000"/>
          </w:rPr>
          <w:t>Tilahun</w:t>
        </w:r>
        <w:proofErr w:type="spellEnd"/>
        <w:r>
          <w:rPr>
            <w:color w:val="000000"/>
          </w:rPr>
          <w:t xml:space="preserve">, M.E., Boyd, L.F., </w:t>
        </w:r>
        <w:proofErr w:type="spellStart"/>
        <w:r>
          <w:rPr>
            <w:color w:val="000000"/>
          </w:rPr>
          <w:t>Gebreyohannes</w:t>
        </w:r>
        <w:proofErr w:type="spellEnd"/>
        <w:r>
          <w:rPr>
            <w:color w:val="000000"/>
          </w:rPr>
          <w:t xml:space="preserve">, S., Yano, M., </w:t>
        </w:r>
        <w:proofErr w:type="spellStart"/>
        <w:r>
          <w:rPr>
            <w:color w:val="000000"/>
          </w:rPr>
          <w:t>Roderiquez</w:t>
        </w:r>
        <w:proofErr w:type="spellEnd"/>
        <w:r>
          <w:rPr>
            <w:color w:val="000000"/>
          </w:rPr>
          <w:t xml:space="preserve">, G., </w:t>
        </w:r>
        <w:proofErr w:type="spellStart"/>
        <w:r>
          <w:rPr>
            <w:color w:val="000000"/>
          </w:rPr>
          <w:t>Akue</w:t>
        </w:r>
        <w:proofErr w:type="spellEnd"/>
        <w:r>
          <w:rPr>
            <w:color w:val="000000"/>
          </w:rPr>
          <w:t xml:space="preserve">, A.D., </w:t>
        </w:r>
        <w:proofErr w:type="spellStart"/>
        <w:r>
          <w:rPr>
            <w:color w:val="000000"/>
          </w:rPr>
          <w:t>Juengst</w:t>
        </w:r>
        <w:proofErr w:type="spellEnd"/>
        <w:r>
          <w:rPr>
            <w:color w:val="000000"/>
          </w:rPr>
          <w:t xml:space="preserve">, L., Mattson, E., et al. (2018). A transgenic mouse model for HLA-B*57:01–linked abacavir drug tolerance and reactivity. Journal of Clinical Investigation </w:t>
        </w:r>
      </w:hyperlink>
      <w:hyperlink r:id="rId162">
        <w:r>
          <w:rPr>
            <w:i/>
            <w:color w:val="000000"/>
          </w:rPr>
          <w:t>128</w:t>
        </w:r>
      </w:hyperlink>
      <w:hyperlink r:id="rId163">
        <w:r>
          <w:rPr>
            <w:color w:val="000000"/>
          </w:rPr>
          <w:t>, 2819–2832.</w:t>
        </w:r>
      </w:hyperlink>
    </w:p>
    <w:p w:rsidR="00C25E60" w:rsidRDefault="00D166BA">
      <w:pPr>
        <w:widowControl w:val="0"/>
        <w:pBdr>
          <w:top w:val="nil"/>
          <w:left w:val="nil"/>
          <w:bottom w:val="nil"/>
          <w:right w:val="nil"/>
          <w:between w:val="nil"/>
        </w:pBdr>
        <w:spacing w:after="220" w:line="240" w:lineRule="auto"/>
        <w:rPr>
          <w:color w:val="000000"/>
        </w:rPr>
      </w:pPr>
      <w:hyperlink r:id="rId164">
        <w:r>
          <w:rPr>
            <w:color w:val="000000"/>
          </w:rPr>
          <w:t xml:space="preserve">38. Gregoire, L., Lawrence, W.D., </w:t>
        </w:r>
        <w:proofErr w:type="spellStart"/>
        <w:r>
          <w:rPr>
            <w:color w:val="000000"/>
          </w:rPr>
          <w:t>Kukuruga</w:t>
        </w:r>
        <w:proofErr w:type="spellEnd"/>
        <w:r>
          <w:rPr>
            <w:color w:val="000000"/>
          </w:rPr>
          <w:t xml:space="preserve">, D., </w:t>
        </w:r>
        <w:proofErr w:type="spellStart"/>
        <w:r>
          <w:rPr>
            <w:color w:val="000000"/>
          </w:rPr>
          <w:t>Eisenbrey</w:t>
        </w:r>
        <w:proofErr w:type="spellEnd"/>
        <w:r>
          <w:rPr>
            <w:color w:val="000000"/>
          </w:rPr>
          <w:t>, A.B., and Lancaster, W.D. (1994). A</w:t>
        </w:r>
        <w:r>
          <w:rPr>
            <w:color w:val="000000"/>
          </w:rPr>
          <w:t xml:space="preserve">ssociation between HLA-DQB1 alleles and risk for cervical cancer in </w:t>
        </w:r>
        <w:proofErr w:type="gramStart"/>
        <w:r>
          <w:rPr>
            <w:color w:val="000000"/>
          </w:rPr>
          <w:t>African-American</w:t>
        </w:r>
        <w:proofErr w:type="gramEnd"/>
        <w:r>
          <w:rPr>
            <w:color w:val="000000"/>
          </w:rPr>
          <w:t xml:space="preserve"> women. Int. J. Cancer </w:t>
        </w:r>
      </w:hyperlink>
      <w:hyperlink r:id="rId165">
        <w:r>
          <w:rPr>
            <w:i/>
            <w:color w:val="000000"/>
          </w:rPr>
          <w:t>57</w:t>
        </w:r>
      </w:hyperlink>
      <w:hyperlink r:id="rId166">
        <w:r>
          <w:rPr>
            <w:color w:val="000000"/>
          </w:rPr>
          <w:t>, 504–507.</w:t>
        </w:r>
      </w:hyperlink>
    </w:p>
    <w:p w:rsidR="00C25E60" w:rsidRDefault="00D166BA">
      <w:pPr>
        <w:widowControl w:val="0"/>
        <w:pBdr>
          <w:top w:val="nil"/>
          <w:left w:val="nil"/>
          <w:bottom w:val="nil"/>
          <w:right w:val="nil"/>
          <w:between w:val="nil"/>
        </w:pBdr>
        <w:spacing w:after="220" w:line="240" w:lineRule="auto"/>
        <w:rPr>
          <w:color w:val="000000"/>
        </w:rPr>
      </w:pPr>
      <w:hyperlink r:id="rId167">
        <w:r>
          <w:rPr>
            <w:color w:val="000000"/>
          </w:rPr>
          <w:t xml:space="preserve">39. Bao, X., Hanson, A.L., Madeleine, M.M., Wang, S.S., Schwartz, S.M., Newell, F., </w:t>
        </w:r>
        <w:proofErr w:type="spellStart"/>
        <w:r>
          <w:rPr>
            <w:color w:val="000000"/>
          </w:rPr>
          <w:t>Pettersson-Kymmer</w:t>
        </w:r>
        <w:proofErr w:type="spellEnd"/>
        <w:r>
          <w:rPr>
            <w:color w:val="000000"/>
          </w:rPr>
          <w:t xml:space="preserve">, U., </w:t>
        </w:r>
        <w:proofErr w:type="spellStart"/>
        <w:r>
          <w:rPr>
            <w:color w:val="000000"/>
          </w:rPr>
          <w:t>Hemminki</w:t>
        </w:r>
        <w:proofErr w:type="spellEnd"/>
        <w:r>
          <w:rPr>
            <w:color w:val="000000"/>
          </w:rPr>
          <w:t xml:space="preserve">, K., </w:t>
        </w:r>
        <w:proofErr w:type="spellStart"/>
        <w:r>
          <w:rPr>
            <w:color w:val="000000"/>
          </w:rPr>
          <w:t>Tiews</w:t>
        </w:r>
        <w:proofErr w:type="spellEnd"/>
        <w:r>
          <w:rPr>
            <w:color w:val="000000"/>
          </w:rPr>
          <w:t xml:space="preserve">, S., Steinberg, W., et al. (2018). HLA and KIR Associations of Cervical Neoplasia. J. Infect. Dis. </w:t>
        </w:r>
      </w:hyperlink>
      <w:hyperlink r:id="rId168">
        <w:r>
          <w:rPr>
            <w:i/>
            <w:color w:val="000000"/>
          </w:rPr>
          <w:t>218</w:t>
        </w:r>
      </w:hyperlink>
      <w:hyperlink r:id="rId169">
        <w:r>
          <w:rPr>
            <w:color w:val="000000"/>
          </w:rPr>
          <w:t>, 2006–2015.</w:t>
        </w:r>
      </w:hyperlink>
    </w:p>
    <w:p w:rsidR="00C25E60" w:rsidRDefault="00D166BA">
      <w:pPr>
        <w:widowControl w:val="0"/>
        <w:pBdr>
          <w:top w:val="nil"/>
          <w:left w:val="nil"/>
          <w:bottom w:val="nil"/>
          <w:right w:val="nil"/>
          <w:between w:val="nil"/>
        </w:pBdr>
        <w:spacing w:after="220" w:line="240" w:lineRule="auto"/>
        <w:rPr>
          <w:color w:val="000000"/>
        </w:rPr>
      </w:pPr>
      <w:hyperlink r:id="rId170">
        <w:r>
          <w:rPr>
            <w:color w:val="000000"/>
          </w:rPr>
          <w:t xml:space="preserve">40. </w:t>
        </w:r>
        <w:proofErr w:type="spellStart"/>
        <w:r>
          <w:rPr>
            <w:color w:val="000000"/>
          </w:rPr>
          <w:t>Ferrera</w:t>
        </w:r>
        <w:proofErr w:type="spellEnd"/>
        <w:r>
          <w:rPr>
            <w:color w:val="000000"/>
          </w:rPr>
          <w:t xml:space="preserve">, A., </w:t>
        </w:r>
        <w:proofErr w:type="spellStart"/>
        <w:r>
          <w:rPr>
            <w:color w:val="000000"/>
          </w:rPr>
          <w:t>Olivo</w:t>
        </w:r>
        <w:proofErr w:type="spellEnd"/>
        <w:r>
          <w:rPr>
            <w:color w:val="000000"/>
          </w:rPr>
          <w:t xml:space="preserve">, A., </w:t>
        </w:r>
        <w:proofErr w:type="spellStart"/>
        <w:r>
          <w:rPr>
            <w:color w:val="000000"/>
          </w:rPr>
          <w:t>Alaez</w:t>
        </w:r>
        <w:proofErr w:type="spellEnd"/>
        <w:r>
          <w:rPr>
            <w:color w:val="000000"/>
          </w:rPr>
          <w:t xml:space="preserve">, C., Melchers, W.J., and </w:t>
        </w:r>
        <w:proofErr w:type="spellStart"/>
        <w:r>
          <w:rPr>
            <w:color w:val="000000"/>
          </w:rPr>
          <w:t>Gorodezky</w:t>
        </w:r>
        <w:proofErr w:type="spellEnd"/>
        <w:r>
          <w:rPr>
            <w:color w:val="000000"/>
          </w:rPr>
          <w:t>, C. (1999). H</w:t>
        </w:r>
        <w:r>
          <w:rPr>
            <w:color w:val="000000"/>
          </w:rPr>
          <w:t xml:space="preserve">LA DOA1 and DOB1 loci in Honduran women with cervical dysplasia and invasive cervical carcinoma and their relationship to human papillomavirus infection. Hum. Biol. </w:t>
        </w:r>
      </w:hyperlink>
      <w:hyperlink r:id="rId171">
        <w:r>
          <w:rPr>
            <w:i/>
            <w:color w:val="000000"/>
          </w:rPr>
          <w:t>71</w:t>
        </w:r>
      </w:hyperlink>
      <w:hyperlink r:id="rId172">
        <w:r>
          <w:rPr>
            <w:color w:val="000000"/>
          </w:rPr>
          <w:t>, 367–379.</w:t>
        </w:r>
      </w:hyperlink>
    </w:p>
    <w:p w:rsidR="00C25E60" w:rsidRDefault="00D166BA">
      <w:pPr>
        <w:widowControl w:val="0"/>
        <w:pBdr>
          <w:top w:val="nil"/>
          <w:left w:val="nil"/>
          <w:bottom w:val="nil"/>
          <w:right w:val="nil"/>
          <w:between w:val="nil"/>
        </w:pBdr>
        <w:spacing w:after="220" w:line="240" w:lineRule="auto"/>
        <w:rPr>
          <w:color w:val="000000"/>
        </w:rPr>
      </w:pPr>
      <w:hyperlink r:id="rId173">
        <w:r>
          <w:rPr>
            <w:color w:val="000000"/>
          </w:rPr>
          <w:t xml:space="preserve">41. </w:t>
        </w:r>
        <w:proofErr w:type="spellStart"/>
        <w:r>
          <w:rPr>
            <w:color w:val="000000"/>
          </w:rPr>
          <w:t>Skibola</w:t>
        </w:r>
        <w:proofErr w:type="spellEnd"/>
        <w:r>
          <w:rPr>
            <w:color w:val="000000"/>
          </w:rPr>
          <w:t xml:space="preserve">, C.F., Akers, N.K., Conde, L., Ladner, M., </w:t>
        </w:r>
        <w:proofErr w:type="spellStart"/>
        <w:r>
          <w:rPr>
            <w:color w:val="000000"/>
          </w:rPr>
          <w:t>Hawbecker</w:t>
        </w:r>
        <w:proofErr w:type="spellEnd"/>
        <w:r>
          <w:rPr>
            <w:color w:val="000000"/>
          </w:rPr>
          <w:t xml:space="preserve">, S.K., Cohen, F., </w:t>
        </w:r>
        <w:proofErr w:type="spellStart"/>
        <w:r>
          <w:rPr>
            <w:color w:val="000000"/>
          </w:rPr>
          <w:t>Ribas</w:t>
        </w:r>
        <w:proofErr w:type="spellEnd"/>
        <w:r>
          <w:rPr>
            <w:color w:val="000000"/>
          </w:rPr>
          <w:t xml:space="preserve">, F., </w:t>
        </w:r>
        <w:proofErr w:type="spellStart"/>
        <w:r>
          <w:rPr>
            <w:color w:val="000000"/>
          </w:rPr>
          <w:t>Erlich</w:t>
        </w:r>
        <w:proofErr w:type="spellEnd"/>
        <w:r>
          <w:rPr>
            <w:color w:val="000000"/>
          </w:rPr>
          <w:t>, H.A., Goodridge, D., Trachtenberg, E.A., et al. (2012). Multi-locus HL</w:t>
        </w:r>
        <w:r>
          <w:rPr>
            <w:color w:val="000000"/>
          </w:rPr>
          <w:t xml:space="preserve">A class I and II allele and haplotype associations with follicular lymphoma. Tissue Antigens </w:t>
        </w:r>
      </w:hyperlink>
      <w:hyperlink r:id="rId174">
        <w:r>
          <w:rPr>
            <w:i/>
            <w:color w:val="000000"/>
          </w:rPr>
          <w:t>79</w:t>
        </w:r>
      </w:hyperlink>
      <w:hyperlink r:id="rId175">
        <w:r>
          <w:rPr>
            <w:color w:val="000000"/>
          </w:rPr>
          <w:t>, 279–286.</w:t>
        </w:r>
      </w:hyperlink>
    </w:p>
    <w:p w:rsidR="00C25E60" w:rsidRDefault="00D166BA">
      <w:pPr>
        <w:widowControl w:val="0"/>
        <w:pBdr>
          <w:top w:val="nil"/>
          <w:left w:val="nil"/>
          <w:bottom w:val="nil"/>
          <w:right w:val="nil"/>
          <w:between w:val="nil"/>
        </w:pBdr>
        <w:spacing w:after="220" w:line="240" w:lineRule="auto"/>
        <w:rPr>
          <w:color w:val="000000"/>
        </w:rPr>
      </w:pPr>
      <w:hyperlink r:id="rId176">
        <w:r>
          <w:rPr>
            <w:color w:val="000000"/>
          </w:rPr>
          <w:t xml:space="preserve">42. Evans, D.M., Spencer, C.C.A., Pointon, J.J., </w:t>
        </w:r>
        <w:proofErr w:type="spellStart"/>
        <w:r>
          <w:rPr>
            <w:color w:val="000000"/>
          </w:rPr>
          <w:t>Su</w:t>
        </w:r>
        <w:proofErr w:type="spellEnd"/>
        <w:r>
          <w:rPr>
            <w:color w:val="000000"/>
          </w:rPr>
          <w:t xml:space="preserve">, Z., Harvey, D., </w:t>
        </w:r>
        <w:proofErr w:type="spellStart"/>
        <w:r>
          <w:rPr>
            <w:color w:val="000000"/>
          </w:rPr>
          <w:t>Kochan</w:t>
        </w:r>
        <w:proofErr w:type="spellEnd"/>
        <w:r>
          <w:rPr>
            <w:color w:val="000000"/>
          </w:rPr>
          <w:t xml:space="preserve">, G., </w:t>
        </w:r>
        <w:proofErr w:type="spellStart"/>
        <w:r>
          <w:rPr>
            <w:color w:val="000000"/>
          </w:rPr>
          <w:t>Oppermann</w:t>
        </w:r>
        <w:proofErr w:type="spellEnd"/>
        <w:r>
          <w:rPr>
            <w:color w:val="000000"/>
          </w:rPr>
          <w:t xml:space="preserve">, U., Dilthey, A., </w:t>
        </w:r>
        <w:proofErr w:type="spellStart"/>
        <w:r>
          <w:rPr>
            <w:color w:val="000000"/>
          </w:rPr>
          <w:t>Pirinen</w:t>
        </w:r>
        <w:proofErr w:type="spellEnd"/>
        <w:r>
          <w:rPr>
            <w:color w:val="000000"/>
          </w:rPr>
          <w:t>, M., Stone, M.A., et al. (2011). Interaction between ERAP1 and HLA-B27 in ankylosing sp</w:t>
        </w:r>
        <w:r>
          <w:rPr>
            <w:color w:val="000000"/>
          </w:rPr>
          <w:t xml:space="preserve">ondylitis implicates peptide handling in the mechanism for HLA-B27 in disease susceptibility. Nat. Genet. </w:t>
        </w:r>
      </w:hyperlink>
      <w:hyperlink r:id="rId177">
        <w:r>
          <w:rPr>
            <w:i/>
            <w:color w:val="000000"/>
          </w:rPr>
          <w:t>43</w:t>
        </w:r>
      </w:hyperlink>
      <w:hyperlink r:id="rId178">
        <w:r>
          <w:rPr>
            <w:color w:val="000000"/>
          </w:rPr>
          <w:t>, 761–767.</w:t>
        </w:r>
      </w:hyperlink>
    </w:p>
    <w:p w:rsidR="00C25E60" w:rsidRDefault="00D166BA">
      <w:pPr>
        <w:widowControl w:val="0"/>
        <w:pBdr>
          <w:top w:val="nil"/>
          <w:left w:val="nil"/>
          <w:bottom w:val="nil"/>
          <w:right w:val="nil"/>
          <w:between w:val="nil"/>
        </w:pBdr>
        <w:spacing w:after="220" w:line="240" w:lineRule="auto"/>
        <w:rPr>
          <w:color w:val="000000"/>
        </w:rPr>
      </w:pPr>
      <w:hyperlink r:id="rId179">
        <w:r>
          <w:rPr>
            <w:color w:val="000000"/>
          </w:rPr>
          <w:t xml:space="preserve">43. Genetic Analysis of Psoriasis Consortium &amp; the </w:t>
        </w:r>
        <w:proofErr w:type="spellStart"/>
        <w:r>
          <w:rPr>
            <w:color w:val="000000"/>
          </w:rPr>
          <w:t>Wellcome</w:t>
        </w:r>
        <w:proofErr w:type="spellEnd"/>
        <w:r>
          <w:rPr>
            <w:color w:val="000000"/>
          </w:rPr>
          <w:t xml:space="preserve"> Trust Case Control Consortium 2, Strange, A., Capon, F., Spencer, C.C.A., Knight, J., </w:t>
        </w:r>
        <w:proofErr w:type="spellStart"/>
        <w:r>
          <w:rPr>
            <w:color w:val="000000"/>
          </w:rPr>
          <w:t>Weale</w:t>
        </w:r>
        <w:proofErr w:type="spellEnd"/>
        <w:r>
          <w:rPr>
            <w:color w:val="000000"/>
          </w:rPr>
          <w:t xml:space="preserve">, M.E., Allen, M.H., Barton, A., Band, G., </w:t>
        </w:r>
        <w:proofErr w:type="spellStart"/>
        <w:r>
          <w:rPr>
            <w:color w:val="000000"/>
          </w:rPr>
          <w:t>Bellenguez</w:t>
        </w:r>
        <w:proofErr w:type="spellEnd"/>
        <w:r>
          <w:rPr>
            <w:color w:val="000000"/>
          </w:rPr>
          <w:t>, C., et al. (2010). A geno</w:t>
        </w:r>
        <w:r>
          <w:rPr>
            <w:color w:val="000000"/>
          </w:rPr>
          <w:t xml:space="preserve">me-wide association study identifies new psoriasis susceptibility loci and an interaction between HLA-C and ERAP1. Nat. Genet. </w:t>
        </w:r>
      </w:hyperlink>
      <w:hyperlink r:id="rId180">
        <w:r>
          <w:rPr>
            <w:i/>
            <w:color w:val="000000"/>
          </w:rPr>
          <w:t>42</w:t>
        </w:r>
      </w:hyperlink>
      <w:hyperlink r:id="rId181">
        <w:r>
          <w:rPr>
            <w:color w:val="000000"/>
          </w:rPr>
          <w:t>, 985–990.</w:t>
        </w:r>
      </w:hyperlink>
    </w:p>
    <w:p w:rsidR="00C25E60" w:rsidRDefault="00C25E60">
      <w:pPr>
        <w:widowControl w:val="0"/>
        <w:pBdr>
          <w:top w:val="nil"/>
          <w:left w:val="nil"/>
          <w:bottom w:val="nil"/>
          <w:right w:val="nil"/>
          <w:between w:val="nil"/>
        </w:pBdr>
      </w:pPr>
    </w:p>
    <w:sectPr w:rsidR="00C25E60" w:rsidSect="00375BE9">
      <w:footerReference w:type="default" r:id="rId182"/>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66BA" w:rsidRDefault="00D166BA">
      <w:pPr>
        <w:spacing w:line="240" w:lineRule="auto"/>
      </w:pPr>
      <w:r>
        <w:separator/>
      </w:r>
    </w:p>
  </w:endnote>
  <w:endnote w:type="continuationSeparator" w:id="0">
    <w:p w:rsidR="00D166BA" w:rsidRDefault="00D16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modern"/>
    <w:pitch w:val="variable"/>
    <w:sig w:usb0="00000003" w:usb1="00000000" w:usb2="00000000" w:usb3="00000000" w:csb0="00000001" w:csb1="00000000"/>
  </w:font>
  <w:font w:name="Latha">
    <w:panose1 w:val="020B0604020202020204"/>
    <w:charset w:val="01"/>
    <w:family w:val="roman"/>
    <w:pitch w:val="variable"/>
    <w:sig w:usb0="00040000" w:usb1="00000000" w:usb2="00000000" w:usb3="00000000" w:csb0="0000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5E60" w:rsidRDefault="00D166BA">
    <w:pPr>
      <w:jc w:val="right"/>
    </w:pPr>
    <w:r>
      <w:fldChar w:fldCharType="begin"/>
    </w:r>
    <w:r>
      <w:instrText>PAGE</w:instrText>
    </w:r>
    <w:r w:rsidR="00375BE9">
      <w:fldChar w:fldCharType="separate"/>
    </w:r>
    <w:r w:rsidR="00375BE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66BA" w:rsidRDefault="00D166BA">
      <w:pPr>
        <w:spacing w:line="240" w:lineRule="auto"/>
      </w:pPr>
      <w:r>
        <w:separator/>
      </w:r>
    </w:p>
  </w:footnote>
  <w:footnote w:type="continuationSeparator" w:id="0">
    <w:p w:rsidR="00D166BA" w:rsidRDefault="00D166B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60"/>
    <w:rsid w:val="00375BE9"/>
    <w:rsid w:val="00C25E60"/>
    <w:rsid w:val="00D166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6EAC8E0E"/>
  <w15:docId w15:val="{9FEAABBE-60E9-7B4C-9DE2-DA929AF92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paperpile.com/b/wFd6d6/DhjQ" TargetMode="External"/><Relationship Id="rId21" Type="http://schemas.openxmlformats.org/officeDocument/2006/relationships/hyperlink" Target="https://paperpile.com/c/wFd6d6/YtiO" TargetMode="External"/><Relationship Id="rId42" Type="http://schemas.openxmlformats.org/officeDocument/2006/relationships/hyperlink" Target="https://paperpile.com/c/wFd6d6/0FUD+HqvG" TargetMode="External"/><Relationship Id="rId63" Type="http://schemas.openxmlformats.org/officeDocument/2006/relationships/hyperlink" Target="http://paperpile.com/b/wFd6d6/DDH8" TargetMode="External"/><Relationship Id="rId84" Type="http://schemas.openxmlformats.org/officeDocument/2006/relationships/hyperlink" Target="http://paperpile.com/b/wFd6d6/U2F6" TargetMode="External"/><Relationship Id="rId138" Type="http://schemas.openxmlformats.org/officeDocument/2006/relationships/hyperlink" Target="http://paperpile.com/b/wFd6d6/kbRP" TargetMode="External"/><Relationship Id="rId159" Type="http://schemas.openxmlformats.org/officeDocument/2006/relationships/hyperlink" Target="http://paperpile.com/b/wFd6d6/0FUD" TargetMode="External"/><Relationship Id="rId170" Type="http://schemas.openxmlformats.org/officeDocument/2006/relationships/hyperlink" Target="http://paperpile.com/b/wFd6d6/ELlv" TargetMode="External"/><Relationship Id="rId107" Type="http://schemas.openxmlformats.org/officeDocument/2006/relationships/hyperlink" Target="http://paperpile.com/b/wFd6d6/xUt9" TargetMode="External"/><Relationship Id="rId11" Type="http://schemas.openxmlformats.org/officeDocument/2006/relationships/hyperlink" Target="https://paperpile.com/c/wFd6d6/wVWz" TargetMode="External"/><Relationship Id="rId32" Type="http://schemas.openxmlformats.org/officeDocument/2006/relationships/hyperlink" Target="https://paperpile.com/c/wFd6d6/k564" TargetMode="External"/><Relationship Id="rId53" Type="http://schemas.openxmlformats.org/officeDocument/2006/relationships/hyperlink" Target="https://paperpile.com/c/wFd6d6/wKtR" TargetMode="External"/><Relationship Id="rId74" Type="http://schemas.openxmlformats.org/officeDocument/2006/relationships/hyperlink" Target="http://paperpile.com/b/wFd6d6/1YBh" TargetMode="External"/><Relationship Id="rId128" Type="http://schemas.openxmlformats.org/officeDocument/2006/relationships/hyperlink" Target="http://paperpile.com/b/wFd6d6/kbTj" TargetMode="External"/><Relationship Id="rId149" Type="http://schemas.openxmlformats.org/officeDocument/2006/relationships/hyperlink" Target="http://paperpile.com/b/wFd6d6/1Q80" TargetMode="External"/><Relationship Id="rId5" Type="http://schemas.openxmlformats.org/officeDocument/2006/relationships/endnotes" Target="endnotes.xml"/><Relationship Id="rId95" Type="http://schemas.openxmlformats.org/officeDocument/2006/relationships/hyperlink" Target="http://paperpile.com/b/wFd6d6/YtiO" TargetMode="External"/><Relationship Id="rId160" Type="http://schemas.openxmlformats.org/officeDocument/2006/relationships/hyperlink" Target="http://paperpile.com/b/wFd6d6/0FUD" TargetMode="External"/><Relationship Id="rId181" Type="http://schemas.openxmlformats.org/officeDocument/2006/relationships/hyperlink" Target="http://paperpile.com/b/wFd6d6/mC7G" TargetMode="External"/><Relationship Id="rId22" Type="http://schemas.openxmlformats.org/officeDocument/2006/relationships/hyperlink" Target="https://paperpile.com/c/wFd6d6/xUt9" TargetMode="External"/><Relationship Id="rId43" Type="http://schemas.openxmlformats.org/officeDocument/2006/relationships/hyperlink" Target="https://paperpile.com/c/wFd6d6/99bs" TargetMode="External"/><Relationship Id="rId64" Type="http://schemas.openxmlformats.org/officeDocument/2006/relationships/hyperlink" Target="http://paperpile.com/b/wFd6d6/DDH8" TargetMode="External"/><Relationship Id="rId118" Type="http://schemas.openxmlformats.org/officeDocument/2006/relationships/hyperlink" Target="http://paperpile.com/b/wFd6d6/DhjQ" TargetMode="External"/><Relationship Id="rId139" Type="http://schemas.openxmlformats.org/officeDocument/2006/relationships/hyperlink" Target="http://paperpile.com/b/wFd6d6/kbRP" TargetMode="External"/><Relationship Id="rId85" Type="http://schemas.openxmlformats.org/officeDocument/2006/relationships/hyperlink" Target="http://paperpile.com/b/wFd6d6/U2F6" TargetMode="External"/><Relationship Id="rId150" Type="http://schemas.openxmlformats.org/officeDocument/2006/relationships/hyperlink" Target="http://paperpile.com/b/wFd6d6/1Q80" TargetMode="External"/><Relationship Id="rId171" Type="http://schemas.openxmlformats.org/officeDocument/2006/relationships/hyperlink" Target="http://paperpile.com/b/wFd6d6/ELlv" TargetMode="External"/><Relationship Id="rId12" Type="http://schemas.openxmlformats.org/officeDocument/2006/relationships/hyperlink" Target="https://paperpile.com/c/wFd6d6/0QPR" TargetMode="External"/><Relationship Id="rId33" Type="http://schemas.openxmlformats.org/officeDocument/2006/relationships/hyperlink" Target="https://paperpile.com/c/wFd6d6/WVNA" TargetMode="External"/><Relationship Id="rId108" Type="http://schemas.openxmlformats.org/officeDocument/2006/relationships/hyperlink" Target="http://paperpile.com/b/wFd6d6/Te92" TargetMode="External"/><Relationship Id="rId129" Type="http://schemas.openxmlformats.org/officeDocument/2006/relationships/hyperlink" Target="http://paperpile.com/b/wFd6d6/kbTj" TargetMode="External"/><Relationship Id="rId54" Type="http://schemas.openxmlformats.org/officeDocument/2006/relationships/hyperlink" Target="https://paperpile.com/c/wFd6d6/wKtR" TargetMode="External"/><Relationship Id="rId75" Type="http://schemas.openxmlformats.org/officeDocument/2006/relationships/hyperlink" Target="http://paperpile.com/b/wFd6d6/wVWz" TargetMode="External"/><Relationship Id="rId96" Type="http://schemas.openxmlformats.org/officeDocument/2006/relationships/hyperlink" Target="http://paperpile.com/b/wFd6d6/tv8H" TargetMode="External"/><Relationship Id="rId140" Type="http://schemas.openxmlformats.org/officeDocument/2006/relationships/hyperlink" Target="http://paperpile.com/b/wFd6d6/Y7f9" TargetMode="External"/><Relationship Id="rId161" Type="http://schemas.openxmlformats.org/officeDocument/2006/relationships/hyperlink" Target="http://paperpile.com/b/wFd6d6/HqvG" TargetMode="External"/><Relationship Id="rId182" Type="http://schemas.openxmlformats.org/officeDocument/2006/relationships/footer" Target="footer1.xml"/><Relationship Id="rId6" Type="http://schemas.openxmlformats.org/officeDocument/2006/relationships/hyperlink" Target="https://paperpile.com/c/wFd6d6/WpCF" TargetMode="External"/><Relationship Id="rId23" Type="http://schemas.openxmlformats.org/officeDocument/2006/relationships/hyperlink" Target="https://paperpile.com/c/wFd6d6/Te92" TargetMode="External"/><Relationship Id="rId119" Type="http://schemas.openxmlformats.org/officeDocument/2006/relationships/hyperlink" Target="http://paperpile.com/b/wFd6d6/DhjQ" TargetMode="External"/><Relationship Id="rId44" Type="http://schemas.openxmlformats.org/officeDocument/2006/relationships/hyperlink" Target="https://paperpile.com/c/wFd6d6/JCil" TargetMode="External"/><Relationship Id="rId60" Type="http://schemas.openxmlformats.org/officeDocument/2006/relationships/hyperlink" Target="http://paperpile.com/b/wFd6d6/WpCF" TargetMode="External"/><Relationship Id="rId65" Type="http://schemas.openxmlformats.org/officeDocument/2006/relationships/hyperlink" Target="http://paperpile.com/b/wFd6d6/DDH8" TargetMode="External"/><Relationship Id="rId81" Type="http://schemas.openxmlformats.org/officeDocument/2006/relationships/hyperlink" Target="http://paperpile.com/b/wFd6d6/28Kh" TargetMode="External"/><Relationship Id="rId86" Type="http://schemas.openxmlformats.org/officeDocument/2006/relationships/hyperlink" Target="http://paperpile.com/b/wFd6d6/U2F6" TargetMode="External"/><Relationship Id="rId130" Type="http://schemas.openxmlformats.org/officeDocument/2006/relationships/hyperlink" Target="http://paperpile.com/b/wFd6d6/KN0C" TargetMode="External"/><Relationship Id="rId135" Type="http://schemas.openxmlformats.org/officeDocument/2006/relationships/hyperlink" Target="http://paperpile.com/b/wFd6d6/WVNA" TargetMode="External"/><Relationship Id="rId151" Type="http://schemas.openxmlformats.org/officeDocument/2006/relationships/hyperlink" Target="http://paperpile.com/b/wFd6d6/1Q80" TargetMode="External"/><Relationship Id="rId156" Type="http://schemas.openxmlformats.org/officeDocument/2006/relationships/hyperlink" Target="http://paperpile.com/b/wFd6d6/YA0P" TargetMode="External"/><Relationship Id="rId177" Type="http://schemas.openxmlformats.org/officeDocument/2006/relationships/hyperlink" Target="http://paperpile.com/b/wFd6d6/cylk" TargetMode="External"/><Relationship Id="rId172" Type="http://schemas.openxmlformats.org/officeDocument/2006/relationships/hyperlink" Target="http://paperpile.com/b/wFd6d6/ELlv" TargetMode="External"/><Relationship Id="rId13" Type="http://schemas.openxmlformats.org/officeDocument/2006/relationships/hyperlink" Target="https://paperpile.com/c/wFd6d6/28Kh" TargetMode="External"/><Relationship Id="rId18" Type="http://schemas.openxmlformats.org/officeDocument/2006/relationships/hyperlink" Target="https://paperpile.com/c/wFd6d6/wKtR" TargetMode="External"/><Relationship Id="rId39" Type="http://schemas.openxmlformats.org/officeDocument/2006/relationships/hyperlink" Target="https://paperpile.com/c/wFd6d6/wKtR" TargetMode="External"/><Relationship Id="rId109" Type="http://schemas.openxmlformats.org/officeDocument/2006/relationships/hyperlink" Target="http://paperpile.com/b/wFd6d6/Te92" TargetMode="External"/><Relationship Id="rId34" Type="http://schemas.openxmlformats.org/officeDocument/2006/relationships/hyperlink" Target="https://paperpile.com/c/wFd6d6/kbRP" TargetMode="External"/><Relationship Id="rId50" Type="http://schemas.openxmlformats.org/officeDocument/2006/relationships/hyperlink" Target="https://paperpile.com/c/wFd6d6/wKtR" TargetMode="External"/><Relationship Id="rId55" Type="http://schemas.openxmlformats.org/officeDocument/2006/relationships/hyperlink" Target="https://paperpile.com/c/wFd6d6/cylk" TargetMode="External"/><Relationship Id="rId76" Type="http://schemas.openxmlformats.org/officeDocument/2006/relationships/hyperlink" Target="http://paperpile.com/b/wFd6d6/wVWz" TargetMode="External"/><Relationship Id="rId97" Type="http://schemas.openxmlformats.org/officeDocument/2006/relationships/hyperlink" Target="http://paperpile.com/b/wFd6d6/tv8H" TargetMode="External"/><Relationship Id="rId104" Type="http://schemas.openxmlformats.org/officeDocument/2006/relationships/hyperlink" Target="http://paperpile.com/b/wFd6d6/ECdo" TargetMode="External"/><Relationship Id="rId120" Type="http://schemas.openxmlformats.org/officeDocument/2006/relationships/hyperlink" Target="http://paperpile.com/b/wFd6d6/uifu" TargetMode="External"/><Relationship Id="rId125" Type="http://schemas.openxmlformats.org/officeDocument/2006/relationships/hyperlink" Target="http://paperpile.com/b/wFd6d6/ievD" TargetMode="External"/><Relationship Id="rId141" Type="http://schemas.openxmlformats.org/officeDocument/2006/relationships/hyperlink" Target="http://paperpile.com/b/wFd6d6/Y7f9" TargetMode="External"/><Relationship Id="rId146" Type="http://schemas.openxmlformats.org/officeDocument/2006/relationships/hyperlink" Target="http://paperpile.com/b/wFd6d6/9l72" TargetMode="External"/><Relationship Id="rId167" Type="http://schemas.openxmlformats.org/officeDocument/2006/relationships/hyperlink" Target="http://paperpile.com/b/wFd6d6/JCil" TargetMode="External"/><Relationship Id="rId7" Type="http://schemas.openxmlformats.org/officeDocument/2006/relationships/hyperlink" Target="https://paperpile.com/c/wFd6d6/QjRz" TargetMode="External"/><Relationship Id="rId71" Type="http://schemas.openxmlformats.org/officeDocument/2006/relationships/hyperlink" Target="http://paperpile.com/b/wFd6d6/CcIi" TargetMode="External"/><Relationship Id="rId92" Type="http://schemas.openxmlformats.org/officeDocument/2006/relationships/hyperlink" Target="http://paperpile.com/b/wFd6d6/wpp7" TargetMode="External"/><Relationship Id="rId162" Type="http://schemas.openxmlformats.org/officeDocument/2006/relationships/hyperlink" Target="http://paperpile.com/b/wFd6d6/HqvG" TargetMode="External"/><Relationship Id="rId18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paperpile.com/c/wFd6d6/ievD" TargetMode="External"/><Relationship Id="rId24" Type="http://schemas.openxmlformats.org/officeDocument/2006/relationships/hyperlink" Target="https://paperpile.com/c/wFd6d6/vfuO" TargetMode="External"/><Relationship Id="rId40" Type="http://schemas.openxmlformats.org/officeDocument/2006/relationships/hyperlink" Target="https://paperpile.com/c/wFd6d6/Iw9u" TargetMode="External"/><Relationship Id="rId45" Type="http://schemas.openxmlformats.org/officeDocument/2006/relationships/hyperlink" Target="https://paperpile.com/c/wFd6d6/ELlv" TargetMode="External"/><Relationship Id="rId66" Type="http://schemas.openxmlformats.org/officeDocument/2006/relationships/hyperlink" Target="http://paperpile.com/b/wFd6d6/RgAV" TargetMode="External"/><Relationship Id="rId87" Type="http://schemas.openxmlformats.org/officeDocument/2006/relationships/hyperlink" Target="http://paperpile.com/b/wFd6d6/O6wn" TargetMode="External"/><Relationship Id="rId110" Type="http://schemas.openxmlformats.org/officeDocument/2006/relationships/hyperlink" Target="http://paperpile.com/b/wFd6d6/Te92" TargetMode="External"/><Relationship Id="rId115" Type="http://schemas.openxmlformats.org/officeDocument/2006/relationships/hyperlink" Target="http://paperpile.com/b/wFd6d6/fQyV" TargetMode="External"/><Relationship Id="rId131" Type="http://schemas.openxmlformats.org/officeDocument/2006/relationships/hyperlink" Target="http://paperpile.com/b/wFd6d6/KN0C" TargetMode="External"/><Relationship Id="rId136" Type="http://schemas.openxmlformats.org/officeDocument/2006/relationships/hyperlink" Target="http://paperpile.com/b/wFd6d6/WVNA" TargetMode="External"/><Relationship Id="rId157" Type="http://schemas.openxmlformats.org/officeDocument/2006/relationships/hyperlink" Target="http://paperpile.com/b/wFd6d6/YA0P" TargetMode="External"/><Relationship Id="rId178" Type="http://schemas.openxmlformats.org/officeDocument/2006/relationships/hyperlink" Target="http://paperpile.com/b/wFd6d6/cylk" TargetMode="External"/><Relationship Id="rId61" Type="http://schemas.openxmlformats.org/officeDocument/2006/relationships/hyperlink" Target="http://paperpile.com/b/wFd6d6/WpCF" TargetMode="External"/><Relationship Id="rId82" Type="http://schemas.openxmlformats.org/officeDocument/2006/relationships/hyperlink" Target="http://paperpile.com/b/wFd6d6/28Kh" TargetMode="External"/><Relationship Id="rId152" Type="http://schemas.openxmlformats.org/officeDocument/2006/relationships/hyperlink" Target="http://paperpile.com/b/wFd6d6/Iw9u" TargetMode="External"/><Relationship Id="rId173" Type="http://schemas.openxmlformats.org/officeDocument/2006/relationships/hyperlink" Target="http://paperpile.com/b/wFd6d6/UqvH" TargetMode="External"/><Relationship Id="rId19" Type="http://schemas.openxmlformats.org/officeDocument/2006/relationships/image" Target="media/image1.jpg"/><Relationship Id="rId14" Type="http://schemas.openxmlformats.org/officeDocument/2006/relationships/hyperlink" Target="https://paperpile.com/c/wFd6d6/U2F6+O6wn" TargetMode="External"/><Relationship Id="rId30" Type="http://schemas.openxmlformats.org/officeDocument/2006/relationships/hyperlink" Target="https://paperpile.com/c/wFd6d6/kbTj" TargetMode="External"/><Relationship Id="rId35" Type="http://schemas.openxmlformats.org/officeDocument/2006/relationships/hyperlink" Target="https://paperpile.com/c/wFd6d6/Y7f9" TargetMode="External"/><Relationship Id="rId56" Type="http://schemas.openxmlformats.org/officeDocument/2006/relationships/hyperlink" Target="https://paperpile.com/c/wFd6d6/mC7G" TargetMode="External"/><Relationship Id="rId77" Type="http://schemas.openxmlformats.org/officeDocument/2006/relationships/hyperlink" Target="http://paperpile.com/b/wFd6d6/wVWz" TargetMode="External"/><Relationship Id="rId100" Type="http://schemas.openxmlformats.org/officeDocument/2006/relationships/hyperlink" Target="http://paperpile.com/b/wFd6d6/wKtR" TargetMode="External"/><Relationship Id="rId105" Type="http://schemas.openxmlformats.org/officeDocument/2006/relationships/hyperlink" Target="http://paperpile.com/b/wFd6d6/xUt9" TargetMode="External"/><Relationship Id="rId126" Type="http://schemas.openxmlformats.org/officeDocument/2006/relationships/hyperlink" Target="http://paperpile.com/b/wFd6d6/ievD" TargetMode="External"/><Relationship Id="rId147" Type="http://schemas.openxmlformats.org/officeDocument/2006/relationships/hyperlink" Target="http://paperpile.com/b/wFd6d6/9l72" TargetMode="External"/><Relationship Id="rId168" Type="http://schemas.openxmlformats.org/officeDocument/2006/relationships/hyperlink" Target="http://paperpile.com/b/wFd6d6/JCil" TargetMode="External"/><Relationship Id="rId8" Type="http://schemas.openxmlformats.org/officeDocument/2006/relationships/hyperlink" Target="https://paperpile.com/c/wFd6d6/DDH8+RgAV" TargetMode="External"/><Relationship Id="rId51" Type="http://schemas.openxmlformats.org/officeDocument/2006/relationships/hyperlink" Target="https://paperpile.com/c/wFd6d6/uifu" TargetMode="External"/><Relationship Id="rId72" Type="http://schemas.openxmlformats.org/officeDocument/2006/relationships/hyperlink" Target="http://paperpile.com/b/wFd6d6/1YBh" TargetMode="External"/><Relationship Id="rId93" Type="http://schemas.openxmlformats.org/officeDocument/2006/relationships/hyperlink" Target="http://paperpile.com/b/wFd6d6/YtiO" TargetMode="External"/><Relationship Id="rId98" Type="http://schemas.openxmlformats.org/officeDocument/2006/relationships/hyperlink" Target="http://paperpile.com/b/wFd6d6/tv8H" TargetMode="External"/><Relationship Id="rId121" Type="http://schemas.openxmlformats.org/officeDocument/2006/relationships/hyperlink" Target="http://paperpile.com/b/wFd6d6/OyEn" TargetMode="External"/><Relationship Id="rId142" Type="http://schemas.openxmlformats.org/officeDocument/2006/relationships/hyperlink" Target="http://paperpile.com/b/wFd6d6/Y7f9" TargetMode="External"/><Relationship Id="rId163" Type="http://schemas.openxmlformats.org/officeDocument/2006/relationships/hyperlink" Target="http://paperpile.com/b/wFd6d6/HqvG" TargetMode="External"/><Relationship Id="rId184"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paperpile.com/c/wFd6d6/fQyV" TargetMode="External"/><Relationship Id="rId46" Type="http://schemas.openxmlformats.org/officeDocument/2006/relationships/hyperlink" Target="https://paperpile.com/c/wFd6d6/OyEn" TargetMode="External"/><Relationship Id="rId67" Type="http://schemas.openxmlformats.org/officeDocument/2006/relationships/hyperlink" Target="http://paperpile.com/b/wFd6d6/RgAV" TargetMode="External"/><Relationship Id="rId116" Type="http://schemas.openxmlformats.org/officeDocument/2006/relationships/hyperlink" Target="http://paperpile.com/b/wFd6d6/fQyV" TargetMode="External"/><Relationship Id="rId137" Type="http://schemas.openxmlformats.org/officeDocument/2006/relationships/hyperlink" Target="http://paperpile.com/b/wFd6d6/kbRP" TargetMode="External"/><Relationship Id="rId158" Type="http://schemas.openxmlformats.org/officeDocument/2006/relationships/hyperlink" Target="http://paperpile.com/b/wFd6d6/0FUD" TargetMode="External"/><Relationship Id="rId20" Type="http://schemas.openxmlformats.org/officeDocument/2006/relationships/hyperlink" Target="https://paperpile.com/c/wFd6d6/ECdo" TargetMode="External"/><Relationship Id="rId41" Type="http://schemas.openxmlformats.org/officeDocument/2006/relationships/hyperlink" Target="https://paperpile.com/c/wFd6d6/YA0P" TargetMode="External"/><Relationship Id="rId62" Type="http://schemas.openxmlformats.org/officeDocument/2006/relationships/hyperlink" Target="http://paperpile.com/b/wFd6d6/QjRz" TargetMode="External"/><Relationship Id="rId83" Type="http://schemas.openxmlformats.org/officeDocument/2006/relationships/hyperlink" Target="http://paperpile.com/b/wFd6d6/28Kh" TargetMode="External"/><Relationship Id="rId88" Type="http://schemas.openxmlformats.org/officeDocument/2006/relationships/hyperlink" Target="http://paperpile.com/b/wFd6d6/O6wn" TargetMode="External"/><Relationship Id="rId111" Type="http://schemas.openxmlformats.org/officeDocument/2006/relationships/hyperlink" Target="http://paperpile.com/b/wFd6d6/vfuO" TargetMode="External"/><Relationship Id="rId132" Type="http://schemas.openxmlformats.org/officeDocument/2006/relationships/hyperlink" Target="http://paperpile.com/b/wFd6d6/KN0C" TargetMode="External"/><Relationship Id="rId153" Type="http://schemas.openxmlformats.org/officeDocument/2006/relationships/hyperlink" Target="http://paperpile.com/b/wFd6d6/Iw9u" TargetMode="External"/><Relationship Id="rId174" Type="http://schemas.openxmlformats.org/officeDocument/2006/relationships/hyperlink" Target="http://paperpile.com/b/wFd6d6/UqvH" TargetMode="External"/><Relationship Id="rId179" Type="http://schemas.openxmlformats.org/officeDocument/2006/relationships/hyperlink" Target="http://paperpile.com/b/wFd6d6/mC7G" TargetMode="External"/><Relationship Id="rId15" Type="http://schemas.openxmlformats.org/officeDocument/2006/relationships/hyperlink" Target="https://paperpile.com/c/wFd6d6/wpp7" TargetMode="External"/><Relationship Id="rId36" Type="http://schemas.openxmlformats.org/officeDocument/2006/relationships/hyperlink" Target="https://paperpile.com/c/wFd6d6/JPqH" TargetMode="External"/><Relationship Id="rId57" Type="http://schemas.openxmlformats.org/officeDocument/2006/relationships/hyperlink" Target="http://www.ukbiobank.ac.uk/wp-content/uploads/2017/06/24983-Dr-Manuel-Rivas.pdf" TargetMode="External"/><Relationship Id="rId106" Type="http://schemas.openxmlformats.org/officeDocument/2006/relationships/hyperlink" Target="http://paperpile.com/b/wFd6d6/xUt9" TargetMode="External"/><Relationship Id="rId127" Type="http://schemas.openxmlformats.org/officeDocument/2006/relationships/hyperlink" Target="http://paperpile.com/b/wFd6d6/kbTj" TargetMode="External"/><Relationship Id="rId10" Type="http://schemas.openxmlformats.org/officeDocument/2006/relationships/hyperlink" Target="https://paperpile.com/c/wFd6d6/1YBh" TargetMode="External"/><Relationship Id="rId31" Type="http://schemas.openxmlformats.org/officeDocument/2006/relationships/hyperlink" Target="https://paperpile.com/c/wFd6d6/KN0C" TargetMode="External"/><Relationship Id="rId52" Type="http://schemas.openxmlformats.org/officeDocument/2006/relationships/hyperlink" Target="https://paperpile.com/c/wFd6d6/wKtR" TargetMode="External"/><Relationship Id="rId73" Type="http://schemas.openxmlformats.org/officeDocument/2006/relationships/hyperlink" Target="http://paperpile.com/b/wFd6d6/1YBh" TargetMode="External"/><Relationship Id="rId78" Type="http://schemas.openxmlformats.org/officeDocument/2006/relationships/hyperlink" Target="http://paperpile.com/b/wFd6d6/0QPR" TargetMode="External"/><Relationship Id="rId94" Type="http://schemas.openxmlformats.org/officeDocument/2006/relationships/hyperlink" Target="http://paperpile.com/b/wFd6d6/YtiO" TargetMode="External"/><Relationship Id="rId99" Type="http://schemas.openxmlformats.org/officeDocument/2006/relationships/hyperlink" Target="http://paperpile.com/b/wFd6d6/wKtR" TargetMode="External"/><Relationship Id="rId101" Type="http://schemas.openxmlformats.org/officeDocument/2006/relationships/hyperlink" Target="http://paperpile.com/b/wFd6d6/wKtR" TargetMode="External"/><Relationship Id="rId122" Type="http://schemas.openxmlformats.org/officeDocument/2006/relationships/hyperlink" Target="http://paperpile.com/b/wFd6d6/OyEn" TargetMode="External"/><Relationship Id="rId143" Type="http://schemas.openxmlformats.org/officeDocument/2006/relationships/hyperlink" Target="http://paperpile.com/b/wFd6d6/JPqH" TargetMode="External"/><Relationship Id="rId148" Type="http://schemas.openxmlformats.org/officeDocument/2006/relationships/hyperlink" Target="http://paperpile.com/b/wFd6d6/9l72" TargetMode="External"/><Relationship Id="rId164" Type="http://schemas.openxmlformats.org/officeDocument/2006/relationships/hyperlink" Target="http://paperpile.com/b/wFd6d6/99bs" TargetMode="External"/><Relationship Id="rId169" Type="http://schemas.openxmlformats.org/officeDocument/2006/relationships/hyperlink" Target="http://paperpile.com/b/wFd6d6/JCil" TargetMode="External"/><Relationship Id="rId4" Type="http://schemas.openxmlformats.org/officeDocument/2006/relationships/footnotes" Target="footnotes.xml"/><Relationship Id="rId9" Type="http://schemas.openxmlformats.org/officeDocument/2006/relationships/hyperlink" Target="https://paperpile.com/c/wFd6d6/CcIi" TargetMode="External"/><Relationship Id="rId180" Type="http://schemas.openxmlformats.org/officeDocument/2006/relationships/hyperlink" Target="http://paperpile.com/b/wFd6d6/mC7G" TargetMode="External"/><Relationship Id="rId26" Type="http://schemas.openxmlformats.org/officeDocument/2006/relationships/hyperlink" Target="https://paperpile.com/c/wFd6d6/DhjQ" TargetMode="External"/><Relationship Id="rId47" Type="http://schemas.openxmlformats.org/officeDocument/2006/relationships/hyperlink" Target="https://paperpile.com/c/wFd6d6/OyEn" TargetMode="External"/><Relationship Id="rId68" Type="http://schemas.openxmlformats.org/officeDocument/2006/relationships/hyperlink" Target="http://paperpile.com/b/wFd6d6/RgAV" TargetMode="External"/><Relationship Id="rId89" Type="http://schemas.openxmlformats.org/officeDocument/2006/relationships/hyperlink" Target="http://paperpile.com/b/wFd6d6/O6wn" TargetMode="External"/><Relationship Id="rId112" Type="http://schemas.openxmlformats.org/officeDocument/2006/relationships/hyperlink" Target="http://paperpile.com/b/wFd6d6/vfuO" TargetMode="External"/><Relationship Id="rId133" Type="http://schemas.openxmlformats.org/officeDocument/2006/relationships/hyperlink" Target="http://paperpile.com/b/wFd6d6/k564" TargetMode="External"/><Relationship Id="rId154" Type="http://schemas.openxmlformats.org/officeDocument/2006/relationships/hyperlink" Target="http://paperpile.com/b/wFd6d6/Iw9u" TargetMode="External"/><Relationship Id="rId175" Type="http://schemas.openxmlformats.org/officeDocument/2006/relationships/hyperlink" Target="http://paperpile.com/b/wFd6d6/UqvH" TargetMode="External"/><Relationship Id="rId16" Type="http://schemas.openxmlformats.org/officeDocument/2006/relationships/hyperlink" Target="https://paperpile.com/c/wFd6d6/YtiO+tv8H" TargetMode="External"/><Relationship Id="rId37" Type="http://schemas.openxmlformats.org/officeDocument/2006/relationships/hyperlink" Target="https://paperpile.com/c/wFd6d6/9l72" TargetMode="External"/><Relationship Id="rId58" Type="http://schemas.openxmlformats.org/officeDocument/2006/relationships/hyperlink" Target="https://bit.ly/hla_sup1" TargetMode="External"/><Relationship Id="rId79" Type="http://schemas.openxmlformats.org/officeDocument/2006/relationships/hyperlink" Target="http://paperpile.com/b/wFd6d6/0QPR" TargetMode="External"/><Relationship Id="rId102" Type="http://schemas.openxmlformats.org/officeDocument/2006/relationships/hyperlink" Target="http://paperpile.com/b/wFd6d6/ECdo" TargetMode="External"/><Relationship Id="rId123" Type="http://schemas.openxmlformats.org/officeDocument/2006/relationships/hyperlink" Target="http://paperpile.com/b/wFd6d6/OyEn" TargetMode="External"/><Relationship Id="rId144" Type="http://schemas.openxmlformats.org/officeDocument/2006/relationships/hyperlink" Target="http://paperpile.com/b/wFd6d6/JPqH" TargetMode="External"/><Relationship Id="rId90" Type="http://schemas.openxmlformats.org/officeDocument/2006/relationships/hyperlink" Target="http://paperpile.com/b/wFd6d6/wpp7" TargetMode="External"/><Relationship Id="rId165" Type="http://schemas.openxmlformats.org/officeDocument/2006/relationships/hyperlink" Target="http://paperpile.com/b/wFd6d6/99bs" TargetMode="External"/><Relationship Id="rId27" Type="http://schemas.openxmlformats.org/officeDocument/2006/relationships/hyperlink" Target="https://paperpile.com/c/wFd6d6/uifu" TargetMode="External"/><Relationship Id="rId48" Type="http://schemas.openxmlformats.org/officeDocument/2006/relationships/hyperlink" Target="https://paperpile.com/c/wFd6d6/UqvH" TargetMode="External"/><Relationship Id="rId69" Type="http://schemas.openxmlformats.org/officeDocument/2006/relationships/hyperlink" Target="http://paperpile.com/b/wFd6d6/CcIi" TargetMode="External"/><Relationship Id="rId113" Type="http://schemas.openxmlformats.org/officeDocument/2006/relationships/hyperlink" Target="http://paperpile.com/b/wFd6d6/vfuO" TargetMode="External"/><Relationship Id="rId134" Type="http://schemas.openxmlformats.org/officeDocument/2006/relationships/hyperlink" Target="http://paperpile.com/b/wFd6d6/WVNA" TargetMode="External"/><Relationship Id="rId80" Type="http://schemas.openxmlformats.org/officeDocument/2006/relationships/hyperlink" Target="http://paperpile.com/b/wFd6d6/0QPR" TargetMode="External"/><Relationship Id="rId155" Type="http://schemas.openxmlformats.org/officeDocument/2006/relationships/hyperlink" Target="http://paperpile.com/b/wFd6d6/YA0P" TargetMode="External"/><Relationship Id="rId176" Type="http://schemas.openxmlformats.org/officeDocument/2006/relationships/hyperlink" Target="http://paperpile.com/b/wFd6d6/cylk" TargetMode="External"/><Relationship Id="rId17" Type="http://schemas.openxmlformats.org/officeDocument/2006/relationships/hyperlink" Target="https://paperpile.com/c/wFd6d6/YtiO" TargetMode="External"/><Relationship Id="rId38" Type="http://schemas.openxmlformats.org/officeDocument/2006/relationships/hyperlink" Target="https://paperpile.com/c/wFd6d6/1Q80" TargetMode="External"/><Relationship Id="rId59" Type="http://schemas.openxmlformats.org/officeDocument/2006/relationships/hyperlink" Target="http://paperpile.com/b/wFd6d6/WpCF" TargetMode="External"/><Relationship Id="rId103" Type="http://schemas.openxmlformats.org/officeDocument/2006/relationships/hyperlink" Target="http://paperpile.com/b/wFd6d6/ECdo" TargetMode="External"/><Relationship Id="rId124" Type="http://schemas.openxmlformats.org/officeDocument/2006/relationships/hyperlink" Target="http://paperpile.com/b/wFd6d6/ievD" TargetMode="External"/><Relationship Id="rId70" Type="http://schemas.openxmlformats.org/officeDocument/2006/relationships/hyperlink" Target="http://paperpile.com/b/wFd6d6/CcIi" TargetMode="External"/><Relationship Id="rId91" Type="http://schemas.openxmlformats.org/officeDocument/2006/relationships/hyperlink" Target="http://paperpile.com/b/wFd6d6/wpp7" TargetMode="External"/><Relationship Id="rId145" Type="http://schemas.openxmlformats.org/officeDocument/2006/relationships/hyperlink" Target="http://paperpile.com/b/wFd6d6/JPqH" TargetMode="External"/><Relationship Id="rId166" Type="http://schemas.openxmlformats.org/officeDocument/2006/relationships/hyperlink" Target="http://paperpile.com/b/wFd6d6/99bs" TargetMode="External"/><Relationship Id="rId1" Type="http://schemas.openxmlformats.org/officeDocument/2006/relationships/styles" Target="styles.xml"/><Relationship Id="rId28" Type="http://schemas.openxmlformats.org/officeDocument/2006/relationships/hyperlink" Target="https://paperpile.com/c/wFd6d6/OyEn" TargetMode="External"/><Relationship Id="rId49" Type="http://schemas.openxmlformats.org/officeDocument/2006/relationships/image" Target="media/image2.jpg"/><Relationship Id="rId114" Type="http://schemas.openxmlformats.org/officeDocument/2006/relationships/hyperlink" Target="http://paperpile.com/b/wFd6d6/fQy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7478</Words>
  <Characters>42625</Characters>
  <Application>Microsoft Office Word</Application>
  <DocSecurity>0</DocSecurity>
  <Lines>355</Lines>
  <Paragraphs>100</Paragraphs>
  <ScaleCrop>false</ScaleCrop>
  <Company/>
  <LinksUpToDate>false</LinksUpToDate>
  <CharactersWithSpaces>50003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Guhan Ram Venkataraman</cp:lastModifiedBy>
  <cp:revision>2</cp:revision>
  <dcterms:created xsi:type="dcterms:W3CDTF">2020-05-24T05:47:00Z</dcterms:created>
  <dcterms:modified xsi:type="dcterms:W3CDTF">2020-05-24T05:49:00Z</dcterms:modified>
</cp:coreProperties>
</file>