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F7393">
      <w:pPr>
        <w:keepNext w:val="0"/>
        <w:keepLines w:val="0"/>
        <w:pageBreakBefore w:val="0"/>
        <w:widowControl/>
        <w:kinsoku/>
        <w:wordWrap/>
        <w:overflowPunct/>
        <w:topLinePunct w:val="0"/>
        <w:autoSpaceDE/>
        <w:autoSpaceDN/>
        <w:bidi w:val="0"/>
        <w:adjustRightInd/>
        <w:snapToGrid/>
        <w:jc w:val="center"/>
        <w:textAlignment w:val="auto"/>
        <w:rPr>
          <w:rFonts w:hint="default" w:ascii="Calibri" w:hAnsi="Calibri" w:cs="Calibri"/>
          <w:b/>
          <w:bCs/>
          <w:color w:val="000000" w:themeColor="text1"/>
          <w:sz w:val="56"/>
          <w:szCs w:val="56"/>
          <w14:textFill>
            <w14:solidFill>
              <w14:schemeClr w14:val="tx1"/>
            </w14:solidFill>
          </w14:textFill>
        </w:rPr>
      </w:pPr>
      <w:r>
        <w:rPr>
          <w:rFonts w:hint="default" w:ascii="Calibri" w:hAnsi="Calibri" w:cs="Calibri"/>
          <w:b/>
          <w:bCs/>
          <w:color w:val="000000" w:themeColor="text1"/>
          <w:sz w:val="56"/>
          <w:szCs w:val="56"/>
          <w14:textFill>
            <w14:solidFill>
              <w14:schemeClr w14:val="tx1"/>
            </w14:solidFill>
          </w14:textFill>
        </w:rPr>
        <w:t>Producto Final de Automatización</w:t>
      </w:r>
      <w:r>
        <w:rPr>
          <w:rFonts w:hint="default" w:ascii="Calibri" w:hAnsi="Calibri" w:cs="Calibri"/>
          <w:b/>
          <w:bCs/>
          <w:color w:val="000000" w:themeColor="text1"/>
          <w:sz w:val="56"/>
          <w:szCs w:val="56"/>
          <w:lang w:val="es-CO"/>
          <w14:textFill>
            <w14:solidFill>
              <w14:schemeClr w14:val="tx1"/>
            </w14:solidFill>
          </w14:textFill>
        </w:rPr>
        <w:t xml:space="preserve"> </w:t>
      </w:r>
      <w:r>
        <w:rPr>
          <w:rFonts w:hint="default" w:ascii="Calibri" w:hAnsi="Calibri" w:cs="Calibri"/>
          <w:b/>
          <w:bCs/>
          <w:color w:val="000000" w:themeColor="text1"/>
          <w:sz w:val="56"/>
          <w:szCs w:val="56"/>
          <w14:textFill>
            <w14:solidFill>
              <w14:schemeClr w14:val="tx1"/>
            </w14:solidFill>
          </w14:textFill>
        </w:rPr>
        <w:t>Canal Correo Electrónico</w:t>
      </w:r>
    </w:p>
    <w:p w14:paraId="2E989491">
      <w:pPr>
        <w:pStyle w:val="2"/>
        <w:keepNext w:val="0"/>
        <w:keepLines w:val="0"/>
        <w:pageBreakBefore w:val="0"/>
        <w:widowControl/>
        <w:pBdr>
          <w:bottom w:val="single" w:color="1F4E79" w:sz="6" w:space="4"/>
        </w:pBdr>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p>
    <w:p w14:paraId="4F38283B">
      <w:pPr>
        <w:pStyle w:val="2"/>
        <w:keepNext w:val="0"/>
        <w:keepLines w:val="0"/>
        <w:pageBreakBefore w:val="0"/>
        <w:widowControl/>
        <w:pBdr>
          <w:bottom w:val="single" w:color="1F4E79" w:sz="6" w:space="4"/>
        </w:pBdr>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Contexto y situación actual</w:t>
      </w:r>
    </w:p>
    <w:p w14:paraId="3BEB5BA0">
      <w:pPr>
        <w:keepNext w:val="0"/>
        <w:keepLines w:val="0"/>
        <w:pageBreakBefore w:val="0"/>
        <w:widowControl/>
        <w:kinsoku/>
        <w:wordWrap/>
        <w:overflowPunct/>
        <w:topLinePunct w:val="0"/>
        <w:autoSpaceDE/>
        <w:autoSpaceDN/>
        <w:bidi w:val="0"/>
        <w:adjustRightInd/>
        <w:snapToGrid/>
        <w:jc w:val="both"/>
        <w:textAlignment w:val="auto"/>
        <w:rPr>
          <w:rFonts w:hint="default" w:ascii="Calibri" w:hAnsi="Calibri" w:cs="Calibri"/>
          <w:color w:val="000000" w:themeColor="text1"/>
          <w14:textFill>
            <w14:solidFill>
              <w14:schemeClr w14:val="tx1"/>
            </w14:solidFill>
          </w14:textFill>
        </w:rPr>
      </w:pPr>
    </w:p>
    <w:p w14:paraId="5F595645">
      <w:pPr>
        <w:keepNext w:val="0"/>
        <w:keepLines w:val="0"/>
        <w:pageBreakBefore w:val="0"/>
        <w:widowControl/>
        <w:kinsoku/>
        <w:wordWrap/>
        <w:overflowPunct/>
        <w:topLinePunct w:val="0"/>
        <w:autoSpaceDE/>
        <w:autoSpaceDN/>
        <w:bidi w:val="0"/>
        <w:adjustRightInd/>
        <w:snapToGrid/>
        <w:jc w:val="both"/>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 xml:space="preserve">El canal de correo electrónico es actualmente el principal medio formal de radicación de PQRS. A través de él se reciben comunicaciones de tres tipos de remitente: entes de control y vigilancia (Superintendencia Nacional de Salud, Contraloría, Secretaría de Salud Distrital de Barranquilla) y </w:t>
      </w:r>
      <w:r>
        <w:rPr>
          <w:rFonts w:hint="default" w:ascii="Calibri" w:hAnsi="Calibri" w:cs="Calibri"/>
          <w:color w:val="000000" w:themeColor="text1"/>
          <w:lang w:val="es-CO"/>
          <w14:textFill>
            <w14:solidFill>
              <w14:schemeClr w14:val="tx1"/>
            </w14:solidFill>
          </w14:textFill>
        </w:rPr>
        <w:t xml:space="preserve">las </w:t>
      </w:r>
      <w:r>
        <w:rPr>
          <w:rFonts w:hint="default" w:ascii="Calibri" w:hAnsi="Calibri" w:cs="Calibri"/>
          <w:color w:val="000000" w:themeColor="text1"/>
          <w14:textFill>
            <w14:solidFill>
              <w14:schemeClr w14:val="tx1"/>
            </w14:solidFill>
          </w14:textFill>
        </w:rPr>
        <w:t>EPS, cada una identificada por uno o más dominios de correo institucional, incluyendo el caso particular de Mutual Ser, que opera con un dominio adicional para su operador externo (BPO Affinity).</w:t>
      </w:r>
    </w:p>
    <w:p w14:paraId="671A388F">
      <w:pPr>
        <w:keepNext w:val="0"/>
        <w:keepLines w:val="0"/>
        <w:pageBreakBefore w:val="0"/>
        <w:widowControl/>
        <w:kinsoku/>
        <w:wordWrap/>
        <w:overflowPunct/>
        <w:topLinePunct w:val="0"/>
        <w:autoSpaceDE/>
        <w:autoSpaceDN/>
        <w:bidi w:val="0"/>
        <w:adjustRightInd/>
        <w:snapToGrid/>
        <w:jc w:val="both"/>
        <w:textAlignment w:val="auto"/>
        <w:rPr>
          <w:rFonts w:hint="default" w:ascii="Calibri" w:hAnsi="Calibri" w:cs="Calibri"/>
          <w:color w:val="000000" w:themeColor="text1"/>
          <w14:textFill>
            <w14:solidFill>
              <w14:schemeClr w14:val="tx1"/>
            </w14:solidFill>
          </w14:textFill>
        </w:rPr>
      </w:pPr>
    </w:p>
    <w:p w14:paraId="353727AB">
      <w:pPr>
        <w:pStyle w:val="3"/>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Problemática identificada</w:t>
      </w:r>
    </w:p>
    <w:p w14:paraId="65A44CB9">
      <w:pPr>
        <w:keepNext w:val="0"/>
        <w:keepLines w:val="0"/>
        <w:pageBreakBefore w:val="0"/>
        <w:widowControl/>
        <w:kinsoku/>
        <w:wordWrap/>
        <w:overflowPunct/>
        <w:topLinePunct w:val="0"/>
        <w:autoSpaceDE/>
        <w:autoSpaceDN/>
        <w:bidi w:val="0"/>
        <w:adjustRightInd/>
        <w:snapToGrid/>
        <w:jc w:val="both"/>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A partir del levantamiento realizado con el equipo funcional, se identificaron los siguientes problemas puntuales en la operación actual del canal:</w:t>
      </w:r>
    </w:p>
    <w:p w14:paraId="293E39EF">
      <w:pPr>
        <w:keepNext w:val="0"/>
        <w:keepLines w:val="0"/>
        <w:pageBreakBefore w:val="0"/>
        <w:widowControl/>
        <w:kinsoku/>
        <w:wordWrap/>
        <w:overflowPunct/>
        <w:topLinePunct w:val="0"/>
        <w:autoSpaceDE/>
        <w:autoSpaceDN/>
        <w:bidi w:val="0"/>
        <w:adjustRightInd/>
        <w:snapToGrid/>
        <w:jc w:val="both"/>
        <w:textAlignment w:val="auto"/>
        <w:rPr>
          <w:rFonts w:hint="default" w:ascii="Calibri" w:hAnsi="Calibri" w:cs="Calibri"/>
          <w:color w:val="000000" w:themeColor="text1"/>
          <w14:textFill>
            <w14:solidFill>
              <w14:schemeClr w14:val="tx1"/>
            </w14:solidFill>
          </w14:textFill>
        </w:rPr>
      </w:pPr>
    </w:p>
    <w:tbl>
      <w:tblPr>
        <w:tblStyle w:val="9"/>
        <w:tblW w:w="10020" w:type="dxa"/>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4"/>
        <w:gridCol w:w="9456"/>
      </w:tblGrid>
      <w:tr w14:paraId="726EF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64" w:type="dxa"/>
            <w:shd w:val="clear" w:color="auto" w:fill="D7D7D7" w:themeFill="background1" w:themeFillShade="D8"/>
            <w:tcMar>
              <w:top w:w="80" w:type="dxa"/>
              <w:left w:w="120" w:type="dxa"/>
              <w:bottom w:w="80" w:type="dxa"/>
              <w:right w:w="120" w:type="dxa"/>
            </w:tcMar>
            <w:vAlign w:val="center"/>
          </w:tcPr>
          <w:p w14:paraId="51791D79">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bCs/>
                <w:i w:val="0"/>
                <w:iCs w:val="0"/>
                <w:color w:val="000000" w:themeColor="text1"/>
                <w14:textFill>
                  <w14:solidFill>
                    <w14:schemeClr w14:val="tx1"/>
                  </w14:solidFill>
                </w14:textFill>
              </w:rPr>
              <w:t>N°</w:t>
            </w:r>
          </w:p>
        </w:tc>
        <w:tc>
          <w:tcPr>
            <w:tcW w:w="9456" w:type="dxa"/>
            <w:shd w:val="clear" w:color="auto" w:fill="D7D7D7" w:themeFill="background1" w:themeFillShade="D8"/>
            <w:tcMar>
              <w:top w:w="80" w:type="dxa"/>
              <w:left w:w="120" w:type="dxa"/>
              <w:bottom w:w="80" w:type="dxa"/>
              <w:right w:w="120" w:type="dxa"/>
            </w:tcMar>
            <w:vAlign w:val="center"/>
          </w:tcPr>
          <w:p w14:paraId="3955C919">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bCs/>
                <w:i w:val="0"/>
                <w:iCs w:val="0"/>
                <w:color w:val="000000" w:themeColor="text1"/>
                <w14:textFill>
                  <w14:solidFill>
                    <w14:schemeClr w14:val="tx1"/>
                  </w14:solidFill>
                </w14:textFill>
              </w:rPr>
              <w:t>Problema identificado</w:t>
            </w:r>
          </w:p>
        </w:tc>
      </w:tr>
      <w:tr w14:paraId="72D3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4" w:type="dxa"/>
            <w:shd w:val="clear" w:color="auto" w:fill="auto"/>
            <w:tcMar>
              <w:top w:w="80" w:type="dxa"/>
              <w:left w:w="120" w:type="dxa"/>
              <w:bottom w:w="80" w:type="dxa"/>
              <w:right w:w="120" w:type="dxa"/>
            </w:tcMar>
            <w:vAlign w:val="center"/>
          </w:tcPr>
          <w:p w14:paraId="58DFB768">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1</w:t>
            </w:r>
          </w:p>
        </w:tc>
        <w:tc>
          <w:tcPr>
            <w:tcW w:w="9456" w:type="dxa"/>
            <w:shd w:val="clear" w:color="auto" w:fill="auto"/>
            <w:tcMar>
              <w:top w:w="80" w:type="dxa"/>
              <w:left w:w="120" w:type="dxa"/>
              <w:bottom w:w="80" w:type="dxa"/>
              <w:right w:w="120" w:type="dxa"/>
            </w:tcMar>
            <w:vAlign w:val="center"/>
          </w:tcPr>
          <w:p w14:paraId="12B81C12">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No existe clasificación de los correos que llegan: todos los mensajes se reciben mezclados, sin distinción por asunto ni por nivel de riesgo.</w:t>
            </w:r>
          </w:p>
        </w:tc>
      </w:tr>
      <w:tr w14:paraId="0F70F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4" w:type="dxa"/>
            <w:shd w:val="clear" w:color="auto" w:fill="auto"/>
            <w:tcMar>
              <w:top w:w="80" w:type="dxa"/>
              <w:left w:w="120" w:type="dxa"/>
              <w:bottom w:w="80" w:type="dxa"/>
              <w:right w:w="120" w:type="dxa"/>
            </w:tcMar>
            <w:vAlign w:val="center"/>
          </w:tcPr>
          <w:p w14:paraId="74CF5B23">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2</w:t>
            </w:r>
          </w:p>
        </w:tc>
        <w:tc>
          <w:tcPr>
            <w:tcW w:w="9456" w:type="dxa"/>
            <w:shd w:val="clear" w:color="auto" w:fill="auto"/>
            <w:tcMar>
              <w:top w:w="80" w:type="dxa"/>
              <w:left w:w="120" w:type="dxa"/>
              <w:bottom w:w="80" w:type="dxa"/>
              <w:right w:w="120" w:type="dxa"/>
            </w:tcMar>
            <w:vAlign w:val="center"/>
          </w:tcPr>
          <w:p w14:paraId="24C85493">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No hay aviso o notificación interna de los correos que van llegando por cada EPS y entidad; nadie se entera de un nuevo correo hasta que alguien revisa manualmente la bandeja.</w:t>
            </w:r>
          </w:p>
        </w:tc>
      </w:tr>
      <w:tr w14:paraId="13376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4" w:type="dxa"/>
            <w:shd w:val="clear" w:color="auto" w:fill="auto"/>
            <w:tcMar>
              <w:top w:w="80" w:type="dxa"/>
              <w:left w:w="120" w:type="dxa"/>
              <w:bottom w:w="80" w:type="dxa"/>
              <w:right w:w="120" w:type="dxa"/>
            </w:tcMar>
            <w:vAlign w:val="center"/>
          </w:tcPr>
          <w:p w14:paraId="5EE862F9">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3</w:t>
            </w:r>
          </w:p>
        </w:tc>
        <w:tc>
          <w:tcPr>
            <w:tcW w:w="9456" w:type="dxa"/>
            <w:shd w:val="clear" w:color="auto" w:fill="auto"/>
            <w:tcMar>
              <w:top w:w="80" w:type="dxa"/>
              <w:left w:w="120" w:type="dxa"/>
              <w:bottom w:w="80" w:type="dxa"/>
              <w:right w:w="120" w:type="dxa"/>
            </w:tcMar>
            <w:vAlign w:val="center"/>
          </w:tcPr>
          <w:p w14:paraId="65076601">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No existe una respuesta automática de acuse de recibo cuando llega un correo, por lo que el remitente (EPS o ente de control) no tiene ninguna confirmación inmediata de que su comunicación fue recibida.</w:t>
            </w:r>
          </w:p>
        </w:tc>
      </w:tr>
    </w:tbl>
    <w:p w14:paraId="0761F212">
      <w:pPr>
        <w:pStyle w:val="3"/>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p>
    <w:p w14:paraId="023CD0D3">
      <w:pPr>
        <w:pStyle w:val="3"/>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b/>
          <w:bCs/>
          <w:color w:val="000000" w:themeColor="text1"/>
          <w14:textFill>
            <w14:solidFill>
              <w14:schemeClr w14:val="tx1"/>
            </w14:solidFill>
          </w14:textFill>
        </w:rPr>
      </w:pPr>
      <w:r>
        <w:rPr>
          <w:rFonts w:hint="default" w:ascii="Calibri" w:hAnsi="Calibri" w:cs="Calibri"/>
          <w:b/>
          <w:bCs/>
          <w:color w:val="000000" w:themeColor="text1"/>
          <w14:textFill>
            <w14:solidFill>
              <w14:schemeClr w14:val="tx1"/>
            </w14:solidFill>
          </w14:textFill>
        </w:rPr>
        <w:t>Entidades y dominios de correo identificados</w:t>
      </w:r>
    </w:p>
    <w:p w14:paraId="764086CE">
      <w:pPr>
        <w:rPr>
          <w:rFonts w:hint="default"/>
        </w:rPr>
      </w:pPr>
    </w:p>
    <w:tbl>
      <w:tblPr>
        <w:tblStyle w:val="9"/>
        <w:tblW w:w="10030" w:type="dxa"/>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64"/>
        <w:gridCol w:w="4000"/>
        <w:gridCol w:w="4366"/>
      </w:tblGrid>
      <w:tr w14:paraId="7A657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64" w:type="dxa"/>
            <w:shd w:val="clear" w:color="auto" w:fill="D7D7D7" w:themeFill="background1" w:themeFillShade="D8"/>
            <w:tcMar>
              <w:top w:w="80" w:type="dxa"/>
              <w:left w:w="120" w:type="dxa"/>
              <w:bottom w:w="80" w:type="dxa"/>
              <w:right w:w="120" w:type="dxa"/>
            </w:tcMar>
            <w:vAlign w:val="center"/>
          </w:tcPr>
          <w:p w14:paraId="6C9999A3">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bCs/>
                <w:i w:val="0"/>
                <w:iCs w:val="0"/>
                <w:color w:val="000000" w:themeColor="text1"/>
                <w14:textFill>
                  <w14:solidFill>
                    <w14:schemeClr w14:val="tx1"/>
                  </w14:solidFill>
                </w14:textFill>
              </w:rPr>
              <w:t>Tipo</w:t>
            </w:r>
          </w:p>
        </w:tc>
        <w:tc>
          <w:tcPr>
            <w:tcW w:w="4000" w:type="dxa"/>
            <w:shd w:val="clear" w:color="auto" w:fill="D7D7D7" w:themeFill="background1" w:themeFillShade="D8"/>
            <w:tcMar>
              <w:top w:w="80" w:type="dxa"/>
              <w:left w:w="120" w:type="dxa"/>
              <w:bottom w:w="80" w:type="dxa"/>
              <w:right w:w="120" w:type="dxa"/>
            </w:tcMar>
            <w:vAlign w:val="center"/>
          </w:tcPr>
          <w:p w14:paraId="346A45A0">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bCs/>
                <w:i w:val="0"/>
                <w:iCs w:val="0"/>
                <w:color w:val="000000" w:themeColor="text1"/>
                <w14:textFill>
                  <w14:solidFill>
                    <w14:schemeClr w14:val="tx1"/>
                  </w14:solidFill>
                </w14:textFill>
              </w:rPr>
              <w:t>Entidad</w:t>
            </w:r>
          </w:p>
        </w:tc>
        <w:tc>
          <w:tcPr>
            <w:tcW w:w="4366" w:type="dxa"/>
            <w:shd w:val="clear" w:color="auto" w:fill="D7D7D7" w:themeFill="background1" w:themeFillShade="D8"/>
            <w:tcMar>
              <w:top w:w="80" w:type="dxa"/>
              <w:left w:w="120" w:type="dxa"/>
              <w:bottom w:w="80" w:type="dxa"/>
              <w:right w:w="120" w:type="dxa"/>
            </w:tcMar>
            <w:vAlign w:val="center"/>
          </w:tcPr>
          <w:p w14:paraId="225673F7">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bCs/>
                <w:i w:val="0"/>
                <w:iCs w:val="0"/>
                <w:color w:val="000000" w:themeColor="text1"/>
                <w14:textFill>
                  <w14:solidFill>
                    <w14:schemeClr w14:val="tx1"/>
                  </w14:solidFill>
                </w14:textFill>
              </w:rPr>
              <w:t>Dominio(s) de correo</w:t>
            </w:r>
          </w:p>
        </w:tc>
      </w:tr>
      <w:tr w14:paraId="14801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4" w:type="dxa"/>
            <w:shd w:val="clear" w:color="auto" w:fill="auto"/>
            <w:tcMar>
              <w:top w:w="80" w:type="dxa"/>
              <w:left w:w="120" w:type="dxa"/>
              <w:bottom w:w="80" w:type="dxa"/>
              <w:right w:w="120" w:type="dxa"/>
            </w:tcMar>
            <w:vAlign w:val="center"/>
          </w:tcPr>
          <w:p w14:paraId="51EC9D37">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Ente de control</w:t>
            </w:r>
          </w:p>
        </w:tc>
        <w:tc>
          <w:tcPr>
            <w:tcW w:w="4000" w:type="dxa"/>
            <w:shd w:val="clear" w:color="auto" w:fill="auto"/>
            <w:tcMar>
              <w:top w:w="80" w:type="dxa"/>
              <w:left w:w="120" w:type="dxa"/>
              <w:bottom w:w="80" w:type="dxa"/>
              <w:right w:w="120" w:type="dxa"/>
            </w:tcMar>
            <w:vAlign w:val="center"/>
          </w:tcPr>
          <w:p w14:paraId="6315F8E1">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Secretaría de Salud Distrital de Barranquilla</w:t>
            </w:r>
          </w:p>
        </w:tc>
        <w:tc>
          <w:tcPr>
            <w:tcW w:w="4366" w:type="dxa"/>
            <w:shd w:val="clear" w:color="auto" w:fill="auto"/>
            <w:tcMar>
              <w:top w:w="80" w:type="dxa"/>
              <w:left w:w="120" w:type="dxa"/>
              <w:bottom w:w="80" w:type="dxa"/>
              <w:right w:w="120" w:type="dxa"/>
            </w:tcMar>
            <w:vAlign w:val="center"/>
          </w:tcPr>
          <w:p w14:paraId="6F046A85">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@barranquilla.gov.co</w:t>
            </w:r>
          </w:p>
        </w:tc>
      </w:tr>
      <w:tr w14:paraId="1C24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4" w:type="dxa"/>
            <w:shd w:val="clear" w:color="auto" w:fill="auto"/>
            <w:tcMar>
              <w:top w:w="80" w:type="dxa"/>
              <w:left w:w="120" w:type="dxa"/>
              <w:bottom w:w="80" w:type="dxa"/>
              <w:right w:w="120" w:type="dxa"/>
            </w:tcMar>
            <w:vAlign w:val="center"/>
          </w:tcPr>
          <w:p w14:paraId="61BDDC7C">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Ente de control</w:t>
            </w:r>
          </w:p>
        </w:tc>
        <w:tc>
          <w:tcPr>
            <w:tcW w:w="4000" w:type="dxa"/>
            <w:shd w:val="clear" w:color="auto" w:fill="auto"/>
            <w:tcMar>
              <w:top w:w="80" w:type="dxa"/>
              <w:left w:w="120" w:type="dxa"/>
              <w:bottom w:w="80" w:type="dxa"/>
              <w:right w:w="120" w:type="dxa"/>
            </w:tcMar>
            <w:vAlign w:val="center"/>
          </w:tcPr>
          <w:p w14:paraId="35FD2567">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Superintendencia Nacional de Salud (Supersalud)</w:t>
            </w:r>
          </w:p>
        </w:tc>
        <w:tc>
          <w:tcPr>
            <w:tcW w:w="4366" w:type="dxa"/>
            <w:shd w:val="clear" w:color="auto" w:fill="auto"/>
            <w:tcMar>
              <w:top w:w="80" w:type="dxa"/>
              <w:left w:w="120" w:type="dxa"/>
              <w:bottom w:w="80" w:type="dxa"/>
              <w:right w:w="120" w:type="dxa"/>
            </w:tcMar>
            <w:vAlign w:val="center"/>
          </w:tcPr>
          <w:p w14:paraId="35F13FCE">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lang w:val="es-CO"/>
                <w14:textFill>
                  <w14:solidFill>
                    <w14:schemeClr w14:val="tx1"/>
                  </w14:solidFill>
                </w14:textFill>
              </w:rPr>
            </w:pPr>
            <w:r>
              <w:rPr>
                <w:rFonts w:hint="default" w:ascii="Calibri" w:hAnsi="Calibri" w:cs="Calibri"/>
                <w:b w:val="0"/>
                <w:bCs w:val="0"/>
                <w:i w:val="0"/>
                <w:iCs w:val="0"/>
                <w:color w:val="000000" w:themeColor="text1"/>
                <w:lang w:val="es-CO"/>
                <w14:textFill>
                  <w14:solidFill>
                    <w14:schemeClr w14:val="tx1"/>
                  </w14:solidFill>
                </w14:textFill>
              </w:rPr>
              <w:t>-</w:t>
            </w:r>
          </w:p>
        </w:tc>
      </w:tr>
      <w:tr w14:paraId="09FD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4" w:type="dxa"/>
            <w:shd w:val="clear" w:color="auto" w:fill="auto"/>
            <w:tcMar>
              <w:top w:w="80" w:type="dxa"/>
              <w:left w:w="120" w:type="dxa"/>
              <w:bottom w:w="80" w:type="dxa"/>
              <w:right w:w="120" w:type="dxa"/>
            </w:tcMar>
            <w:vAlign w:val="center"/>
          </w:tcPr>
          <w:p w14:paraId="195B9952">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Ente de control</w:t>
            </w:r>
          </w:p>
        </w:tc>
        <w:tc>
          <w:tcPr>
            <w:tcW w:w="4000" w:type="dxa"/>
            <w:shd w:val="clear" w:color="auto" w:fill="auto"/>
            <w:tcMar>
              <w:top w:w="80" w:type="dxa"/>
              <w:left w:w="120" w:type="dxa"/>
              <w:bottom w:w="80" w:type="dxa"/>
              <w:right w:w="120" w:type="dxa"/>
            </w:tcMar>
            <w:vAlign w:val="center"/>
          </w:tcPr>
          <w:p w14:paraId="75E7DF22">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Contraloría</w:t>
            </w:r>
          </w:p>
        </w:tc>
        <w:tc>
          <w:tcPr>
            <w:tcW w:w="4366" w:type="dxa"/>
            <w:shd w:val="clear" w:color="auto" w:fill="auto"/>
            <w:tcMar>
              <w:top w:w="80" w:type="dxa"/>
              <w:left w:w="120" w:type="dxa"/>
              <w:bottom w:w="80" w:type="dxa"/>
              <w:right w:w="120" w:type="dxa"/>
            </w:tcMar>
            <w:vAlign w:val="center"/>
          </w:tcPr>
          <w:p w14:paraId="3450F96C">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lang w:val="es-CO"/>
                <w14:textFill>
                  <w14:solidFill>
                    <w14:schemeClr w14:val="tx1"/>
                  </w14:solidFill>
                </w14:textFill>
              </w:rPr>
            </w:pPr>
            <w:r>
              <w:rPr>
                <w:rFonts w:hint="default" w:ascii="Calibri" w:hAnsi="Calibri" w:cs="Calibri"/>
                <w:b w:val="0"/>
                <w:bCs w:val="0"/>
                <w:i w:val="0"/>
                <w:iCs w:val="0"/>
                <w:color w:val="000000" w:themeColor="text1"/>
                <w:lang w:val="es-CO"/>
                <w14:textFill>
                  <w14:solidFill>
                    <w14:schemeClr w14:val="tx1"/>
                  </w14:solidFill>
                </w14:textFill>
              </w:rPr>
              <w:t>-</w:t>
            </w:r>
          </w:p>
        </w:tc>
      </w:tr>
      <w:tr w14:paraId="08003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4" w:type="dxa"/>
            <w:shd w:val="clear" w:color="auto" w:fill="auto"/>
            <w:tcMar>
              <w:top w:w="80" w:type="dxa"/>
              <w:left w:w="120" w:type="dxa"/>
              <w:bottom w:w="80" w:type="dxa"/>
              <w:right w:w="120" w:type="dxa"/>
            </w:tcMar>
            <w:vAlign w:val="center"/>
          </w:tcPr>
          <w:p w14:paraId="7E44D389">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w:t>
            </w:r>
          </w:p>
        </w:tc>
        <w:tc>
          <w:tcPr>
            <w:tcW w:w="4000" w:type="dxa"/>
            <w:shd w:val="clear" w:color="auto" w:fill="auto"/>
            <w:tcMar>
              <w:top w:w="80" w:type="dxa"/>
              <w:left w:w="120" w:type="dxa"/>
              <w:bottom w:w="80" w:type="dxa"/>
              <w:right w:w="120" w:type="dxa"/>
            </w:tcMar>
            <w:vAlign w:val="center"/>
          </w:tcPr>
          <w:p w14:paraId="10AF519F">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Nueva EPS</w:t>
            </w:r>
          </w:p>
        </w:tc>
        <w:tc>
          <w:tcPr>
            <w:tcW w:w="4366" w:type="dxa"/>
            <w:shd w:val="clear" w:color="auto" w:fill="auto"/>
            <w:tcMar>
              <w:top w:w="80" w:type="dxa"/>
              <w:left w:w="120" w:type="dxa"/>
              <w:bottom w:w="80" w:type="dxa"/>
              <w:right w:w="120" w:type="dxa"/>
            </w:tcMar>
            <w:vAlign w:val="center"/>
          </w:tcPr>
          <w:p w14:paraId="447F513A">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@nuevaeps.com.co</w:t>
            </w:r>
          </w:p>
        </w:tc>
      </w:tr>
      <w:tr w14:paraId="6C7D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4" w:type="dxa"/>
            <w:shd w:val="clear" w:color="auto" w:fill="auto"/>
            <w:tcMar>
              <w:top w:w="80" w:type="dxa"/>
              <w:left w:w="120" w:type="dxa"/>
              <w:bottom w:w="80" w:type="dxa"/>
              <w:right w:w="120" w:type="dxa"/>
            </w:tcMar>
            <w:vAlign w:val="center"/>
          </w:tcPr>
          <w:p w14:paraId="729F2A7D">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w:t>
            </w:r>
          </w:p>
        </w:tc>
        <w:tc>
          <w:tcPr>
            <w:tcW w:w="4000" w:type="dxa"/>
            <w:shd w:val="clear" w:color="auto" w:fill="auto"/>
            <w:tcMar>
              <w:top w:w="80" w:type="dxa"/>
              <w:left w:w="120" w:type="dxa"/>
              <w:bottom w:w="80" w:type="dxa"/>
              <w:right w:w="120" w:type="dxa"/>
            </w:tcMar>
            <w:vAlign w:val="center"/>
          </w:tcPr>
          <w:p w14:paraId="14A43178">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Famisanar</w:t>
            </w:r>
          </w:p>
        </w:tc>
        <w:tc>
          <w:tcPr>
            <w:tcW w:w="4366" w:type="dxa"/>
            <w:shd w:val="clear" w:color="auto" w:fill="auto"/>
            <w:tcMar>
              <w:top w:w="80" w:type="dxa"/>
              <w:left w:w="120" w:type="dxa"/>
              <w:bottom w:w="80" w:type="dxa"/>
              <w:right w:w="120" w:type="dxa"/>
            </w:tcMar>
            <w:vAlign w:val="center"/>
          </w:tcPr>
          <w:p w14:paraId="0E36124E">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@famisanar.com.co</w:t>
            </w:r>
          </w:p>
        </w:tc>
      </w:tr>
      <w:tr w14:paraId="6BEC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4" w:type="dxa"/>
            <w:shd w:val="clear" w:color="auto" w:fill="auto"/>
            <w:tcMar>
              <w:top w:w="80" w:type="dxa"/>
              <w:left w:w="120" w:type="dxa"/>
              <w:bottom w:w="80" w:type="dxa"/>
              <w:right w:w="120" w:type="dxa"/>
            </w:tcMar>
            <w:vAlign w:val="center"/>
          </w:tcPr>
          <w:p w14:paraId="22703156">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w:t>
            </w:r>
          </w:p>
        </w:tc>
        <w:tc>
          <w:tcPr>
            <w:tcW w:w="4000" w:type="dxa"/>
            <w:shd w:val="clear" w:color="auto" w:fill="auto"/>
            <w:tcMar>
              <w:top w:w="80" w:type="dxa"/>
              <w:left w:w="120" w:type="dxa"/>
              <w:bottom w:w="80" w:type="dxa"/>
              <w:right w:w="120" w:type="dxa"/>
            </w:tcMar>
            <w:vAlign w:val="center"/>
          </w:tcPr>
          <w:p w14:paraId="0FEAEC34">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Sura</w:t>
            </w:r>
          </w:p>
        </w:tc>
        <w:tc>
          <w:tcPr>
            <w:tcW w:w="4366" w:type="dxa"/>
            <w:shd w:val="clear" w:color="auto" w:fill="auto"/>
            <w:tcMar>
              <w:top w:w="80" w:type="dxa"/>
              <w:left w:w="120" w:type="dxa"/>
              <w:bottom w:w="80" w:type="dxa"/>
              <w:right w:w="120" w:type="dxa"/>
            </w:tcMar>
            <w:vAlign w:val="center"/>
          </w:tcPr>
          <w:p w14:paraId="5A695EA9">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@sura.com.co</w:t>
            </w:r>
          </w:p>
        </w:tc>
      </w:tr>
      <w:tr w14:paraId="1A081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4" w:type="dxa"/>
            <w:shd w:val="clear" w:color="auto" w:fill="auto"/>
            <w:tcMar>
              <w:top w:w="80" w:type="dxa"/>
              <w:left w:w="120" w:type="dxa"/>
              <w:bottom w:w="80" w:type="dxa"/>
              <w:right w:w="120" w:type="dxa"/>
            </w:tcMar>
            <w:vAlign w:val="center"/>
          </w:tcPr>
          <w:p w14:paraId="459CE814">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w:t>
            </w:r>
          </w:p>
        </w:tc>
        <w:tc>
          <w:tcPr>
            <w:tcW w:w="4000" w:type="dxa"/>
            <w:shd w:val="clear" w:color="auto" w:fill="auto"/>
            <w:tcMar>
              <w:top w:w="80" w:type="dxa"/>
              <w:left w:w="120" w:type="dxa"/>
              <w:bottom w:w="80" w:type="dxa"/>
              <w:right w:w="120" w:type="dxa"/>
            </w:tcMar>
            <w:vAlign w:val="center"/>
          </w:tcPr>
          <w:p w14:paraId="4B48ACC3">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Mutual Ser</w:t>
            </w:r>
          </w:p>
        </w:tc>
        <w:tc>
          <w:tcPr>
            <w:tcW w:w="4366" w:type="dxa"/>
            <w:shd w:val="clear" w:color="auto" w:fill="auto"/>
            <w:tcMar>
              <w:top w:w="80" w:type="dxa"/>
              <w:left w:w="120" w:type="dxa"/>
              <w:bottom w:w="80" w:type="dxa"/>
              <w:right w:w="120" w:type="dxa"/>
            </w:tcMar>
            <w:vAlign w:val="center"/>
          </w:tcPr>
          <w:p w14:paraId="5ABB36C4">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@mutualser.org / @mutualser.com</w:t>
            </w:r>
          </w:p>
        </w:tc>
      </w:tr>
      <w:tr w14:paraId="32491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4" w:type="dxa"/>
            <w:shd w:val="clear" w:color="auto" w:fill="auto"/>
            <w:tcMar>
              <w:top w:w="80" w:type="dxa"/>
              <w:left w:w="120" w:type="dxa"/>
              <w:bottom w:w="80" w:type="dxa"/>
              <w:right w:w="120" w:type="dxa"/>
            </w:tcMar>
            <w:vAlign w:val="center"/>
          </w:tcPr>
          <w:p w14:paraId="4E1166C7">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 (BPO)</w:t>
            </w:r>
          </w:p>
        </w:tc>
        <w:tc>
          <w:tcPr>
            <w:tcW w:w="4000" w:type="dxa"/>
            <w:shd w:val="clear" w:color="auto" w:fill="auto"/>
            <w:tcMar>
              <w:top w:w="80" w:type="dxa"/>
              <w:left w:w="120" w:type="dxa"/>
              <w:bottom w:w="80" w:type="dxa"/>
              <w:right w:w="120" w:type="dxa"/>
            </w:tcMar>
            <w:vAlign w:val="center"/>
          </w:tcPr>
          <w:p w14:paraId="5E717938">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 xml:space="preserve">Mutual Ser </w:t>
            </w:r>
            <w:r>
              <w:rPr>
                <w:rFonts w:hint="default" w:ascii="Calibri" w:hAnsi="Calibri" w:cs="Calibri"/>
                <w:b w:val="0"/>
                <w:bCs w:val="0"/>
                <w:i w:val="0"/>
                <w:iCs w:val="0"/>
                <w:color w:val="000000" w:themeColor="text1"/>
                <w:lang w:val="es-CO"/>
                <w14:textFill>
                  <w14:solidFill>
                    <w14:schemeClr w14:val="tx1"/>
                  </w14:solidFill>
                </w14:textFill>
              </w:rPr>
              <w:t>-</w:t>
            </w:r>
            <w:r>
              <w:rPr>
                <w:rFonts w:hint="default" w:ascii="Calibri" w:hAnsi="Calibri" w:cs="Calibri"/>
                <w:b w:val="0"/>
                <w:bCs w:val="0"/>
                <w:i w:val="0"/>
                <w:iCs w:val="0"/>
                <w:color w:val="000000" w:themeColor="text1"/>
                <w14:textFill>
                  <w14:solidFill>
                    <w14:schemeClr w14:val="tx1"/>
                  </w14:solidFill>
                </w14:textFill>
              </w:rPr>
              <w:t xml:space="preserve"> Affinity (BPO)</w:t>
            </w:r>
          </w:p>
        </w:tc>
        <w:tc>
          <w:tcPr>
            <w:tcW w:w="4366" w:type="dxa"/>
            <w:shd w:val="clear" w:color="auto" w:fill="auto"/>
            <w:tcMar>
              <w:top w:w="80" w:type="dxa"/>
              <w:left w:w="120" w:type="dxa"/>
              <w:bottom w:w="80" w:type="dxa"/>
              <w:right w:w="120" w:type="dxa"/>
            </w:tcMar>
            <w:vAlign w:val="center"/>
          </w:tcPr>
          <w:p w14:paraId="5A352244">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@affinitybpo.com.co</w:t>
            </w:r>
          </w:p>
        </w:tc>
      </w:tr>
      <w:tr w14:paraId="521C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4" w:type="dxa"/>
            <w:shd w:val="clear" w:color="auto" w:fill="auto"/>
            <w:tcMar>
              <w:top w:w="80" w:type="dxa"/>
              <w:left w:w="120" w:type="dxa"/>
              <w:bottom w:w="80" w:type="dxa"/>
              <w:right w:w="120" w:type="dxa"/>
            </w:tcMar>
            <w:vAlign w:val="center"/>
          </w:tcPr>
          <w:p w14:paraId="042A552D">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w:t>
            </w:r>
          </w:p>
        </w:tc>
        <w:tc>
          <w:tcPr>
            <w:tcW w:w="4000" w:type="dxa"/>
            <w:shd w:val="clear" w:color="auto" w:fill="auto"/>
            <w:tcMar>
              <w:top w:w="80" w:type="dxa"/>
              <w:left w:w="120" w:type="dxa"/>
              <w:bottom w:w="80" w:type="dxa"/>
              <w:right w:w="120" w:type="dxa"/>
            </w:tcMar>
            <w:vAlign w:val="center"/>
          </w:tcPr>
          <w:p w14:paraId="12B601B6">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Salud Total</w:t>
            </w:r>
          </w:p>
        </w:tc>
        <w:tc>
          <w:tcPr>
            <w:tcW w:w="4366" w:type="dxa"/>
            <w:shd w:val="clear" w:color="auto" w:fill="auto"/>
            <w:tcMar>
              <w:top w:w="80" w:type="dxa"/>
              <w:left w:w="120" w:type="dxa"/>
              <w:bottom w:w="80" w:type="dxa"/>
              <w:right w:w="120" w:type="dxa"/>
            </w:tcMar>
            <w:vAlign w:val="center"/>
          </w:tcPr>
          <w:p w14:paraId="1319B56B">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@saludtotal.com.co</w:t>
            </w:r>
          </w:p>
        </w:tc>
      </w:tr>
      <w:tr w14:paraId="20F79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4" w:type="dxa"/>
            <w:shd w:val="clear" w:color="auto" w:fill="auto"/>
            <w:tcMar>
              <w:top w:w="80" w:type="dxa"/>
              <w:left w:w="120" w:type="dxa"/>
              <w:bottom w:w="80" w:type="dxa"/>
              <w:right w:w="120" w:type="dxa"/>
            </w:tcMar>
            <w:vAlign w:val="center"/>
          </w:tcPr>
          <w:p w14:paraId="4BA23881">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w:t>
            </w:r>
          </w:p>
        </w:tc>
        <w:tc>
          <w:tcPr>
            <w:tcW w:w="4000" w:type="dxa"/>
            <w:shd w:val="clear" w:color="auto" w:fill="auto"/>
            <w:tcMar>
              <w:top w:w="80" w:type="dxa"/>
              <w:left w:w="120" w:type="dxa"/>
              <w:bottom w:w="80" w:type="dxa"/>
              <w:right w:w="120" w:type="dxa"/>
            </w:tcMar>
            <w:vAlign w:val="center"/>
          </w:tcPr>
          <w:p w14:paraId="6C1BF296">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 Familiar de Colombi</w:t>
            </w:r>
          </w:p>
        </w:tc>
        <w:tc>
          <w:tcPr>
            <w:tcW w:w="4366" w:type="dxa"/>
            <w:shd w:val="clear" w:color="auto" w:fill="auto"/>
            <w:tcMar>
              <w:top w:w="80" w:type="dxa"/>
              <w:left w:w="120" w:type="dxa"/>
              <w:bottom w:w="80" w:type="dxa"/>
              <w:right w:w="120" w:type="dxa"/>
            </w:tcMar>
            <w:vAlign w:val="center"/>
          </w:tcPr>
          <w:p w14:paraId="2CEBD1F2">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@epsfamiliardecolombia.com</w:t>
            </w:r>
          </w:p>
        </w:tc>
      </w:tr>
      <w:tr w14:paraId="51DAE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4" w:type="dxa"/>
            <w:shd w:val="clear" w:color="auto" w:fill="auto"/>
            <w:tcMar>
              <w:top w:w="80" w:type="dxa"/>
              <w:left w:w="120" w:type="dxa"/>
              <w:bottom w:w="80" w:type="dxa"/>
              <w:right w:w="120" w:type="dxa"/>
            </w:tcMar>
            <w:vAlign w:val="center"/>
          </w:tcPr>
          <w:p w14:paraId="5FCC8614">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w:t>
            </w:r>
          </w:p>
        </w:tc>
        <w:tc>
          <w:tcPr>
            <w:tcW w:w="4000" w:type="dxa"/>
            <w:shd w:val="clear" w:color="auto" w:fill="auto"/>
            <w:tcMar>
              <w:top w:w="80" w:type="dxa"/>
              <w:left w:w="120" w:type="dxa"/>
              <w:bottom w:w="80" w:type="dxa"/>
              <w:right w:w="120" w:type="dxa"/>
            </w:tcMar>
            <w:vAlign w:val="center"/>
          </w:tcPr>
          <w:p w14:paraId="1F9F954E">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 Familiar de Colombia</w:t>
            </w:r>
            <w:r>
              <w:rPr>
                <w:rFonts w:hint="default" w:ascii="Calibri" w:hAnsi="Calibri" w:cs="Calibri"/>
                <w:b w:val="0"/>
                <w:bCs w:val="0"/>
                <w:i w:val="0"/>
                <w:iCs w:val="0"/>
                <w:color w:val="000000" w:themeColor="text1"/>
                <w:lang w:val="es-CO"/>
                <w14:textFill>
                  <w14:solidFill>
                    <w14:schemeClr w14:val="tx1"/>
                  </w14:solidFill>
                </w14:textFill>
              </w:rPr>
              <w:t xml:space="preserve"> -</w:t>
            </w:r>
            <w:r>
              <w:rPr>
                <w:rFonts w:hint="default" w:ascii="Calibri" w:hAnsi="Calibri" w:cs="Calibri"/>
                <w:b w:val="0"/>
                <w:bCs w:val="0"/>
                <w:i w:val="0"/>
                <w:iCs w:val="0"/>
                <w:color w:val="000000" w:themeColor="text1"/>
                <w14:textFill>
                  <w14:solidFill>
                    <w14:schemeClr w14:val="tx1"/>
                  </w14:solidFill>
                </w14:textFill>
              </w:rPr>
              <w:t xml:space="preserve"> Documental</w:t>
            </w:r>
          </w:p>
        </w:tc>
        <w:tc>
          <w:tcPr>
            <w:tcW w:w="4366" w:type="dxa"/>
            <w:shd w:val="clear" w:color="auto" w:fill="auto"/>
            <w:tcMar>
              <w:top w:w="80" w:type="dxa"/>
              <w:left w:w="120" w:type="dxa"/>
              <w:bottom w:w="80" w:type="dxa"/>
              <w:right w:w="120" w:type="dxa"/>
            </w:tcMar>
            <w:vAlign w:val="center"/>
          </w:tcPr>
          <w:p w14:paraId="3E8633F0">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documental@miredips.org</w:t>
            </w:r>
          </w:p>
        </w:tc>
      </w:tr>
      <w:tr w14:paraId="4F44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4" w:type="dxa"/>
            <w:shd w:val="clear" w:color="auto" w:fill="auto"/>
            <w:tcMar>
              <w:top w:w="80" w:type="dxa"/>
              <w:left w:w="120" w:type="dxa"/>
              <w:bottom w:w="80" w:type="dxa"/>
              <w:right w:w="120" w:type="dxa"/>
            </w:tcMar>
            <w:vAlign w:val="center"/>
          </w:tcPr>
          <w:p w14:paraId="124DB0A3">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w:t>
            </w:r>
          </w:p>
        </w:tc>
        <w:tc>
          <w:tcPr>
            <w:tcW w:w="4000" w:type="dxa"/>
            <w:shd w:val="clear" w:color="auto" w:fill="auto"/>
            <w:tcMar>
              <w:top w:w="80" w:type="dxa"/>
              <w:left w:w="120" w:type="dxa"/>
              <w:bottom w:w="80" w:type="dxa"/>
              <w:right w:w="120" w:type="dxa"/>
            </w:tcMar>
            <w:vAlign w:val="center"/>
          </w:tcPr>
          <w:p w14:paraId="3030A2BA">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Proteger EPS</w:t>
            </w:r>
          </w:p>
        </w:tc>
        <w:tc>
          <w:tcPr>
            <w:tcW w:w="4366" w:type="dxa"/>
            <w:shd w:val="clear" w:color="auto" w:fill="auto"/>
            <w:tcMar>
              <w:top w:w="80" w:type="dxa"/>
              <w:left w:w="120" w:type="dxa"/>
              <w:bottom w:w="80" w:type="dxa"/>
              <w:right w:w="120" w:type="dxa"/>
            </w:tcMar>
            <w:vAlign w:val="center"/>
          </w:tcPr>
          <w:p w14:paraId="1874B235">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@protegereps.com</w:t>
            </w:r>
          </w:p>
        </w:tc>
      </w:tr>
      <w:tr w14:paraId="2F91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4" w:type="dxa"/>
            <w:shd w:val="clear" w:color="auto" w:fill="auto"/>
            <w:tcMar>
              <w:top w:w="80" w:type="dxa"/>
              <w:left w:w="120" w:type="dxa"/>
              <w:bottom w:w="80" w:type="dxa"/>
              <w:right w:w="120" w:type="dxa"/>
            </w:tcMar>
            <w:vAlign w:val="center"/>
          </w:tcPr>
          <w:p w14:paraId="312EFFE1">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w:t>
            </w:r>
          </w:p>
        </w:tc>
        <w:tc>
          <w:tcPr>
            <w:tcW w:w="4000" w:type="dxa"/>
            <w:shd w:val="clear" w:color="auto" w:fill="auto"/>
            <w:tcMar>
              <w:top w:w="80" w:type="dxa"/>
              <w:left w:w="120" w:type="dxa"/>
              <w:bottom w:w="80" w:type="dxa"/>
              <w:right w:w="120" w:type="dxa"/>
            </w:tcMar>
            <w:vAlign w:val="center"/>
          </w:tcPr>
          <w:p w14:paraId="119E3805">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Sanitas</w:t>
            </w:r>
          </w:p>
        </w:tc>
        <w:tc>
          <w:tcPr>
            <w:tcW w:w="4366" w:type="dxa"/>
            <w:shd w:val="clear" w:color="auto" w:fill="auto"/>
            <w:tcMar>
              <w:top w:w="80" w:type="dxa"/>
              <w:left w:w="120" w:type="dxa"/>
              <w:bottom w:w="80" w:type="dxa"/>
              <w:right w:w="120" w:type="dxa"/>
            </w:tcMar>
            <w:vAlign w:val="center"/>
          </w:tcPr>
          <w:p w14:paraId="323E449A">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@epssanitas.com</w:t>
            </w:r>
          </w:p>
        </w:tc>
      </w:tr>
      <w:tr w14:paraId="04E5F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4" w:type="dxa"/>
            <w:shd w:val="clear" w:color="auto" w:fill="auto"/>
            <w:tcMar>
              <w:top w:w="80" w:type="dxa"/>
              <w:left w:w="120" w:type="dxa"/>
              <w:bottom w:w="80" w:type="dxa"/>
              <w:right w:w="120" w:type="dxa"/>
            </w:tcMar>
            <w:vAlign w:val="center"/>
          </w:tcPr>
          <w:p w14:paraId="24738205">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EPS</w:t>
            </w:r>
          </w:p>
        </w:tc>
        <w:tc>
          <w:tcPr>
            <w:tcW w:w="4000" w:type="dxa"/>
            <w:shd w:val="clear" w:color="auto" w:fill="auto"/>
            <w:tcMar>
              <w:top w:w="80" w:type="dxa"/>
              <w:left w:w="120" w:type="dxa"/>
              <w:bottom w:w="80" w:type="dxa"/>
              <w:right w:w="120" w:type="dxa"/>
            </w:tcMar>
            <w:vAlign w:val="center"/>
          </w:tcPr>
          <w:p w14:paraId="655B45D4">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Coosalud</w:t>
            </w:r>
          </w:p>
        </w:tc>
        <w:tc>
          <w:tcPr>
            <w:tcW w:w="4366" w:type="dxa"/>
            <w:shd w:val="clear" w:color="auto" w:fill="auto"/>
            <w:tcMar>
              <w:top w:w="80" w:type="dxa"/>
              <w:left w:w="120" w:type="dxa"/>
              <w:bottom w:w="80" w:type="dxa"/>
              <w:right w:w="120" w:type="dxa"/>
            </w:tcMar>
            <w:vAlign w:val="center"/>
          </w:tcPr>
          <w:p w14:paraId="4199AA15">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14:textFill>
                  <w14:solidFill>
                    <w14:schemeClr w14:val="tx1"/>
                  </w14:solidFill>
                </w14:textFill>
              </w:rPr>
              <w:t>@coosalud.com</w:t>
            </w:r>
          </w:p>
        </w:tc>
      </w:tr>
    </w:tbl>
    <w:p w14:paraId="4D48487D">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p>
    <w:p w14:paraId="2E925BA1">
      <w:pPr>
        <w:pStyle w:val="2"/>
        <w:keepNext w:val="0"/>
        <w:keepLines w:val="0"/>
        <w:pageBreakBefore w:val="0"/>
        <w:widowControl/>
        <w:pBdr>
          <w:bottom w:val="single" w:color="1F4E79" w:sz="6" w:space="4"/>
        </w:pBdr>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Producto final propuesto</w:t>
      </w:r>
    </w:p>
    <w:p w14:paraId="333AE951">
      <w:pPr>
        <w:rPr>
          <w:rFonts w:hint="default"/>
        </w:rPr>
      </w:pPr>
    </w:p>
    <w:tbl>
      <w:tblPr>
        <w:tblStyle w:val="9"/>
        <w:tblW w:w="10030" w:type="dxa"/>
        <w:tblInd w:w="1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0"/>
      </w:tblGrid>
      <w:tr w14:paraId="1A6F3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30" w:type="dxa"/>
            <w:shd w:val="clear" w:color="auto" w:fill="D7D7D7" w:themeFill="background1" w:themeFillShade="D8"/>
            <w:tcMar>
              <w:top w:w="140" w:type="dxa"/>
              <w:left w:w="200" w:type="dxa"/>
              <w:bottom w:w="140" w:type="dxa"/>
              <w:right w:w="200" w:type="dxa"/>
            </w:tcMar>
          </w:tcPr>
          <w:p w14:paraId="2DE2FDC7">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b/>
                <w:bCs/>
                <w:color w:val="000000" w:themeColor="text1"/>
                <w14:textFill>
                  <w14:solidFill>
                    <w14:schemeClr w14:val="tx1"/>
                  </w14:solidFill>
                </w14:textFill>
              </w:rPr>
              <w:t>PRODUCTO: Flujo de automatización en n8n para clasificación, aviso, respuesta automática y priorización de los correos electrónicos de PQRS</w:t>
            </w:r>
            <w:bookmarkStart w:id="0" w:name="_GoBack"/>
            <w:bookmarkEnd w:id="0"/>
          </w:p>
        </w:tc>
      </w:tr>
    </w:tbl>
    <w:p w14:paraId="39633E2B">
      <w:pPr>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p>
    <w:p w14:paraId="383A004C">
      <w:pPr>
        <w:keepNext w:val="0"/>
        <w:keepLines w:val="0"/>
        <w:pageBreakBefore w:val="0"/>
        <w:widowControl/>
        <w:kinsoku/>
        <w:wordWrap/>
        <w:overflowPunct/>
        <w:topLinePunct w:val="0"/>
        <w:autoSpaceDE/>
        <w:autoSpaceDN/>
        <w:bidi w:val="0"/>
        <w:adjustRightInd/>
        <w:snapToGrid/>
        <w:jc w:val="both"/>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El producto consiste en un workflow (flujo de trabajo) construido en n8n, herramienta de automatización seleccionada para este proyecto, que monitorea de forma permanente las casillas de correo institucionales, identifica automáticamente la entidad remitente, clasifica el asunto según las cinco categorías estandarizadas, calcula la prioridad y el término de respuesta aplicable, envía una respuesta automática de acuse de recibo, notifica internamente por EPS/entidad, y radica el caso en el sistema central de gestión de PQRS sin intervención manual, salvo en los casos de excepción que el flujo no logre clasificar con certeza..</w:t>
      </w:r>
    </w:p>
    <w:p w14:paraId="79907B83">
      <w:pPr>
        <w:keepNext w:val="0"/>
        <w:keepLines w:val="0"/>
        <w:pageBreakBefore w:val="0"/>
        <w:widowControl/>
        <w:kinsoku/>
        <w:wordWrap/>
        <w:overflowPunct/>
        <w:topLinePunct w:val="0"/>
        <w:autoSpaceDE/>
        <w:autoSpaceDN/>
        <w:bidi w:val="0"/>
        <w:adjustRightInd/>
        <w:snapToGrid/>
        <w:jc w:val="both"/>
        <w:textAlignment w:val="auto"/>
        <w:rPr>
          <w:rFonts w:hint="default" w:ascii="Calibri" w:hAnsi="Calibri" w:cs="Calibri"/>
          <w:color w:val="000000" w:themeColor="text1"/>
          <w14:textFill>
            <w14:solidFill>
              <w14:schemeClr w14:val="tx1"/>
            </w14:solidFill>
          </w14:textFill>
        </w:rPr>
      </w:pPr>
    </w:p>
    <w:p w14:paraId="6166B003">
      <w:pPr>
        <w:pStyle w:val="3"/>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Objetivos específicos del producto</w:t>
      </w:r>
    </w:p>
    <w:p w14:paraId="04E24F83">
      <w:pPr>
        <w:pStyle w:val="16"/>
        <w:keepNext w:val="0"/>
        <w:keepLines w:val="0"/>
        <w:pageBreakBefore w:val="0"/>
        <w:widowControl/>
        <w:numPr>
          <w:ilvl w:val="0"/>
          <w:numId w:val="1"/>
        </w:numPr>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Clasificar automáticamente el 100% de los correos recibidos, eliminando la mezcla actual de correos sin clasificar (problema N.° 1).</w:t>
      </w:r>
    </w:p>
    <w:p w14:paraId="1C8B2687">
      <w:pPr>
        <w:pStyle w:val="16"/>
        <w:keepNext w:val="0"/>
        <w:keepLines w:val="0"/>
        <w:pageBreakBefore w:val="0"/>
        <w:widowControl/>
        <w:numPr>
          <w:ilvl w:val="0"/>
          <w:numId w:val="1"/>
        </w:numPr>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Generar un aviso o notificación interna inmediata por cada correo recibido, identificando la EPS o entidad remitente (problema N.° 2).</w:t>
      </w:r>
    </w:p>
    <w:p w14:paraId="1FD013A2">
      <w:pPr>
        <w:pStyle w:val="16"/>
        <w:keepNext w:val="0"/>
        <w:keepLines w:val="0"/>
        <w:pageBreakBefore w:val="0"/>
        <w:widowControl/>
        <w:numPr>
          <w:ilvl w:val="0"/>
          <w:numId w:val="1"/>
        </w:numPr>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Enviar una respuesta automática de acuse de recibo al remitente en el momento en que llega el correo (problema N.° 3).</w:t>
      </w:r>
    </w:p>
    <w:p w14:paraId="61A5309C">
      <w:pPr>
        <w:pStyle w:val="16"/>
        <w:keepNext w:val="0"/>
        <w:keepLines w:val="0"/>
        <w:pageBreakBefore w:val="0"/>
        <w:widowControl/>
        <w:numPr>
          <w:ilvl w:val="0"/>
          <w:numId w:val="1"/>
        </w:numPr>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lang w:val="es-CO"/>
          <w14:textFill>
            <w14:solidFill>
              <w14:schemeClr w14:val="tx1"/>
            </w14:solidFill>
          </w14:textFill>
        </w:rPr>
        <w:t>Mejorar la priorización</w:t>
      </w:r>
      <w:r>
        <w:rPr>
          <w:rFonts w:hint="default" w:ascii="Calibri" w:hAnsi="Calibri" w:cs="Calibri"/>
          <w:color w:val="000000" w:themeColor="text1"/>
          <w14:textFill>
            <w14:solidFill>
              <w14:schemeClr w14:val="tx1"/>
            </w14:solidFill>
          </w14:textFill>
        </w:rPr>
        <w:t xml:space="preserve"> automática</w:t>
      </w:r>
      <w:r>
        <w:rPr>
          <w:rFonts w:hint="default" w:ascii="Calibri" w:hAnsi="Calibri" w:cs="Calibri"/>
          <w:color w:val="000000" w:themeColor="text1"/>
          <w:lang w:val="es-CO"/>
          <w14:textFill>
            <w14:solidFill>
              <w14:schemeClr w14:val="tx1"/>
            </w14:solidFill>
          </w14:textFill>
        </w:rPr>
        <w:t xml:space="preserve"> de</w:t>
      </w:r>
      <w:r>
        <w:rPr>
          <w:rFonts w:hint="default" w:ascii="Calibri" w:hAnsi="Calibri" w:cs="Calibri"/>
          <w:color w:val="000000" w:themeColor="text1"/>
          <w14:textFill>
            <w14:solidFill>
              <w14:schemeClr w14:val="tx1"/>
            </w14:solidFill>
          </w14:textFill>
        </w:rPr>
        <w:t xml:space="preserve"> la atención de los correos provenientes de EPS y entidades de control, según su nivel de riesgo o naturaleza.</w:t>
      </w:r>
    </w:p>
    <w:p w14:paraId="049694B1">
      <w:pPr>
        <w:pStyle w:val="16"/>
        <w:keepNext w:val="0"/>
        <w:keepLines w:val="0"/>
        <w:pageBreakBefore w:val="0"/>
        <w:widowControl/>
        <w:numPr>
          <w:ilvl w:val="0"/>
          <w:numId w:val="1"/>
        </w:numPr>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lang w:val="es-CO"/>
          <w14:textFill>
            <w14:solidFill>
              <w14:schemeClr w14:val="tx1"/>
            </w14:solidFill>
          </w14:textFill>
        </w:rPr>
        <w:t>Mejorar</w:t>
      </w:r>
      <w:r>
        <w:rPr>
          <w:rFonts w:hint="default" w:ascii="Calibri" w:hAnsi="Calibri" w:cs="Calibri"/>
          <w:color w:val="000000" w:themeColor="text1"/>
          <w14:textFill>
            <w14:solidFill>
              <w14:schemeClr w14:val="tx1"/>
            </w14:solidFill>
          </w14:textFill>
        </w:rPr>
        <w:t xml:space="preserve"> que los correos clasificados como Tutela o Derecho de Petición queden marcados con alerta de vencimiento a menos de 8 horas desde su recepción.</w:t>
      </w:r>
    </w:p>
    <w:p w14:paraId="6F4DE604">
      <w:pPr>
        <w:pStyle w:val="16"/>
        <w:keepNext w:val="0"/>
        <w:keepLines w:val="0"/>
        <w:pageBreakBefore w:val="0"/>
        <w:widowControl/>
        <w:numPr>
          <w:ilvl w:val="0"/>
          <w:numId w:val="0"/>
        </w:numPr>
        <w:kinsoku/>
        <w:wordWrap/>
        <w:overflowPunct/>
        <w:topLinePunct w:val="0"/>
        <w:autoSpaceDE/>
        <w:autoSpaceDN/>
        <w:bidi w:val="0"/>
        <w:adjustRightInd/>
        <w:snapToGrid/>
        <w:ind w:left="140" w:leftChars="0"/>
        <w:textAlignment w:val="auto"/>
        <w:rPr>
          <w:rFonts w:hint="default" w:ascii="Calibri" w:hAnsi="Calibri" w:cs="Calibri"/>
          <w:color w:val="000000" w:themeColor="text1"/>
          <w14:textFill>
            <w14:solidFill>
              <w14:schemeClr w14:val="tx1"/>
            </w14:solidFill>
          </w14:textFill>
        </w:rPr>
      </w:pPr>
    </w:p>
    <w:p w14:paraId="44D8726C">
      <w:pPr>
        <w:pStyle w:val="3"/>
        <w:keepNext w:val="0"/>
        <w:keepLines w:val="0"/>
        <w:pageBreakBefore w:val="0"/>
        <w:widowControl/>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Alcance</w:t>
      </w:r>
    </w:p>
    <w:p w14:paraId="34BA5D97">
      <w:pPr>
        <w:keepNext w:val="0"/>
        <w:keepLines w:val="0"/>
        <w:pageBreakBefore w:val="0"/>
        <w:widowControl/>
        <w:kinsoku/>
        <w:wordWrap/>
        <w:overflowPunct/>
        <w:topLinePunct w:val="0"/>
        <w:autoSpaceDE/>
        <w:autoSpaceDN/>
        <w:bidi w:val="0"/>
        <w:adjustRightInd/>
        <w:snapToGrid/>
        <w:jc w:val="both"/>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El alcance del producto cubre:</w:t>
      </w:r>
    </w:p>
    <w:p w14:paraId="06C88329">
      <w:pPr>
        <w:pStyle w:val="16"/>
        <w:keepNext w:val="0"/>
        <w:keepLines w:val="0"/>
        <w:pageBreakBefore w:val="0"/>
        <w:widowControl/>
        <w:numPr>
          <w:ilvl w:val="0"/>
          <w:numId w:val="1"/>
        </w:numPr>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La clasificación automática bajo las cinco categorías de asunto vigentes: Supersalud Riesgo Simple, Supersalud Riesgo Priorizado, Supersalud Riesgo Vital, Tutela y Derecho de Petición.</w:t>
      </w:r>
    </w:p>
    <w:p w14:paraId="79AC7C85">
      <w:pPr>
        <w:pStyle w:val="16"/>
        <w:keepNext w:val="0"/>
        <w:keepLines w:val="0"/>
        <w:pageBreakBefore w:val="0"/>
        <w:widowControl/>
        <w:numPr>
          <w:ilvl w:val="0"/>
          <w:numId w:val="1"/>
        </w:numPr>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El envío de respuesta automática (acuse de recibo) y el aviso interno por EPS/entidad ante cada correo recibido.</w:t>
      </w:r>
    </w:p>
    <w:p w14:paraId="6FFD6D8E">
      <w:pPr>
        <w:pStyle w:val="16"/>
        <w:keepNext w:val="0"/>
        <w:keepLines w:val="0"/>
        <w:pageBreakBefore w:val="0"/>
        <w:widowControl/>
        <w:numPr>
          <w:ilvl w:val="0"/>
          <w:numId w:val="1"/>
        </w:numPr>
        <w:kinsoku/>
        <w:wordWrap/>
        <w:overflowPunct/>
        <w:topLinePunct w:val="0"/>
        <w:autoSpaceDE/>
        <w:autoSpaceDN/>
        <w:bidi w:val="0"/>
        <w:adjustRightInd/>
        <w:snapToGrid/>
        <w:textAlignment w:val="auto"/>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t>La radicación automática del caso en el sistema central, incluyendo sus soportes o adjuntos.</w:t>
      </w:r>
    </w:p>
    <w:sectPr>
      <w:pgSz w:w="12240" w:h="15840"/>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23427FA"/>
    <w:rsid w:val="21660FE0"/>
    <w:rsid w:val="3EBC32AD"/>
    <w:rsid w:val="5B2000E6"/>
    <w:rsid w:val="5FB9264D"/>
    <w:rsid w:val="627269A1"/>
    <w:rsid w:val="68E8522C"/>
    <w:rsid w:val="727755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paragraph" w:styleId="14">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28</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2026-09-22T21:04:00Z</dcterms:created>
  <dc:creator>Un-named</dc:creator>
  <cp:lastModifiedBy>Samuel Sepiol</cp:lastModifiedBy>
  <dcterms:modified xsi:type="dcterms:W3CDTF">2026-09-22T21:43:17Z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3082-12.2.0.23206</vt:lpwstr>
  </property>
  <property fmtid="{D5CDD505-2E9C-101B-9397-08002B2CF9AE}" pid="3" name="ICV">
    <vt:lpwstr>77AD1CA329584381952B2A475BFD2EED_12</vt:lpwstr>
  </property>
</Properties>
</file>