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C198" w14:textId="6CB9F7B6" w:rsidR="009C6BC3" w:rsidRPr="002D4A5C" w:rsidRDefault="009C6BC3" w:rsidP="00E27986">
      <w:pPr>
        <w:spacing w:after="0"/>
        <w:jc w:val="both"/>
        <w:rPr>
          <w:rFonts w:ascii="Times New Roman" w:hAnsi="Times New Roman" w:cs="Times New Roman"/>
          <w:b/>
          <w:sz w:val="24"/>
          <w:szCs w:val="24"/>
        </w:rPr>
      </w:pPr>
      <w:r w:rsidRPr="002D4A5C">
        <w:rPr>
          <w:rFonts w:ascii="Times New Roman" w:hAnsi="Times New Roman" w:cs="Times New Roman"/>
          <w:b/>
          <w:sz w:val="24"/>
          <w:szCs w:val="24"/>
        </w:rPr>
        <w:t>Supplemental Figure Legends</w:t>
      </w:r>
    </w:p>
    <w:p w14:paraId="64460680" w14:textId="13375834" w:rsidR="009C6BC3" w:rsidRPr="002D4A5C" w:rsidRDefault="009C6BC3" w:rsidP="00E27986">
      <w:pPr>
        <w:spacing w:after="0"/>
        <w:jc w:val="both"/>
        <w:rPr>
          <w:rFonts w:ascii="Times New Roman" w:hAnsi="Times New Roman" w:cs="Times New Roman"/>
          <w:bCs/>
          <w:sz w:val="24"/>
          <w:szCs w:val="24"/>
        </w:rPr>
      </w:pPr>
      <w:r w:rsidRPr="002D4A5C">
        <w:rPr>
          <w:rFonts w:ascii="Times New Roman" w:hAnsi="Times New Roman" w:cs="Times New Roman"/>
          <w:b/>
          <w:sz w:val="24"/>
          <w:szCs w:val="24"/>
        </w:rPr>
        <w:t>Supplemental Figure 1:</w:t>
      </w:r>
      <w:r w:rsidR="00A804D1" w:rsidRPr="002D4A5C">
        <w:rPr>
          <w:rFonts w:ascii="Times New Roman" w:hAnsi="Times New Roman" w:cs="Times New Roman"/>
          <w:b/>
          <w:sz w:val="24"/>
          <w:szCs w:val="24"/>
        </w:rPr>
        <w:t xml:space="preserve"> </w:t>
      </w:r>
      <w:r w:rsidR="00D023CB" w:rsidRPr="002D4A5C">
        <w:rPr>
          <w:rFonts w:ascii="Times New Roman" w:hAnsi="Times New Roman" w:cs="Times New Roman"/>
          <w:bCs/>
          <w:sz w:val="24"/>
          <w:szCs w:val="24"/>
        </w:rPr>
        <w:t>Summary of geospatial variables</w:t>
      </w:r>
      <w:r w:rsidR="00FB5037" w:rsidRPr="002D4A5C">
        <w:rPr>
          <w:rFonts w:ascii="Times New Roman" w:hAnsi="Times New Roman" w:cs="Times New Roman"/>
          <w:bCs/>
          <w:sz w:val="24"/>
          <w:szCs w:val="24"/>
        </w:rPr>
        <w:t xml:space="preserve">. A) </w:t>
      </w:r>
      <w:r w:rsidR="00B92398" w:rsidRPr="002D4A5C">
        <w:rPr>
          <w:rFonts w:ascii="Times New Roman" w:hAnsi="Times New Roman" w:cs="Times New Roman"/>
          <w:bCs/>
          <w:sz w:val="24"/>
          <w:szCs w:val="24"/>
        </w:rPr>
        <w:t>Pairwise correlation graph for each geospatial variable</w:t>
      </w:r>
      <w:r w:rsidR="00BA17FF" w:rsidRPr="002D4A5C">
        <w:rPr>
          <w:rFonts w:ascii="Times New Roman" w:hAnsi="Times New Roman" w:cs="Times New Roman"/>
          <w:bCs/>
          <w:sz w:val="24"/>
          <w:szCs w:val="24"/>
        </w:rPr>
        <w:t xml:space="preserve"> with graphs in the lower triangle, correlation values in the upper triangle, and density/histogram plots in the diagonal. B) </w:t>
      </w:r>
      <w:r w:rsidR="000B5767" w:rsidRPr="002D4A5C">
        <w:rPr>
          <w:rFonts w:ascii="Times New Roman" w:hAnsi="Times New Roman" w:cs="Times New Roman"/>
          <w:bCs/>
          <w:sz w:val="24"/>
          <w:szCs w:val="24"/>
        </w:rPr>
        <w:t>Principal component analysis (PCA)</w:t>
      </w:r>
      <w:r w:rsidR="00C56D88" w:rsidRPr="002D4A5C">
        <w:rPr>
          <w:rFonts w:ascii="Times New Roman" w:hAnsi="Times New Roman" w:cs="Times New Roman"/>
          <w:bCs/>
          <w:sz w:val="24"/>
          <w:szCs w:val="24"/>
        </w:rPr>
        <w:t xml:space="preserve"> of the geospatial variables</w:t>
      </w:r>
      <w:r w:rsidR="00C84E71" w:rsidRPr="002D4A5C">
        <w:rPr>
          <w:rFonts w:ascii="Times New Roman" w:hAnsi="Times New Roman" w:cs="Times New Roman"/>
          <w:bCs/>
          <w:sz w:val="24"/>
          <w:szCs w:val="24"/>
        </w:rPr>
        <w:t>, represented as blue loadings. Points are colored by the sampled river.</w:t>
      </w:r>
    </w:p>
    <w:p w14:paraId="4C54E223" w14:textId="5CAF5E3C" w:rsidR="009C6BC3" w:rsidRPr="002D4A5C" w:rsidRDefault="009C6BC3" w:rsidP="00E27986">
      <w:pPr>
        <w:spacing w:after="0"/>
        <w:jc w:val="both"/>
        <w:rPr>
          <w:rFonts w:ascii="Times New Roman" w:hAnsi="Times New Roman" w:cs="Times New Roman"/>
          <w:bCs/>
          <w:sz w:val="24"/>
          <w:szCs w:val="24"/>
        </w:rPr>
      </w:pPr>
      <w:r w:rsidRPr="002D4A5C">
        <w:rPr>
          <w:rFonts w:ascii="Times New Roman" w:hAnsi="Times New Roman" w:cs="Times New Roman"/>
          <w:b/>
          <w:sz w:val="24"/>
          <w:szCs w:val="24"/>
        </w:rPr>
        <w:t>Supplemental Figure 2</w:t>
      </w:r>
      <w:r w:rsidR="00877FA9" w:rsidRPr="002D4A5C">
        <w:rPr>
          <w:rFonts w:ascii="Times New Roman" w:hAnsi="Times New Roman" w:cs="Times New Roman"/>
          <w:b/>
          <w:sz w:val="24"/>
          <w:szCs w:val="24"/>
        </w:rPr>
        <w:t>:</w:t>
      </w:r>
      <w:r w:rsidR="00687EB8" w:rsidRPr="002D4A5C">
        <w:rPr>
          <w:rFonts w:ascii="Times New Roman" w:hAnsi="Times New Roman" w:cs="Times New Roman"/>
          <w:b/>
          <w:sz w:val="24"/>
          <w:szCs w:val="24"/>
        </w:rPr>
        <w:t xml:space="preserve"> </w:t>
      </w:r>
      <w:r w:rsidR="00687EB8" w:rsidRPr="002D4A5C">
        <w:rPr>
          <w:rFonts w:ascii="Times New Roman" w:hAnsi="Times New Roman" w:cs="Times New Roman"/>
          <w:bCs/>
          <w:sz w:val="24"/>
          <w:szCs w:val="24"/>
        </w:rPr>
        <w:t xml:space="preserve">Summary of geochemical variables. </w:t>
      </w:r>
      <w:r w:rsidR="00D871A6" w:rsidRPr="002D4A5C">
        <w:rPr>
          <w:rFonts w:ascii="Times New Roman" w:hAnsi="Times New Roman" w:cs="Times New Roman"/>
          <w:bCs/>
          <w:sz w:val="24"/>
          <w:szCs w:val="24"/>
        </w:rPr>
        <w:t>A) PCA of geochemical variables, represented as blue loadings. As with Supplemental Figure 1, the points are colored by the sampled river.</w:t>
      </w:r>
      <w:r w:rsidR="001D5BC2" w:rsidRPr="002D4A5C">
        <w:rPr>
          <w:rFonts w:ascii="Times New Roman" w:hAnsi="Times New Roman" w:cs="Times New Roman"/>
          <w:bCs/>
          <w:sz w:val="24"/>
          <w:szCs w:val="24"/>
        </w:rPr>
        <w:t xml:space="preserve"> B) Geochemical variable plotted </w:t>
      </w:r>
      <w:r w:rsidR="00883416" w:rsidRPr="002D4A5C">
        <w:rPr>
          <w:rFonts w:ascii="Times New Roman" w:hAnsi="Times New Roman" w:cs="Times New Roman"/>
          <w:bCs/>
          <w:sz w:val="24"/>
          <w:szCs w:val="24"/>
        </w:rPr>
        <w:t xml:space="preserve">against stream order. Red asterisks indicate </w:t>
      </w:r>
      <w:r w:rsidR="00FC00DD" w:rsidRPr="002D4A5C">
        <w:rPr>
          <w:rFonts w:ascii="Times New Roman" w:hAnsi="Times New Roman" w:cs="Times New Roman"/>
          <w:bCs/>
          <w:sz w:val="24"/>
          <w:szCs w:val="24"/>
        </w:rPr>
        <w:t xml:space="preserve">significance via Kruskal-Wallis test. C) </w:t>
      </w:r>
      <w:r w:rsidR="0064082A" w:rsidRPr="002D4A5C">
        <w:rPr>
          <w:rFonts w:ascii="Times New Roman" w:hAnsi="Times New Roman" w:cs="Times New Roman"/>
          <w:bCs/>
          <w:sz w:val="24"/>
          <w:szCs w:val="24"/>
        </w:rPr>
        <w:t>Correlation graphs comparing select geospatial variables against geochemical variables to identify potential co-correlation. Spearman correlation statistics are indicated in red in each facet.</w:t>
      </w:r>
    </w:p>
    <w:p w14:paraId="224D3039" w14:textId="13C63C11" w:rsidR="00211C32" w:rsidRPr="002D4A5C" w:rsidRDefault="009C6BC3" w:rsidP="00E27986">
      <w:pPr>
        <w:spacing w:after="0"/>
        <w:jc w:val="both"/>
        <w:rPr>
          <w:rFonts w:ascii="Times New Roman" w:hAnsi="Times New Roman" w:cs="Times New Roman"/>
          <w:sz w:val="24"/>
          <w:szCs w:val="24"/>
        </w:rPr>
      </w:pPr>
      <w:r w:rsidRPr="002D4A5C">
        <w:rPr>
          <w:rFonts w:ascii="Times New Roman" w:hAnsi="Times New Roman" w:cs="Times New Roman"/>
          <w:b/>
          <w:sz w:val="24"/>
          <w:szCs w:val="24"/>
        </w:rPr>
        <w:t>Supplemental Figure 3:</w:t>
      </w:r>
      <w:r w:rsidR="00B24CC0" w:rsidRPr="002D4A5C">
        <w:rPr>
          <w:rFonts w:ascii="Times New Roman" w:hAnsi="Times New Roman" w:cs="Times New Roman"/>
          <w:b/>
          <w:sz w:val="24"/>
          <w:szCs w:val="24"/>
        </w:rPr>
        <w:t xml:space="preserve"> </w:t>
      </w:r>
      <w:r w:rsidR="00B24CC0" w:rsidRPr="002D4A5C">
        <w:rPr>
          <w:rFonts w:ascii="Times New Roman" w:hAnsi="Times New Roman" w:cs="Times New Roman"/>
          <w:bCs/>
          <w:sz w:val="24"/>
          <w:szCs w:val="24"/>
        </w:rPr>
        <w:t xml:space="preserve">Ecological null modeling overview. A) Density graph of </w:t>
      </w:r>
      <w:r w:rsidR="003451D5" w:rsidRPr="002D4A5C">
        <w:rPr>
          <w:rFonts w:ascii="Times New Roman" w:hAnsi="Times New Roman" w:cs="Times New Roman"/>
          <w:sz w:val="24"/>
          <w:szCs w:val="24"/>
        </w:rPr>
        <w:t xml:space="preserve">βNTI values for the entire </w:t>
      </w:r>
      <w:r w:rsidR="00943983" w:rsidRPr="002D4A5C">
        <w:rPr>
          <w:rFonts w:ascii="Times New Roman" w:hAnsi="Times New Roman" w:cs="Times New Roman"/>
          <w:sz w:val="24"/>
          <w:szCs w:val="24"/>
        </w:rPr>
        <w:t xml:space="preserve">dataset. B) Comparison of pairwise βNTI values </w:t>
      </w:r>
      <w:r w:rsidR="006E29D2" w:rsidRPr="002D4A5C">
        <w:rPr>
          <w:rFonts w:ascii="Times New Roman" w:hAnsi="Times New Roman" w:cs="Times New Roman"/>
          <w:sz w:val="24"/>
          <w:szCs w:val="24"/>
        </w:rPr>
        <w:t xml:space="preserve">against selected </w:t>
      </w:r>
      <w:r w:rsidR="00537E6F" w:rsidRPr="002D4A5C">
        <w:rPr>
          <w:rFonts w:ascii="Times New Roman" w:hAnsi="Times New Roman" w:cs="Times New Roman"/>
          <w:sz w:val="24"/>
          <w:szCs w:val="24"/>
        </w:rPr>
        <w:t xml:space="preserve">geospatial (top) and geochemical (bottom) variables. Spearman-based mantel correlation statistics are </w:t>
      </w:r>
      <w:r w:rsidR="00B241E0" w:rsidRPr="002D4A5C">
        <w:rPr>
          <w:rFonts w:ascii="Times New Roman" w:hAnsi="Times New Roman" w:cs="Times New Roman"/>
          <w:sz w:val="24"/>
          <w:szCs w:val="24"/>
        </w:rPr>
        <w:t>indicated in red text for each facet.</w:t>
      </w:r>
      <w:r w:rsidR="0094729A" w:rsidRPr="002D4A5C">
        <w:rPr>
          <w:rFonts w:ascii="Times New Roman" w:hAnsi="Times New Roman" w:cs="Times New Roman"/>
          <w:sz w:val="24"/>
          <w:szCs w:val="24"/>
        </w:rPr>
        <w:t xml:space="preserve"> Full </w:t>
      </w:r>
      <w:r w:rsidR="00211C32" w:rsidRPr="002D4A5C">
        <w:rPr>
          <w:rFonts w:ascii="Times New Roman" w:hAnsi="Times New Roman" w:cs="Times New Roman"/>
          <w:sz w:val="24"/>
          <w:szCs w:val="24"/>
        </w:rPr>
        <w:t xml:space="preserve">correlations can be found in Supplemental Table </w:t>
      </w:r>
      <w:r w:rsidR="003D257E" w:rsidRPr="002D4A5C">
        <w:rPr>
          <w:rFonts w:ascii="Times New Roman" w:hAnsi="Times New Roman" w:cs="Times New Roman"/>
          <w:sz w:val="24"/>
          <w:szCs w:val="24"/>
        </w:rPr>
        <w:t>1</w:t>
      </w:r>
      <w:r w:rsidR="00211C32" w:rsidRPr="002D4A5C">
        <w:rPr>
          <w:rFonts w:ascii="Times New Roman" w:hAnsi="Times New Roman" w:cs="Times New Roman"/>
          <w:sz w:val="24"/>
          <w:szCs w:val="24"/>
        </w:rPr>
        <w:t>.</w:t>
      </w:r>
    </w:p>
    <w:p w14:paraId="20A705C3" w14:textId="23D6A0D1" w:rsidR="009C6BC3" w:rsidRPr="002D4A5C" w:rsidRDefault="009C6BC3" w:rsidP="00E27986">
      <w:pPr>
        <w:spacing w:after="0"/>
        <w:jc w:val="both"/>
        <w:rPr>
          <w:rFonts w:ascii="Times New Roman" w:hAnsi="Times New Roman" w:cs="Times New Roman"/>
          <w:sz w:val="24"/>
          <w:szCs w:val="24"/>
        </w:rPr>
      </w:pPr>
      <w:r w:rsidRPr="002D4A5C">
        <w:rPr>
          <w:rFonts w:ascii="Times New Roman" w:hAnsi="Times New Roman" w:cs="Times New Roman"/>
          <w:b/>
          <w:sz w:val="24"/>
          <w:szCs w:val="24"/>
        </w:rPr>
        <w:t>Supplemental Figure 4:</w:t>
      </w:r>
      <w:r w:rsidR="001D0F57" w:rsidRPr="002D4A5C">
        <w:rPr>
          <w:rFonts w:ascii="Times New Roman" w:hAnsi="Times New Roman" w:cs="Times New Roman"/>
          <w:b/>
          <w:sz w:val="24"/>
          <w:szCs w:val="24"/>
        </w:rPr>
        <w:t xml:space="preserve"> </w:t>
      </w:r>
      <w:r w:rsidR="001D0F57" w:rsidRPr="002D4A5C">
        <w:rPr>
          <w:rFonts w:ascii="Times New Roman" w:hAnsi="Times New Roman" w:cs="Times New Roman"/>
          <w:bCs/>
          <w:sz w:val="24"/>
          <w:szCs w:val="24"/>
        </w:rPr>
        <w:t xml:space="preserve">Comparison of </w:t>
      </w:r>
      <w:r w:rsidR="00124646" w:rsidRPr="002D4A5C">
        <w:rPr>
          <w:rFonts w:ascii="Times New Roman" w:hAnsi="Times New Roman" w:cs="Times New Roman"/>
          <w:bCs/>
          <w:sz w:val="24"/>
          <w:szCs w:val="24"/>
        </w:rPr>
        <w:t xml:space="preserve">average </w:t>
      </w:r>
      <w:r w:rsidR="00124646" w:rsidRPr="002D4A5C">
        <w:rPr>
          <w:rFonts w:ascii="Times New Roman" w:hAnsi="Times New Roman" w:cs="Times New Roman"/>
          <w:sz w:val="24"/>
          <w:szCs w:val="24"/>
        </w:rPr>
        <w:t xml:space="preserve">βNTI calculated across all samples or within </w:t>
      </w:r>
      <w:r w:rsidR="00964BD4" w:rsidRPr="002D4A5C">
        <w:rPr>
          <w:rFonts w:ascii="Times New Roman" w:hAnsi="Times New Roman" w:cs="Times New Roman"/>
          <w:sz w:val="24"/>
          <w:szCs w:val="24"/>
        </w:rPr>
        <w:t xml:space="preserve">stream order </w:t>
      </w:r>
      <w:r w:rsidR="007E5810" w:rsidRPr="002D4A5C">
        <w:rPr>
          <w:rFonts w:ascii="Times New Roman" w:hAnsi="Times New Roman" w:cs="Times New Roman"/>
          <w:sz w:val="24"/>
          <w:szCs w:val="24"/>
        </w:rPr>
        <w:t>against urban coverage (</w:t>
      </w:r>
      <w:r w:rsidR="007809EB" w:rsidRPr="002D4A5C">
        <w:rPr>
          <w:rFonts w:ascii="Times New Roman" w:hAnsi="Times New Roman" w:cs="Times New Roman"/>
          <w:sz w:val="24"/>
          <w:szCs w:val="24"/>
        </w:rPr>
        <w:t>A</w:t>
      </w:r>
      <w:r w:rsidR="007E5810" w:rsidRPr="002D4A5C">
        <w:rPr>
          <w:rFonts w:ascii="Times New Roman" w:hAnsi="Times New Roman" w:cs="Times New Roman"/>
          <w:sz w:val="24"/>
          <w:szCs w:val="24"/>
        </w:rPr>
        <w:t>), forest coverage (</w:t>
      </w:r>
      <w:r w:rsidR="007809EB" w:rsidRPr="002D4A5C">
        <w:rPr>
          <w:rFonts w:ascii="Times New Roman" w:hAnsi="Times New Roman" w:cs="Times New Roman"/>
          <w:sz w:val="24"/>
          <w:szCs w:val="24"/>
        </w:rPr>
        <w:t>B</w:t>
      </w:r>
      <w:r w:rsidR="007E5810" w:rsidRPr="002D4A5C">
        <w:rPr>
          <w:rFonts w:ascii="Times New Roman" w:hAnsi="Times New Roman" w:cs="Times New Roman"/>
          <w:sz w:val="24"/>
          <w:szCs w:val="24"/>
        </w:rPr>
        <w:t>), wetland coverage (</w:t>
      </w:r>
      <w:r w:rsidR="007809EB" w:rsidRPr="002D4A5C">
        <w:rPr>
          <w:rFonts w:ascii="Times New Roman" w:hAnsi="Times New Roman" w:cs="Times New Roman"/>
          <w:sz w:val="24"/>
          <w:szCs w:val="24"/>
        </w:rPr>
        <w:t>C</w:t>
      </w:r>
      <w:r w:rsidR="007E5810" w:rsidRPr="002D4A5C">
        <w:rPr>
          <w:rFonts w:ascii="Times New Roman" w:hAnsi="Times New Roman" w:cs="Times New Roman"/>
          <w:sz w:val="24"/>
          <w:szCs w:val="24"/>
        </w:rPr>
        <w:t xml:space="preserve">), </w:t>
      </w:r>
      <w:r w:rsidR="007809EB" w:rsidRPr="002D4A5C">
        <w:rPr>
          <w:rFonts w:ascii="Times New Roman" w:hAnsi="Times New Roman" w:cs="Times New Roman"/>
          <w:sz w:val="24"/>
          <w:szCs w:val="24"/>
        </w:rPr>
        <w:t>agricultural</w:t>
      </w:r>
      <w:r w:rsidR="007E5810" w:rsidRPr="002D4A5C">
        <w:rPr>
          <w:rFonts w:ascii="Times New Roman" w:hAnsi="Times New Roman" w:cs="Times New Roman"/>
          <w:sz w:val="24"/>
          <w:szCs w:val="24"/>
        </w:rPr>
        <w:t xml:space="preserve"> coverage (</w:t>
      </w:r>
      <w:r w:rsidR="007809EB" w:rsidRPr="002D4A5C">
        <w:rPr>
          <w:rFonts w:ascii="Times New Roman" w:hAnsi="Times New Roman" w:cs="Times New Roman"/>
          <w:sz w:val="24"/>
          <w:szCs w:val="24"/>
        </w:rPr>
        <w:t>D</w:t>
      </w:r>
      <w:r w:rsidR="007E5810" w:rsidRPr="002D4A5C">
        <w:rPr>
          <w:rFonts w:ascii="Times New Roman" w:hAnsi="Times New Roman" w:cs="Times New Roman"/>
          <w:sz w:val="24"/>
          <w:szCs w:val="24"/>
        </w:rPr>
        <w:t xml:space="preserve">), </w:t>
      </w:r>
      <w:r w:rsidR="007809EB" w:rsidRPr="002D4A5C">
        <w:rPr>
          <w:rFonts w:ascii="Times New Roman" w:hAnsi="Times New Roman" w:cs="Times New Roman"/>
          <w:sz w:val="24"/>
          <w:szCs w:val="24"/>
        </w:rPr>
        <w:t>shrub coverage (E), and NPOC (F).</w:t>
      </w:r>
      <w:r w:rsidR="00A434DE" w:rsidRPr="002D4A5C">
        <w:rPr>
          <w:rFonts w:ascii="Times New Roman" w:hAnsi="Times New Roman" w:cs="Times New Roman"/>
          <w:sz w:val="24"/>
          <w:szCs w:val="24"/>
        </w:rPr>
        <w:t xml:space="preserve"> The generalized </w:t>
      </w:r>
      <w:r w:rsidR="00B0265A" w:rsidRPr="002D4A5C">
        <w:rPr>
          <w:rFonts w:ascii="Times New Roman" w:hAnsi="Times New Roman" w:cs="Times New Roman"/>
          <w:sz w:val="24"/>
          <w:szCs w:val="24"/>
        </w:rPr>
        <w:t>additive model</w:t>
      </w:r>
      <w:r w:rsidR="00045E11" w:rsidRPr="002D4A5C">
        <w:rPr>
          <w:rFonts w:ascii="Times New Roman" w:hAnsi="Times New Roman" w:cs="Times New Roman"/>
          <w:sz w:val="24"/>
          <w:szCs w:val="24"/>
        </w:rPr>
        <w:t xml:space="preserve"> fit is represented in blue with a 95% CI in gray, though no fit was </w:t>
      </w:r>
      <w:r w:rsidR="003D257E" w:rsidRPr="002D4A5C">
        <w:rPr>
          <w:rFonts w:ascii="Times New Roman" w:hAnsi="Times New Roman" w:cs="Times New Roman"/>
          <w:sz w:val="24"/>
          <w:szCs w:val="24"/>
        </w:rPr>
        <w:t>significant,</w:t>
      </w:r>
      <w:r w:rsidR="00045E11" w:rsidRPr="002D4A5C">
        <w:rPr>
          <w:rFonts w:ascii="Times New Roman" w:hAnsi="Times New Roman" w:cs="Times New Roman"/>
          <w:sz w:val="24"/>
          <w:szCs w:val="24"/>
        </w:rPr>
        <w:t xml:space="preserve"> so no </w:t>
      </w:r>
      <w:r w:rsidR="003D257E" w:rsidRPr="002D4A5C">
        <w:rPr>
          <w:rFonts w:ascii="Times New Roman" w:hAnsi="Times New Roman" w:cs="Times New Roman"/>
          <w:sz w:val="24"/>
          <w:szCs w:val="24"/>
        </w:rPr>
        <w:t>statistics</w:t>
      </w:r>
      <w:r w:rsidR="00045E11" w:rsidRPr="002D4A5C">
        <w:rPr>
          <w:rFonts w:ascii="Times New Roman" w:hAnsi="Times New Roman" w:cs="Times New Roman"/>
          <w:sz w:val="24"/>
          <w:szCs w:val="24"/>
        </w:rPr>
        <w:t xml:space="preserve"> are provided.</w:t>
      </w:r>
    </w:p>
    <w:p w14:paraId="592E6980" w14:textId="77777777" w:rsidR="003D257E" w:rsidRPr="002D4A5C" w:rsidRDefault="003D257E" w:rsidP="00E27986">
      <w:pPr>
        <w:spacing w:after="0"/>
        <w:jc w:val="both"/>
        <w:rPr>
          <w:rFonts w:ascii="Times New Roman" w:hAnsi="Times New Roman" w:cs="Times New Roman"/>
          <w:sz w:val="24"/>
          <w:szCs w:val="24"/>
        </w:rPr>
      </w:pPr>
    </w:p>
    <w:p w14:paraId="59B9738E" w14:textId="23206062" w:rsidR="003D257E" w:rsidRPr="002D4A5C" w:rsidRDefault="003D257E" w:rsidP="00E27986">
      <w:pPr>
        <w:spacing w:after="0"/>
        <w:jc w:val="both"/>
        <w:rPr>
          <w:rFonts w:ascii="Times New Roman" w:hAnsi="Times New Roman" w:cs="Times New Roman"/>
          <w:b/>
          <w:bCs/>
          <w:sz w:val="24"/>
          <w:szCs w:val="24"/>
        </w:rPr>
      </w:pPr>
      <w:r w:rsidRPr="002D4A5C">
        <w:rPr>
          <w:rFonts w:ascii="Times New Roman" w:hAnsi="Times New Roman" w:cs="Times New Roman"/>
          <w:b/>
          <w:bCs/>
          <w:sz w:val="24"/>
          <w:szCs w:val="24"/>
        </w:rPr>
        <w:t>Supplemental Table Legends</w:t>
      </w:r>
    </w:p>
    <w:p w14:paraId="5D550EA9" w14:textId="180E05E6" w:rsidR="003D257E" w:rsidRPr="002D4A5C" w:rsidRDefault="008527F2" w:rsidP="00E27986">
      <w:pPr>
        <w:spacing w:after="0"/>
        <w:jc w:val="both"/>
        <w:rPr>
          <w:rFonts w:ascii="Times New Roman" w:hAnsi="Times New Roman" w:cs="Times New Roman"/>
          <w:bCs/>
          <w:sz w:val="24"/>
          <w:szCs w:val="24"/>
        </w:rPr>
      </w:pPr>
      <w:r w:rsidRPr="002D4A5C">
        <w:rPr>
          <w:rFonts w:ascii="Times New Roman" w:hAnsi="Times New Roman" w:cs="Times New Roman"/>
          <w:b/>
          <w:sz w:val="24"/>
          <w:szCs w:val="24"/>
        </w:rPr>
        <w:t>Supplemental Table 1</w:t>
      </w:r>
      <w:r w:rsidRPr="002D4A5C">
        <w:rPr>
          <w:rFonts w:ascii="Times New Roman" w:hAnsi="Times New Roman" w:cs="Times New Roman"/>
          <w:bCs/>
          <w:sz w:val="24"/>
          <w:szCs w:val="24"/>
        </w:rPr>
        <w:t xml:space="preserve">: </w:t>
      </w:r>
      <w:r w:rsidR="00053FE8" w:rsidRPr="002D4A5C">
        <w:rPr>
          <w:rFonts w:ascii="Times New Roman" w:hAnsi="Times New Roman" w:cs="Times New Roman"/>
          <w:sz w:val="24"/>
          <w:szCs w:val="24"/>
        </w:rPr>
        <w:t xml:space="preserve">Statistics for </w:t>
      </w:r>
      <w:r w:rsidR="00ED6B23" w:rsidRPr="002D4A5C">
        <w:rPr>
          <w:rFonts w:ascii="Times New Roman" w:hAnsi="Times New Roman" w:cs="Times New Roman"/>
          <w:sz w:val="24"/>
          <w:szCs w:val="24"/>
        </w:rPr>
        <w:t xml:space="preserve">overall and within-stream order </w:t>
      </w:r>
      <w:r w:rsidR="00895C47" w:rsidRPr="002D4A5C">
        <w:rPr>
          <w:rFonts w:ascii="Times New Roman" w:hAnsi="Times New Roman" w:cs="Times New Roman"/>
          <w:sz w:val="24"/>
          <w:szCs w:val="24"/>
        </w:rPr>
        <w:t>βNTI</w:t>
      </w:r>
      <w:r w:rsidR="00C416DA" w:rsidRPr="002D4A5C">
        <w:rPr>
          <w:rFonts w:ascii="Times New Roman" w:hAnsi="Times New Roman" w:cs="Times New Roman"/>
          <w:sz w:val="24"/>
          <w:szCs w:val="24"/>
        </w:rPr>
        <w:t xml:space="preserve"> correlations </w:t>
      </w:r>
      <w:r w:rsidR="00272ADC" w:rsidRPr="002D4A5C">
        <w:rPr>
          <w:rFonts w:ascii="Times New Roman" w:hAnsi="Times New Roman" w:cs="Times New Roman"/>
          <w:sz w:val="24"/>
          <w:szCs w:val="24"/>
        </w:rPr>
        <w:t>with</w:t>
      </w:r>
      <w:r w:rsidR="00C416DA" w:rsidRPr="002D4A5C">
        <w:rPr>
          <w:rFonts w:ascii="Times New Roman" w:hAnsi="Times New Roman" w:cs="Times New Roman"/>
          <w:sz w:val="24"/>
          <w:szCs w:val="24"/>
        </w:rPr>
        <w:t xml:space="preserve"> geospatial</w:t>
      </w:r>
      <w:r w:rsidR="00272ADC" w:rsidRPr="002D4A5C">
        <w:rPr>
          <w:rFonts w:ascii="Times New Roman" w:hAnsi="Times New Roman" w:cs="Times New Roman"/>
          <w:sz w:val="24"/>
          <w:szCs w:val="24"/>
        </w:rPr>
        <w:t xml:space="preserve"> and geochemical</w:t>
      </w:r>
      <w:r w:rsidR="00A971CF" w:rsidRPr="002D4A5C">
        <w:rPr>
          <w:rFonts w:ascii="Times New Roman" w:hAnsi="Times New Roman" w:cs="Times New Roman"/>
          <w:sz w:val="24"/>
          <w:szCs w:val="24"/>
        </w:rPr>
        <w:t xml:space="preserve"> variables</w:t>
      </w:r>
      <w:r w:rsidR="00812495" w:rsidRPr="002D4A5C">
        <w:rPr>
          <w:rFonts w:ascii="Times New Roman" w:hAnsi="Times New Roman" w:cs="Times New Roman"/>
          <w:sz w:val="24"/>
          <w:szCs w:val="24"/>
        </w:rPr>
        <w:t xml:space="preserve"> within and across stream orders.</w:t>
      </w:r>
      <w:r w:rsidR="003B1277" w:rsidRPr="002D4A5C">
        <w:rPr>
          <w:rFonts w:ascii="Times New Roman" w:hAnsi="Times New Roman" w:cs="Times New Roman"/>
          <w:sz w:val="24"/>
          <w:szCs w:val="24"/>
        </w:rPr>
        <w:t xml:space="preserve"> </w:t>
      </w:r>
      <w:r w:rsidR="008119DE" w:rsidRPr="002D4A5C">
        <w:rPr>
          <w:rFonts w:ascii="Times New Roman" w:hAnsi="Times New Roman" w:cs="Times New Roman"/>
          <w:sz w:val="24"/>
          <w:szCs w:val="24"/>
        </w:rPr>
        <w:t xml:space="preserve">This table includes </w:t>
      </w:r>
      <w:r w:rsidR="003C0FE7" w:rsidRPr="002D4A5C">
        <w:rPr>
          <w:rFonts w:ascii="Times New Roman" w:hAnsi="Times New Roman" w:cs="Times New Roman"/>
          <w:sz w:val="24"/>
          <w:szCs w:val="24"/>
        </w:rPr>
        <w:t xml:space="preserve">Spearman-based Mantel correlations between </w:t>
      </w:r>
      <w:r w:rsidR="004B7C53" w:rsidRPr="002D4A5C">
        <w:rPr>
          <w:rFonts w:ascii="Times New Roman" w:hAnsi="Times New Roman" w:cs="Times New Roman"/>
          <w:sz w:val="24"/>
          <w:szCs w:val="24"/>
        </w:rPr>
        <w:t xml:space="preserve">βNTI </w:t>
      </w:r>
      <w:r w:rsidR="00282F8D" w:rsidRPr="002D4A5C">
        <w:rPr>
          <w:rFonts w:ascii="Times New Roman" w:hAnsi="Times New Roman" w:cs="Times New Roman"/>
          <w:sz w:val="24"/>
          <w:szCs w:val="24"/>
        </w:rPr>
        <w:t xml:space="preserve">variation </w:t>
      </w:r>
      <w:r w:rsidR="003C0FE7" w:rsidRPr="002D4A5C">
        <w:rPr>
          <w:rFonts w:ascii="Times New Roman" w:hAnsi="Times New Roman" w:cs="Times New Roman"/>
          <w:sz w:val="24"/>
          <w:szCs w:val="24"/>
        </w:rPr>
        <w:t>and geochemical</w:t>
      </w:r>
      <w:r w:rsidR="008119DE" w:rsidRPr="002D4A5C">
        <w:rPr>
          <w:rFonts w:ascii="Times New Roman" w:hAnsi="Times New Roman" w:cs="Times New Roman"/>
          <w:sz w:val="24"/>
          <w:szCs w:val="24"/>
        </w:rPr>
        <w:t xml:space="preserve"> variables (Sheet 1) or geospatial variables (Sheet 2)</w:t>
      </w:r>
      <w:r w:rsidR="007664F2" w:rsidRPr="002D4A5C">
        <w:rPr>
          <w:rFonts w:ascii="Times New Roman" w:hAnsi="Times New Roman" w:cs="Times New Roman"/>
          <w:sz w:val="24"/>
          <w:szCs w:val="24"/>
        </w:rPr>
        <w:t xml:space="preserve">, but also includes Spearman correlations between average </w:t>
      </w:r>
      <w:r w:rsidR="004B7C53" w:rsidRPr="002D4A5C">
        <w:rPr>
          <w:rFonts w:ascii="Times New Roman" w:hAnsi="Times New Roman" w:cs="Times New Roman"/>
          <w:sz w:val="24"/>
          <w:szCs w:val="24"/>
        </w:rPr>
        <w:t xml:space="preserve">βNTI </w:t>
      </w:r>
      <w:r w:rsidR="00C562B2" w:rsidRPr="002D4A5C">
        <w:rPr>
          <w:rFonts w:ascii="Times New Roman" w:hAnsi="Times New Roman" w:cs="Times New Roman"/>
          <w:sz w:val="24"/>
          <w:szCs w:val="24"/>
        </w:rPr>
        <w:t xml:space="preserve">and </w:t>
      </w:r>
      <w:r w:rsidR="004B7C53" w:rsidRPr="002D4A5C">
        <w:rPr>
          <w:rFonts w:ascii="Times New Roman" w:hAnsi="Times New Roman" w:cs="Times New Roman"/>
          <w:sz w:val="24"/>
          <w:szCs w:val="24"/>
        </w:rPr>
        <w:t>geochemical variables (Sheet 3) or geospatial variables (Sheet 4).</w:t>
      </w:r>
    </w:p>
    <w:p w14:paraId="3ED307EA" w14:textId="77777777" w:rsidR="00E27986" w:rsidRPr="002D4A5C" w:rsidRDefault="00E27986" w:rsidP="00E27986">
      <w:pPr>
        <w:spacing w:after="0"/>
        <w:jc w:val="both"/>
        <w:rPr>
          <w:rFonts w:ascii="Times New Roman" w:hAnsi="Times New Roman" w:cs="Times New Roman"/>
          <w:b/>
          <w:sz w:val="24"/>
          <w:szCs w:val="24"/>
        </w:rPr>
      </w:pPr>
    </w:p>
    <w:p w14:paraId="327EE225" w14:textId="6444C3E3" w:rsidR="0061025D" w:rsidRPr="002D4A5C" w:rsidRDefault="0061025D" w:rsidP="00E27986">
      <w:pPr>
        <w:spacing w:after="0"/>
        <w:jc w:val="both"/>
        <w:rPr>
          <w:rFonts w:ascii="Times New Roman" w:hAnsi="Times New Roman" w:cs="Times New Roman"/>
          <w:b/>
          <w:sz w:val="24"/>
          <w:szCs w:val="24"/>
        </w:rPr>
      </w:pPr>
      <w:r w:rsidRPr="002D4A5C">
        <w:rPr>
          <w:rFonts w:ascii="Times New Roman" w:hAnsi="Times New Roman" w:cs="Times New Roman"/>
          <w:b/>
          <w:sz w:val="24"/>
          <w:szCs w:val="24"/>
        </w:rPr>
        <w:t>Supplemental Results and Discussion</w:t>
      </w:r>
    </w:p>
    <w:p w14:paraId="48B66402" w14:textId="77777777"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The specific pairwise βNTI comparisons were significantly related to many geochemical and geospatial variables. This metric relies on relational information to assess whether the differences between a pair of DOM assemblages developed due to deterministic (i.e., non-random) or stochastic (i.e., random) ecological processes. When βNTI values are significantly high or low (|βNTI| &gt; 2), the differences or similarities between assemblages are larger than we would expect due to random chance due to the effects of ecological selection. When βNTI values are insignificant (|βNTI| &lt; 2), the differences or similarities between assemblages mirror the random expectation indicating that dispersal-based processes or weak ecological processes generated the observed differences. Turning toward correlations between βNTI and various environmental parameters, we observed that relationships formed four rough groups.</w:t>
      </w:r>
    </w:p>
    <w:p w14:paraId="5DB5EBB3" w14:textId="77777777" w:rsidR="00A804D1" w:rsidRPr="002D4A5C" w:rsidRDefault="00A804D1" w:rsidP="00E27986">
      <w:pPr>
        <w:spacing w:after="0"/>
        <w:jc w:val="both"/>
        <w:rPr>
          <w:rFonts w:ascii="Times New Roman" w:hAnsi="Times New Roman" w:cs="Times New Roman"/>
          <w:sz w:val="24"/>
          <w:szCs w:val="24"/>
        </w:rPr>
      </w:pPr>
    </w:p>
    <w:p w14:paraId="18276DE8" w14:textId="0E1FB01A"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Looking at the first group of βNTI relationships, we observe that Geospatial PC1 and associated variables (i.e., average precipitation, average temperature, forest coverage) are significantly related to increased determinism according to both overall and within stream order βNTI (</w:t>
      </w:r>
      <w:r w:rsidRPr="002D4A5C">
        <w:rPr>
          <w:rFonts w:ascii="Times New Roman" w:hAnsi="Times New Roman" w:cs="Times New Roman"/>
          <w:b/>
          <w:sz w:val="24"/>
          <w:szCs w:val="24"/>
        </w:rPr>
        <w:t xml:space="preserve">Supplemental Table </w:t>
      </w:r>
      <w:r w:rsidR="00276586" w:rsidRPr="002D4A5C">
        <w:rPr>
          <w:rFonts w:ascii="Times New Roman" w:hAnsi="Times New Roman" w:cs="Times New Roman"/>
          <w:b/>
          <w:sz w:val="24"/>
          <w:szCs w:val="24"/>
        </w:rPr>
        <w:t>1</w:t>
      </w:r>
      <w:r w:rsidR="009A6FA1" w:rsidRPr="002D4A5C">
        <w:rPr>
          <w:rFonts w:ascii="Times New Roman" w:hAnsi="Times New Roman" w:cs="Times New Roman"/>
          <w:b/>
          <w:sz w:val="24"/>
          <w:szCs w:val="24"/>
        </w:rPr>
        <w:t>, Supplemental Figure 3</w:t>
      </w:r>
      <w:r w:rsidR="00EB1B36" w:rsidRPr="002D4A5C">
        <w:rPr>
          <w:rFonts w:ascii="Times New Roman" w:hAnsi="Times New Roman" w:cs="Times New Roman"/>
          <w:b/>
          <w:sz w:val="24"/>
          <w:szCs w:val="24"/>
        </w:rPr>
        <w:t>B</w:t>
      </w:r>
      <w:r w:rsidRPr="002D4A5C">
        <w:rPr>
          <w:rFonts w:ascii="Times New Roman" w:hAnsi="Times New Roman" w:cs="Times New Roman"/>
          <w:sz w:val="24"/>
          <w:szCs w:val="24"/>
        </w:rPr>
        <w:t xml:space="preserve">). This result reveals that the correlations observed between </w:t>
      </w:r>
      <w:r w:rsidRPr="002D4A5C">
        <w:rPr>
          <w:rFonts w:ascii="Times New Roman" w:hAnsi="Times New Roman" w:cs="Times New Roman"/>
          <w:sz w:val="24"/>
          <w:szCs w:val="24"/>
        </w:rPr>
        <w:lastRenderedPageBreak/>
        <w:t xml:space="preserve">geospatial variables and the number of molecular formulas in </w:t>
      </w:r>
      <w:r w:rsidRPr="002D4A5C">
        <w:rPr>
          <w:rFonts w:ascii="Times New Roman" w:hAnsi="Times New Roman" w:cs="Times New Roman"/>
          <w:b/>
          <w:sz w:val="24"/>
          <w:szCs w:val="24"/>
        </w:rPr>
        <w:t xml:space="preserve">Figure </w:t>
      </w:r>
      <w:r w:rsidR="00531605" w:rsidRPr="002D4A5C">
        <w:rPr>
          <w:rFonts w:ascii="Times New Roman" w:hAnsi="Times New Roman" w:cs="Times New Roman"/>
          <w:b/>
          <w:sz w:val="24"/>
          <w:szCs w:val="24"/>
        </w:rPr>
        <w:t xml:space="preserve">2 </w:t>
      </w:r>
      <w:r w:rsidR="00531605" w:rsidRPr="002D4A5C">
        <w:rPr>
          <w:rFonts w:ascii="Times New Roman" w:hAnsi="Times New Roman" w:cs="Times New Roman"/>
          <w:bCs/>
          <w:sz w:val="24"/>
          <w:szCs w:val="24"/>
        </w:rPr>
        <w:t>in the main text</w:t>
      </w:r>
      <w:r w:rsidRPr="002D4A5C">
        <w:rPr>
          <w:rFonts w:ascii="Times New Roman" w:hAnsi="Times New Roman" w:cs="Times New Roman"/>
          <w:sz w:val="24"/>
          <w:szCs w:val="24"/>
        </w:rPr>
        <w:t xml:space="preserve"> likely arose due to deterministic forces. Specifically, this suggests that climate derived (e.g., precipitation) and hydrological (e.g., contact time) variables impose a strong degree of selection on DOM assemblages, though the specific abiotic or biotic process is unclear.</w:t>
      </w:r>
    </w:p>
    <w:p w14:paraId="10504516" w14:textId="77777777" w:rsidR="00A804D1" w:rsidRPr="002D4A5C" w:rsidRDefault="00A804D1" w:rsidP="00E27986">
      <w:pPr>
        <w:spacing w:after="0"/>
        <w:jc w:val="both"/>
        <w:rPr>
          <w:rFonts w:ascii="Times New Roman" w:hAnsi="Times New Roman" w:cs="Times New Roman"/>
          <w:sz w:val="24"/>
          <w:szCs w:val="24"/>
        </w:rPr>
      </w:pPr>
    </w:p>
    <w:p w14:paraId="3BB01434" w14:textId="20AFAA29"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The second group of variables account for geospatial variables not associated with Geospatial PC1, namely other types of land coverage (</w:t>
      </w:r>
      <w:r w:rsidRPr="002D4A5C">
        <w:rPr>
          <w:rFonts w:ascii="Times New Roman" w:hAnsi="Times New Roman" w:cs="Times New Roman"/>
          <w:b/>
          <w:sz w:val="24"/>
          <w:szCs w:val="24"/>
        </w:rPr>
        <w:t xml:space="preserve">Supplemental Table </w:t>
      </w:r>
      <w:r w:rsidR="00772582" w:rsidRPr="002D4A5C">
        <w:rPr>
          <w:rFonts w:ascii="Times New Roman" w:hAnsi="Times New Roman" w:cs="Times New Roman"/>
          <w:b/>
          <w:sz w:val="24"/>
          <w:szCs w:val="24"/>
        </w:rPr>
        <w:t>1</w:t>
      </w:r>
      <w:r w:rsidR="009A6FA1" w:rsidRPr="002D4A5C">
        <w:rPr>
          <w:rFonts w:ascii="Times New Roman" w:hAnsi="Times New Roman" w:cs="Times New Roman"/>
          <w:b/>
          <w:sz w:val="24"/>
          <w:szCs w:val="24"/>
        </w:rPr>
        <w:t>, Supplemental Figure 3</w:t>
      </w:r>
      <w:r w:rsidR="00EB1B36" w:rsidRPr="002D4A5C">
        <w:rPr>
          <w:rFonts w:ascii="Times New Roman" w:hAnsi="Times New Roman" w:cs="Times New Roman"/>
          <w:b/>
          <w:sz w:val="24"/>
          <w:szCs w:val="24"/>
        </w:rPr>
        <w:t>B</w:t>
      </w:r>
      <w:r w:rsidRPr="002D4A5C">
        <w:rPr>
          <w:rFonts w:ascii="Times New Roman" w:hAnsi="Times New Roman" w:cs="Times New Roman"/>
          <w:sz w:val="24"/>
          <w:szCs w:val="24"/>
        </w:rPr>
        <w:t xml:space="preserve">). These variables were also correlated to the number of molecular formulas in </w:t>
      </w:r>
      <w:r w:rsidR="00531605" w:rsidRPr="002D4A5C">
        <w:rPr>
          <w:rFonts w:ascii="Times New Roman" w:hAnsi="Times New Roman" w:cs="Times New Roman"/>
          <w:b/>
          <w:sz w:val="24"/>
          <w:szCs w:val="24"/>
        </w:rPr>
        <w:t xml:space="preserve">Figure 2 </w:t>
      </w:r>
      <w:r w:rsidR="00531605" w:rsidRPr="002D4A5C">
        <w:rPr>
          <w:rFonts w:ascii="Times New Roman" w:hAnsi="Times New Roman" w:cs="Times New Roman"/>
          <w:bCs/>
          <w:sz w:val="24"/>
          <w:szCs w:val="24"/>
        </w:rPr>
        <w:t>in the main text</w:t>
      </w:r>
      <w:r w:rsidRPr="002D4A5C">
        <w:rPr>
          <w:rFonts w:ascii="Times New Roman" w:hAnsi="Times New Roman" w:cs="Times New Roman"/>
          <w:sz w:val="24"/>
          <w:szCs w:val="24"/>
        </w:rPr>
        <w:t xml:space="preserve">. These results indicate that land cover variables, in addition to common hydrological and climatic variation, play a role in the development of DOM. Danczak et al., </w:t>
      </w:r>
      <w:r w:rsidRPr="002D4A5C">
        <w:rPr>
          <w:rFonts w:ascii="Times New Roman" w:hAnsi="Times New Roman" w:cs="Times New Roman"/>
          <w:sz w:val="24"/>
          <w:szCs w:val="24"/>
        </w:rPr>
        <w:fldChar w:fldCharType="begin"/>
      </w:r>
      <w:r w:rsidRPr="002D4A5C">
        <w:rPr>
          <w:rFonts w:ascii="Times New Roman" w:hAnsi="Times New Roman" w:cs="Times New Roman"/>
          <w:sz w:val="24"/>
          <w:szCs w:val="24"/>
        </w:rPr>
        <w:instrText xml:space="preserve"> ADDIN ZOTERO_ITEM CSL_CITATION {"citationID":"b1DNIeoo","properties":{"formattedCitation":"({\\i{}20})","plainCitation":"(20)","noteIndex":0},"citationItems":[{"id":7221,"uris":["http://zotero.org/groups/4520071/items/LNZ5MUY3"],"itemData":{"id":7221,"type":"article-journal","abstract":"A large amount of dissolved organic matter (DOM) is transported to the ocean from terrestrial inputs each year (~0.95 Pg C per year) and undergoes a series of abiotic and biotic reactions, causing a significant release of CO\n              2\n              . Combined, these reactions result in variable DOM characteristics (e.g., nominal oxidation state of carbon, double-bond equivalents, chemodiversity) which have demonstrated impacts on biogeochemistry and ecosystem function. Despite this importance, however, comparatively few studies focus on the drivers for DOM chemodiversity along a riverine continuum. Here, we characterized DOM within samples collected from a stream network in the Yakima River Basin using ultrahigh-resolution mass spectrometry (i.e., FTICR-MS). To link DOM chemistry to potential function, we identified putative biochemical transformations within each sample. We also used various molecular characteristics (e.g., thermodynamic favorability, degradability) to calculate a series of functional diversity metrics. We observed that the diversity of biochemical transformations increased with increasing upstream catchment area and landcover. This increase was also connected to expanding functional diversity of the molecular formula. This pattern suggests that as molecular formulas become more diverse in thermodynamics or degradability, there is increased opportunity for biochemical transformations, potentially creating a self-reinforcing cycle where transformations in turn increase diversity and diversity increase transformations. We also observed that these patterns are, in part, connected to landcover whereby the occurrence of many landcover types (e.g., agriculture, urban, forest, shrub) could expand DOM functional diversity. For example, we observed that a novel functional diversity metric measuring similarity to common freshwater molecular formulas (i.e., carboxyl-rich alicyclic molecules) was significantly related to urban coverage. These results show that DOM diversity does not decrease along stream networks, as predicted by a common conceptual model known as the River Continuum Concept, but rather are influenced by the thermodynamic and degradation potential of molecular formula within the DOM, as well as landcover patterns.","container-title":"Frontiers in Water","DOI":"10.3389/frwa.2023.1087108","ISSN":"2624-9375","journalAbbreviation":"Front. Water","page":"1087108","source":"DOI.org (Crossref)","title":"Riverine organic matter functional diversity increases with catchment size","volume":"5","author":[{"family":"Danczak","given":"Robert E."},{"family":"Garayburu-Caruso","given":"Vanessa A."},{"family":"Renteria","given":"Lupita"},{"family":"McKever","given":"Sophia A."},{"family":"Otenburg","given":"Opal C."},{"family":"Grieger","given":"Samantha R."},{"family":"Son","given":"Kyongho"},{"family":"Kaufman","given":"Matthew H."},{"family":"Fulton","given":"Stephanie G."},{"family":"Roebuck","given":"J. Alan"},{"family":"Myers-Pigg","given":"Allison N."},{"family":"Stegen","given":"James C."}],"issued":{"date-parts":[["2023",7,5]]}}}],"schema":"https://github.com/citation-style-language/schema/raw/master/csl-citation.json"} </w:instrText>
      </w:r>
      <w:r w:rsidRPr="002D4A5C">
        <w:rPr>
          <w:rFonts w:ascii="Times New Roman" w:hAnsi="Times New Roman" w:cs="Times New Roman"/>
          <w:sz w:val="24"/>
          <w:szCs w:val="24"/>
        </w:rPr>
        <w:fldChar w:fldCharType="separate"/>
      </w:r>
      <w:r w:rsidRPr="002D4A5C">
        <w:rPr>
          <w:rFonts w:ascii="Times New Roman" w:hAnsi="Times New Roman" w:cs="Times New Roman"/>
          <w:sz w:val="24"/>
          <w:szCs w:val="24"/>
        </w:rPr>
        <w:t>(</w:t>
      </w:r>
      <w:r w:rsidRPr="002D4A5C">
        <w:rPr>
          <w:rFonts w:ascii="Times New Roman" w:hAnsi="Times New Roman" w:cs="Times New Roman"/>
          <w:i/>
          <w:iCs/>
          <w:sz w:val="24"/>
          <w:szCs w:val="24"/>
        </w:rPr>
        <w:t>20</w:t>
      </w:r>
      <w:r w:rsidRPr="002D4A5C">
        <w:rPr>
          <w:rFonts w:ascii="Times New Roman" w:hAnsi="Times New Roman" w:cs="Times New Roman"/>
          <w:sz w:val="24"/>
          <w:szCs w:val="24"/>
        </w:rPr>
        <w:t>)</w:t>
      </w:r>
      <w:r w:rsidRPr="002D4A5C">
        <w:rPr>
          <w:rFonts w:ascii="Times New Roman" w:hAnsi="Times New Roman" w:cs="Times New Roman"/>
          <w:sz w:val="24"/>
          <w:szCs w:val="24"/>
        </w:rPr>
        <w:fldChar w:fldCharType="end"/>
      </w:r>
      <w:r w:rsidRPr="002D4A5C">
        <w:rPr>
          <w:rFonts w:ascii="Times New Roman" w:hAnsi="Times New Roman" w:cs="Times New Roman"/>
          <w:sz w:val="24"/>
          <w:szCs w:val="24"/>
        </w:rPr>
        <w:t xml:space="preserve"> revealed that land cover was a key control on the functional diversity of DOM within this basin. These results indicate that the ecological controls extend beyond just interacting with transformations.</w:t>
      </w:r>
    </w:p>
    <w:p w14:paraId="0EBB0E5F" w14:textId="77777777" w:rsidR="00A804D1" w:rsidRPr="002D4A5C" w:rsidRDefault="00A804D1" w:rsidP="00E27986">
      <w:pPr>
        <w:spacing w:after="0"/>
        <w:jc w:val="both"/>
        <w:rPr>
          <w:rFonts w:ascii="Times New Roman" w:hAnsi="Times New Roman" w:cs="Times New Roman"/>
          <w:sz w:val="24"/>
          <w:szCs w:val="24"/>
        </w:rPr>
      </w:pPr>
    </w:p>
    <w:p w14:paraId="6D03EE32" w14:textId="77777777"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The third and fourth groups of variables are both sets of geochemical measurements that differ based upon their relationships across scales. The third group consists of geochemical variables which have greater or similar relationship strengths across stream orders than within stream orders. Specifically, NPOC and TN were the strongest correlations both within and across stream orders; conversely, NO</w:t>
      </w:r>
      <w:r w:rsidRPr="002D4A5C">
        <w:rPr>
          <w:rFonts w:ascii="Times New Roman" w:hAnsi="Times New Roman" w:cs="Times New Roman"/>
          <w:sz w:val="24"/>
          <w:szCs w:val="24"/>
          <w:vertAlign w:val="subscript"/>
        </w:rPr>
        <w:t>2</w:t>
      </w:r>
      <w:r w:rsidRPr="002D4A5C">
        <w:rPr>
          <w:rFonts w:ascii="Times New Roman" w:hAnsi="Times New Roman" w:cs="Times New Roman"/>
          <w:sz w:val="24"/>
          <w:szCs w:val="24"/>
        </w:rPr>
        <w:t xml:space="preserve"> was the weakest and the only non-significant relationship within stream orders or throughout the entire basin. These variables point to geochemical parameters that likely impact DOM selection consistently regardless of the scale of comparison. Given the patterns in other analyses, NPOC might be acting as a significant variable in determining the ecological processes impacting riverine DOM. There are a three potential mechanisms behind this pattern: </w:t>
      </w:r>
      <w:r w:rsidRPr="002D4A5C">
        <w:rPr>
          <w:rFonts w:ascii="Times New Roman" w:hAnsi="Times New Roman" w:cs="Times New Roman"/>
          <w:b/>
          <w:sz w:val="24"/>
          <w:szCs w:val="24"/>
        </w:rPr>
        <w:t>1)</w:t>
      </w:r>
      <w:r w:rsidRPr="002D4A5C">
        <w:rPr>
          <w:rFonts w:ascii="Times New Roman" w:hAnsi="Times New Roman" w:cs="Times New Roman"/>
          <w:sz w:val="24"/>
          <w:szCs w:val="24"/>
        </w:rPr>
        <w:t xml:space="preserve"> absolute NPOC concentration stimulates undirected biological activity, therefore the DOM becomes more diverse (e.g., when nutrients are a limiting factor, microbes become less thermodynamically driven) </w:t>
      </w:r>
      <w:r w:rsidRPr="002D4A5C">
        <w:rPr>
          <w:rFonts w:ascii="Times New Roman" w:hAnsi="Times New Roman" w:cs="Times New Roman"/>
          <w:sz w:val="24"/>
          <w:szCs w:val="24"/>
        </w:rPr>
        <w:fldChar w:fldCharType="begin"/>
      </w:r>
      <w:r w:rsidRPr="002D4A5C">
        <w:rPr>
          <w:rFonts w:ascii="Times New Roman" w:hAnsi="Times New Roman" w:cs="Times New Roman"/>
          <w:sz w:val="24"/>
          <w:szCs w:val="24"/>
        </w:rPr>
        <w:instrText xml:space="preserve"> ADDIN ZOTERO_ITEM CSL_CITATION {"citationID":"ljfEEHQ6","properties":{"formattedCitation":"({\\i{}17})","plainCitation":"(17)","noteIndex":0},"citationItems":[{"id":7210,"uris":["http://zotero.org/groups/4520071/items/3T8NPLT8"],"itemData":{"id":7210,"type":"article-journal","abstract":"Organic matter (OM) metabolism in freshwater ecosystems is a critical source of uncertainty in global biogeochemical cycles, yet the processes regulating aerobic respiration in aquatic environments remain poorly understood. Aerobic respiration is typically predicted through kinetic controls such as organic carbon and oxygen concentrations, while assuming thermodynamic regulation has no influence. The role of OM thermodynamics has been mainly explored under anaerobic conditions; however, recent observations have suggested that thermodynamic properties of OM may influence aerobic respiration rates. Here, we explicitly test OM thermodynamics as a key regulator of aerobic respiration. We pair controlled microcosm experiments with ultrahigh-resolution OM characterization to show that aerobic respiration increases with OM thermodynamic favorability under carbon limitation. We also demonstrate a shift in the regulation of aerobic respiration from OM thermodynamics to nitrogen content when carbon is in excess, highlighting a central role for OM thermodynamics particularly in carbon-limited ecosystems. This illuminates a structural gap in aquatic biogeochemical models by demonstrating that both kinetic and thermodynamic constraints can modulate aerobic respiration. Our work therefore proposes a new conceptual model in which thermodynamic and nutrient limitations dually control aerobic respiration.","container-title":"Environmental Science &amp; Technology Letters","DOI":"10.1021/acs.estlett.0c00258","issue":"7","journalAbbreviation":"Environ. Sci. Technol. Lett.","note":"publisher: American Chemical Society","page":"517-524","source":"ACS Publications","title":"Carbon Limitation Leads to Thermodynamic Regulation of Aerobic Metabolism","volume":"7","author":[{"family":"Garayburu-Caruso","given":"Vanessa A."},{"family":"Stegen","given":"James C."},{"family":"Song","given":"Hyun-Seob"},{"family":"Renteria","given":"Lupita"},{"family":"Wells","given":"Jaqueline"},{"family":"Garcia","given":"Whitney"},{"family":"Resch","given":"Charles T."},{"family":"Goldman","given":"Amy E."},{"family":"Chu","given":"Rosalie K."},{"family":"Toyoda","given":"Jason"},{"family":"Graham","given":"Emily B."}],"issued":{"date-parts":[["2020",7,14]]}}}],"schema":"https://github.com/citation-style-language/schema/raw/master/csl-citation.json"} </w:instrText>
      </w:r>
      <w:r w:rsidRPr="002D4A5C">
        <w:rPr>
          <w:rFonts w:ascii="Times New Roman" w:hAnsi="Times New Roman" w:cs="Times New Roman"/>
          <w:sz w:val="24"/>
          <w:szCs w:val="24"/>
        </w:rPr>
        <w:fldChar w:fldCharType="separate"/>
      </w:r>
      <w:r w:rsidRPr="002D4A5C">
        <w:rPr>
          <w:rFonts w:ascii="Times New Roman" w:hAnsi="Times New Roman" w:cs="Times New Roman"/>
          <w:sz w:val="24"/>
          <w:szCs w:val="24"/>
        </w:rPr>
        <w:t>(</w:t>
      </w:r>
      <w:r w:rsidRPr="002D4A5C">
        <w:rPr>
          <w:rFonts w:ascii="Times New Roman" w:hAnsi="Times New Roman" w:cs="Times New Roman"/>
          <w:i/>
          <w:iCs/>
          <w:sz w:val="24"/>
          <w:szCs w:val="24"/>
        </w:rPr>
        <w:t>17</w:t>
      </w:r>
      <w:r w:rsidRPr="002D4A5C">
        <w:rPr>
          <w:rFonts w:ascii="Times New Roman" w:hAnsi="Times New Roman" w:cs="Times New Roman"/>
          <w:sz w:val="24"/>
          <w:szCs w:val="24"/>
        </w:rPr>
        <w:t>)</w:t>
      </w:r>
      <w:r w:rsidRPr="002D4A5C">
        <w:rPr>
          <w:rFonts w:ascii="Times New Roman" w:hAnsi="Times New Roman" w:cs="Times New Roman"/>
          <w:sz w:val="24"/>
          <w:szCs w:val="24"/>
        </w:rPr>
        <w:fldChar w:fldCharType="end"/>
      </w:r>
      <w:r w:rsidRPr="002D4A5C">
        <w:rPr>
          <w:rFonts w:ascii="Times New Roman" w:hAnsi="Times New Roman" w:cs="Times New Roman"/>
          <w:sz w:val="24"/>
          <w:szCs w:val="24"/>
        </w:rPr>
        <w:t xml:space="preserve">; </w:t>
      </w:r>
      <w:r w:rsidRPr="002D4A5C">
        <w:rPr>
          <w:rFonts w:ascii="Times New Roman" w:hAnsi="Times New Roman" w:cs="Times New Roman"/>
          <w:b/>
          <w:sz w:val="24"/>
          <w:szCs w:val="24"/>
        </w:rPr>
        <w:t>2)</w:t>
      </w:r>
      <w:r w:rsidRPr="002D4A5C">
        <w:rPr>
          <w:rFonts w:ascii="Times New Roman" w:hAnsi="Times New Roman" w:cs="Times New Roman"/>
          <w:sz w:val="24"/>
          <w:szCs w:val="24"/>
        </w:rPr>
        <w:t xml:space="preserve"> the sources of the NPOC are deterministically changing (e.g., we see that NPOC is related with land cover; different land cover has different plants, therefore carbon deterministically changes); </w:t>
      </w:r>
      <w:r w:rsidRPr="002D4A5C">
        <w:rPr>
          <w:rFonts w:ascii="Times New Roman" w:hAnsi="Times New Roman" w:cs="Times New Roman"/>
          <w:b/>
          <w:sz w:val="24"/>
          <w:szCs w:val="24"/>
        </w:rPr>
        <w:t>3)</w:t>
      </w:r>
      <w:r w:rsidRPr="002D4A5C">
        <w:rPr>
          <w:rFonts w:ascii="Times New Roman" w:hAnsi="Times New Roman" w:cs="Times New Roman"/>
          <w:sz w:val="24"/>
          <w:szCs w:val="24"/>
        </w:rPr>
        <w:t xml:space="preserve"> larger NPOC concentration differences somehow impact the probability that a given molecular formula may be selected in a given DOM assemblage (e.g., a site with high NPOC might have more kinds of DOM). As TN incorporates both organic and inorganic nitrogen, its key role in ecological processes may be hypothesized as </w:t>
      </w:r>
      <w:r w:rsidRPr="002D4A5C">
        <w:rPr>
          <w:rFonts w:ascii="Times New Roman" w:hAnsi="Times New Roman" w:cs="Times New Roman"/>
          <w:b/>
          <w:sz w:val="24"/>
          <w:szCs w:val="24"/>
        </w:rPr>
        <w:t>1)</w:t>
      </w:r>
      <w:r w:rsidRPr="002D4A5C">
        <w:rPr>
          <w:rFonts w:ascii="Times New Roman" w:hAnsi="Times New Roman" w:cs="Times New Roman"/>
          <w:sz w:val="24"/>
          <w:szCs w:val="24"/>
        </w:rPr>
        <w:t xml:space="preserve"> representing a potential nutrient source, </w:t>
      </w:r>
      <w:r w:rsidRPr="002D4A5C">
        <w:rPr>
          <w:rFonts w:ascii="Times New Roman" w:hAnsi="Times New Roman" w:cs="Times New Roman"/>
          <w:b/>
          <w:sz w:val="24"/>
          <w:szCs w:val="24"/>
        </w:rPr>
        <w:t>2)</w:t>
      </w:r>
      <w:r w:rsidRPr="002D4A5C">
        <w:rPr>
          <w:rFonts w:ascii="Times New Roman" w:hAnsi="Times New Roman" w:cs="Times New Roman"/>
          <w:sz w:val="24"/>
          <w:szCs w:val="24"/>
        </w:rPr>
        <w:t xml:space="preserve"> varying along the river continuum as a function land use and hydrologic exchange, and </w:t>
      </w:r>
      <w:r w:rsidRPr="002D4A5C">
        <w:rPr>
          <w:rFonts w:ascii="Times New Roman" w:hAnsi="Times New Roman" w:cs="Times New Roman"/>
          <w:b/>
          <w:sz w:val="24"/>
          <w:szCs w:val="24"/>
        </w:rPr>
        <w:t>3)</w:t>
      </w:r>
      <w:r w:rsidRPr="002D4A5C">
        <w:rPr>
          <w:rFonts w:ascii="Times New Roman" w:hAnsi="Times New Roman" w:cs="Times New Roman"/>
          <w:sz w:val="24"/>
          <w:szCs w:val="24"/>
        </w:rPr>
        <w:t xml:space="preserve"> being connected to organic matter through organic nitrogen degradation and production. TSS could represent a mode of transportation for DOM, i.e., organic matter may bind to solids as they travel through water ways with some subsets of DOM having enhanced adsorption in comparison to others thereby acting as a deterministic filter. Both SO</w:t>
      </w:r>
      <w:r w:rsidRPr="002D4A5C">
        <w:rPr>
          <w:rFonts w:ascii="Times New Roman" w:hAnsi="Times New Roman" w:cs="Times New Roman"/>
          <w:sz w:val="24"/>
          <w:szCs w:val="24"/>
          <w:vertAlign w:val="subscript"/>
        </w:rPr>
        <w:t>4</w:t>
      </w:r>
      <w:r w:rsidRPr="002D4A5C">
        <w:rPr>
          <w:rFonts w:ascii="Times New Roman" w:hAnsi="Times New Roman" w:cs="Times New Roman"/>
          <w:sz w:val="24"/>
          <w:szCs w:val="24"/>
        </w:rPr>
        <w:t xml:space="preserve"> and NO</w:t>
      </w:r>
      <w:r w:rsidRPr="002D4A5C">
        <w:rPr>
          <w:rFonts w:ascii="Times New Roman" w:hAnsi="Times New Roman" w:cs="Times New Roman"/>
          <w:sz w:val="24"/>
          <w:szCs w:val="24"/>
          <w:vertAlign w:val="subscript"/>
        </w:rPr>
        <w:t>3</w:t>
      </w:r>
      <w:r w:rsidRPr="002D4A5C">
        <w:rPr>
          <w:rFonts w:ascii="Times New Roman" w:hAnsi="Times New Roman" w:cs="Times New Roman"/>
          <w:sz w:val="24"/>
          <w:szCs w:val="24"/>
        </w:rPr>
        <w:t xml:space="preserve"> play roles in microbial metabolisms and may point to differential degradation (e.g., Boye et al., </w:t>
      </w:r>
      <w:r w:rsidRPr="002D4A5C">
        <w:rPr>
          <w:rFonts w:ascii="Times New Roman" w:hAnsi="Times New Roman" w:cs="Times New Roman"/>
          <w:sz w:val="24"/>
          <w:szCs w:val="24"/>
        </w:rPr>
        <w:fldChar w:fldCharType="begin"/>
      </w:r>
      <w:r w:rsidRPr="002D4A5C">
        <w:rPr>
          <w:rFonts w:ascii="Times New Roman" w:hAnsi="Times New Roman" w:cs="Times New Roman"/>
          <w:sz w:val="24"/>
          <w:szCs w:val="24"/>
        </w:rPr>
        <w:instrText xml:space="preserve"> ADDIN ZOTERO_ITEM CSL_CITATION {"citationID":"USTPClgu","properties":{"formattedCitation":"({\\i{}72})","plainCitation":"(72)","noteIndex":0},"citationItems":[{"id":786,"uris":["http://zotero.org/groups/2528417/items/FJK4W6YC"],"itemData":{"id":786,"type":"article-journal","abstract":"Organic matter decomposition in soils and terrestrial sediments has a prominent role in the global carbon cycle. Carbon stocks in anoxic environments, such as wetlands and the subsurface of floodplains, are large and presumed to decompose slowly. The degree of microbial respiration in anoxic environments is typically thought to depend on the energetics of available terminal electron acceptors such as nitrate or sulfate; microbes couple the reduction of these compounds to the oxidation of organic carbon. However, it is also possible that the energetics of the organic carbon itself can determine whether it is decomposed. Here we examined water-soluble organic carbon by Fourier-transform ion-cyclotron-resonance mass spectrometry to compare the chemical composition and average nominal oxidation state of carbon—a metric reflecting whether microbial oxidation of organic matter is thermodynamically favourable—in anoxic (sulfidic) and oxic (non-sulfidic) floodplain sediments. We observed distinct minima in the average nominal oxidation state of water-soluble carbon in sediments exhibiting anoxic, sulfate-reducing conditions, suggesting preservation of carbon compounds with nominal oxidation states below the threshold that makes microbial sulfate reduction thermodynamically favourable. We conclude that thermodynamic limitations constitute an important complement to other mechanisms of carbon preservation, such as enzymatic restrictions and mineral association, within anaerobic environments.","container-title":"Nature Geoscience","DOI":"10.1038/ngeo2940","ISSN":"1752-0908","issue":"6","language":"en","license":"2017 Nature Publishing Group","note":"number: 6\npublisher: Nature Publishing Group","page":"415-419","source":"www.nature.com","title":"Thermodynamically controlled preservation of organic carbon in floodplains","volume":"10","author":[{"family":"Boye","given":"Kristin"},{"family":"Noël","given":"Vincent"},{"family":"Tfaily","given":"Malak M."},{"family":"Bone","given":"Sharon E."},{"family":"Williams","given":"Kenneth H."},{"family":"Bargar","given":"John R."},{"family":"Fendorf","given":"Scott"}],"issued":{"date-parts":[["2017",6]]}}}],"schema":"https://github.com/citation-style-language/schema/raw/master/csl-citation.json"} </w:instrText>
      </w:r>
      <w:r w:rsidRPr="002D4A5C">
        <w:rPr>
          <w:rFonts w:ascii="Times New Roman" w:hAnsi="Times New Roman" w:cs="Times New Roman"/>
          <w:sz w:val="24"/>
          <w:szCs w:val="24"/>
        </w:rPr>
        <w:fldChar w:fldCharType="separate"/>
      </w:r>
      <w:r w:rsidRPr="002D4A5C">
        <w:rPr>
          <w:rFonts w:ascii="Times New Roman" w:hAnsi="Times New Roman" w:cs="Times New Roman"/>
          <w:sz w:val="24"/>
          <w:szCs w:val="24"/>
        </w:rPr>
        <w:t>(</w:t>
      </w:r>
      <w:r w:rsidRPr="002D4A5C">
        <w:rPr>
          <w:rFonts w:ascii="Times New Roman" w:hAnsi="Times New Roman" w:cs="Times New Roman"/>
          <w:i/>
          <w:iCs/>
          <w:sz w:val="24"/>
          <w:szCs w:val="24"/>
        </w:rPr>
        <w:t>72</w:t>
      </w:r>
      <w:r w:rsidRPr="002D4A5C">
        <w:rPr>
          <w:rFonts w:ascii="Times New Roman" w:hAnsi="Times New Roman" w:cs="Times New Roman"/>
          <w:sz w:val="24"/>
          <w:szCs w:val="24"/>
        </w:rPr>
        <w:t>)</w:t>
      </w:r>
      <w:r w:rsidRPr="002D4A5C">
        <w:rPr>
          <w:rFonts w:ascii="Times New Roman" w:hAnsi="Times New Roman" w:cs="Times New Roman"/>
          <w:sz w:val="24"/>
          <w:szCs w:val="24"/>
        </w:rPr>
        <w:fldChar w:fldCharType="end"/>
      </w:r>
      <w:r w:rsidRPr="002D4A5C">
        <w:rPr>
          <w:rFonts w:ascii="Times New Roman" w:hAnsi="Times New Roman" w:cs="Times New Roman"/>
          <w:sz w:val="24"/>
          <w:szCs w:val="24"/>
        </w:rPr>
        <w:t xml:space="preserve">). </w:t>
      </w:r>
    </w:p>
    <w:p w14:paraId="47F40FEE" w14:textId="77777777" w:rsidR="00A804D1" w:rsidRPr="002D4A5C" w:rsidRDefault="00A804D1" w:rsidP="00E27986">
      <w:pPr>
        <w:spacing w:after="0"/>
        <w:jc w:val="both"/>
        <w:rPr>
          <w:rFonts w:ascii="Times New Roman" w:hAnsi="Times New Roman" w:cs="Times New Roman"/>
          <w:i/>
          <w:sz w:val="24"/>
          <w:szCs w:val="24"/>
        </w:rPr>
      </w:pPr>
    </w:p>
    <w:p w14:paraId="4AD5F62A" w14:textId="3541D8C2"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Finally, the fourth group is composed of only DIC which as a much stronger correlation (Mantel ρ = 0.396, p-value = 0.001) within stream orders than across stream orders (Mantel ρ = 0.273, p-value = 0.001). DIC concentrations are impacted by either non-biological processes (e.g., weathering, anthropogenic) or biological processes (e.g., degradation and CO</w:t>
      </w:r>
      <w:r w:rsidRPr="002D4A5C">
        <w:rPr>
          <w:rFonts w:ascii="Times New Roman" w:hAnsi="Times New Roman" w:cs="Times New Roman"/>
          <w:sz w:val="24"/>
          <w:szCs w:val="24"/>
          <w:vertAlign w:val="subscript"/>
        </w:rPr>
        <w:t>2</w:t>
      </w:r>
      <w:r w:rsidRPr="002D4A5C">
        <w:rPr>
          <w:rFonts w:ascii="Times New Roman" w:hAnsi="Times New Roman" w:cs="Times New Roman"/>
          <w:sz w:val="24"/>
          <w:szCs w:val="24"/>
        </w:rPr>
        <w:t xml:space="preserve"> generation, or CO</w:t>
      </w:r>
      <w:r w:rsidRPr="002D4A5C">
        <w:rPr>
          <w:rFonts w:ascii="Times New Roman" w:hAnsi="Times New Roman" w:cs="Times New Roman"/>
          <w:sz w:val="24"/>
          <w:szCs w:val="24"/>
          <w:vertAlign w:val="subscript"/>
        </w:rPr>
        <w:t>2</w:t>
      </w:r>
      <w:r w:rsidRPr="002D4A5C">
        <w:rPr>
          <w:rFonts w:ascii="Times New Roman" w:hAnsi="Times New Roman" w:cs="Times New Roman"/>
          <w:sz w:val="24"/>
          <w:szCs w:val="24"/>
        </w:rPr>
        <w:t xml:space="preserve"> fixation). Within our watershed, DIC is significantly related to geospatial PC1 (and associated </w:t>
      </w:r>
      <w:r w:rsidRPr="002D4A5C">
        <w:rPr>
          <w:rFonts w:ascii="Times New Roman" w:hAnsi="Times New Roman" w:cs="Times New Roman"/>
          <w:sz w:val="24"/>
          <w:szCs w:val="24"/>
        </w:rPr>
        <w:lastRenderedPageBreak/>
        <w:t>variables) while being positively related to shrub coverage indicating that DIC is generally higher in forested, higher precipitation regions (</w:t>
      </w:r>
      <w:r w:rsidRPr="002D4A5C">
        <w:rPr>
          <w:rFonts w:ascii="Times New Roman" w:hAnsi="Times New Roman" w:cs="Times New Roman"/>
          <w:b/>
          <w:bCs/>
          <w:sz w:val="24"/>
          <w:szCs w:val="24"/>
        </w:rPr>
        <w:t xml:space="preserve">Supplemental Figure </w:t>
      </w:r>
      <w:r w:rsidR="00EB1B36" w:rsidRPr="002D4A5C">
        <w:rPr>
          <w:rFonts w:ascii="Times New Roman" w:hAnsi="Times New Roman" w:cs="Times New Roman"/>
          <w:b/>
          <w:bCs/>
          <w:sz w:val="24"/>
          <w:szCs w:val="24"/>
        </w:rPr>
        <w:t>1</w:t>
      </w:r>
      <w:r w:rsidRPr="002D4A5C">
        <w:rPr>
          <w:rFonts w:ascii="Times New Roman" w:hAnsi="Times New Roman" w:cs="Times New Roman"/>
          <w:sz w:val="24"/>
          <w:szCs w:val="24"/>
        </w:rPr>
        <w:t>). Given this association, we argue that these DIC correlations potentially identify terrestrial-river interactions. This, in turn, is related to DOM diversification because it acts as a proxy for transport of terrestrial DOM. This could further impact DOM diversification by providing an alternative mechanism for carbon utilization (e.g., the creation of new secondary metabolites).</w:t>
      </w:r>
    </w:p>
    <w:p w14:paraId="0C4BDDC4" w14:textId="77777777" w:rsidR="00A804D1" w:rsidRPr="002D4A5C" w:rsidRDefault="00A804D1" w:rsidP="00E27986">
      <w:pPr>
        <w:spacing w:after="0"/>
        <w:jc w:val="both"/>
        <w:rPr>
          <w:rFonts w:ascii="Times New Roman" w:hAnsi="Times New Roman" w:cs="Times New Roman"/>
          <w:sz w:val="24"/>
          <w:szCs w:val="24"/>
        </w:rPr>
      </w:pPr>
    </w:p>
    <w:p w14:paraId="0D5188CB" w14:textId="77777777" w:rsidR="0061025D" w:rsidRPr="002D4A5C" w:rsidRDefault="0061025D" w:rsidP="00E27986">
      <w:pPr>
        <w:spacing w:after="0"/>
        <w:jc w:val="both"/>
        <w:rPr>
          <w:rFonts w:ascii="Times New Roman" w:hAnsi="Times New Roman" w:cs="Times New Roman"/>
          <w:sz w:val="24"/>
          <w:szCs w:val="24"/>
        </w:rPr>
      </w:pPr>
      <w:r w:rsidRPr="002D4A5C">
        <w:rPr>
          <w:rFonts w:ascii="Times New Roman" w:hAnsi="Times New Roman" w:cs="Times New Roman"/>
          <w:sz w:val="24"/>
          <w:szCs w:val="24"/>
        </w:rPr>
        <w:t>Combined, these results point to a complex interplay of environmental conditions that explain the selection processes occurring at a pairwise scale, whether controlling for within stream order comparisons or looking across the whole dataset. While we are unable to completely reconcile these patterns into a mechanistic model, they provide important context for the conceptual model outlined in the main text. Particularly, these results highlight the specific environmental conditions that might be coordinating to drive increased diversification at mid-order streams and may provide insight in the future with increased data resolution.</w:t>
      </w:r>
    </w:p>
    <w:p w14:paraId="45770950" w14:textId="77777777" w:rsidR="00540428" w:rsidRPr="002D4A5C" w:rsidRDefault="00540428" w:rsidP="00E27986">
      <w:pPr>
        <w:spacing w:after="0"/>
        <w:rPr>
          <w:rFonts w:ascii="Times New Roman" w:hAnsi="Times New Roman" w:cs="Times New Roman"/>
          <w:sz w:val="24"/>
          <w:szCs w:val="24"/>
        </w:rPr>
      </w:pPr>
    </w:p>
    <w:sectPr w:rsidR="00540428" w:rsidRPr="002D4A5C" w:rsidSect="00610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5D"/>
    <w:rsid w:val="00045E11"/>
    <w:rsid w:val="0005134B"/>
    <w:rsid w:val="00053FE8"/>
    <w:rsid w:val="000A7E74"/>
    <w:rsid w:val="000B5767"/>
    <w:rsid w:val="00124646"/>
    <w:rsid w:val="001C0FD2"/>
    <w:rsid w:val="001D0F57"/>
    <w:rsid w:val="001D5BC2"/>
    <w:rsid w:val="002037FD"/>
    <w:rsid w:val="00211C32"/>
    <w:rsid w:val="0023310F"/>
    <w:rsid w:val="00251591"/>
    <w:rsid w:val="00272ADC"/>
    <w:rsid w:val="00276586"/>
    <w:rsid w:val="00282F8D"/>
    <w:rsid w:val="002A7C53"/>
    <w:rsid w:val="002D4A5C"/>
    <w:rsid w:val="003451D5"/>
    <w:rsid w:val="00363C9F"/>
    <w:rsid w:val="003B1277"/>
    <w:rsid w:val="003C0FE7"/>
    <w:rsid w:val="003D257E"/>
    <w:rsid w:val="00474A44"/>
    <w:rsid w:val="004B7C53"/>
    <w:rsid w:val="004D2B3C"/>
    <w:rsid w:val="00531605"/>
    <w:rsid w:val="00537E6F"/>
    <w:rsid w:val="00540428"/>
    <w:rsid w:val="0061025D"/>
    <w:rsid w:val="0064082A"/>
    <w:rsid w:val="00687EB8"/>
    <w:rsid w:val="006E29D2"/>
    <w:rsid w:val="007664F2"/>
    <w:rsid w:val="00772582"/>
    <w:rsid w:val="007809EB"/>
    <w:rsid w:val="007E5810"/>
    <w:rsid w:val="008119DE"/>
    <w:rsid w:val="00812495"/>
    <w:rsid w:val="008527F2"/>
    <w:rsid w:val="00877FA9"/>
    <w:rsid w:val="00883416"/>
    <w:rsid w:val="00895C47"/>
    <w:rsid w:val="00943983"/>
    <w:rsid w:val="0094729A"/>
    <w:rsid w:val="00964BD4"/>
    <w:rsid w:val="009A55E6"/>
    <w:rsid w:val="009A6FA1"/>
    <w:rsid w:val="009C6BC3"/>
    <w:rsid w:val="00A434DE"/>
    <w:rsid w:val="00A804D1"/>
    <w:rsid w:val="00A971CF"/>
    <w:rsid w:val="00B0265A"/>
    <w:rsid w:val="00B15643"/>
    <w:rsid w:val="00B241E0"/>
    <w:rsid w:val="00B24CC0"/>
    <w:rsid w:val="00B92398"/>
    <w:rsid w:val="00BA17FF"/>
    <w:rsid w:val="00C416DA"/>
    <w:rsid w:val="00C50E96"/>
    <w:rsid w:val="00C562B2"/>
    <w:rsid w:val="00C56D88"/>
    <w:rsid w:val="00C84E71"/>
    <w:rsid w:val="00D023CB"/>
    <w:rsid w:val="00D625D4"/>
    <w:rsid w:val="00D871A6"/>
    <w:rsid w:val="00E27986"/>
    <w:rsid w:val="00EB1B36"/>
    <w:rsid w:val="00ED6B23"/>
    <w:rsid w:val="00EF1483"/>
    <w:rsid w:val="00FB5037"/>
    <w:rsid w:val="00FC00DD"/>
    <w:rsid w:val="00FE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3E4A4"/>
  <w15:chartTrackingRefBased/>
  <w15:docId w15:val="{624A468B-3E1C-A946-A5A1-D5A17988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25D"/>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61025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1025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1025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1025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1025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1025D"/>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1025D"/>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1025D"/>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1025D"/>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25D"/>
    <w:rPr>
      <w:rFonts w:eastAsiaTheme="majorEastAsia" w:cstheme="majorBidi"/>
      <w:color w:val="272727" w:themeColor="text1" w:themeTint="D8"/>
    </w:rPr>
  </w:style>
  <w:style w:type="paragraph" w:styleId="Title">
    <w:name w:val="Title"/>
    <w:basedOn w:val="Normal"/>
    <w:next w:val="Normal"/>
    <w:link w:val="TitleChar"/>
    <w:uiPriority w:val="10"/>
    <w:qFormat/>
    <w:rsid w:val="0061025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10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25D"/>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10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25D"/>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1025D"/>
    <w:rPr>
      <w:i/>
      <w:iCs/>
      <w:color w:val="404040" w:themeColor="text1" w:themeTint="BF"/>
    </w:rPr>
  </w:style>
  <w:style w:type="paragraph" w:styleId="ListParagraph">
    <w:name w:val="List Paragraph"/>
    <w:basedOn w:val="Normal"/>
    <w:uiPriority w:val="34"/>
    <w:qFormat/>
    <w:rsid w:val="0061025D"/>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61025D"/>
    <w:rPr>
      <w:i/>
      <w:iCs/>
      <w:color w:val="0F4761" w:themeColor="accent1" w:themeShade="BF"/>
    </w:rPr>
  </w:style>
  <w:style w:type="paragraph" w:styleId="IntenseQuote">
    <w:name w:val="Intense Quote"/>
    <w:basedOn w:val="Normal"/>
    <w:next w:val="Normal"/>
    <w:link w:val="IntenseQuoteChar"/>
    <w:uiPriority w:val="30"/>
    <w:qFormat/>
    <w:rsid w:val="0061025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1025D"/>
    <w:rPr>
      <w:i/>
      <w:iCs/>
      <w:color w:val="0F4761" w:themeColor="accent1" w:themeShade="BF"/>
    </w:rPr>
  </w:style>
  <w:style w:type="character" w:styleId="IntenseReference">
    <w:name w:val="Intense Reference"/>
    <w:basedOn w:val="DefaultParagraphFont"/>
    <w:uiPriority w:val="32"/>
    <w:qFormat/>
    <w:rsid w:val="00610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lcf76f155ced4ddcb4097134ff3c332f xmlns="0148c4d2-a8f5-49fc-b93e-f8068ac44ee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CECCCF7EDC294D9EF093A2610C8029" ma:contentTypeVersion="18" ma:contentTypeDescription="Create a new document." ma:contentTypeScope="" ma:versionID="46ffc5435ff38d76149cc324e45429d2">
  <xsd:schema xmlns:xsd="http://www.w3.org/2001/XMLSchema" xmlns:xs="http://www.w3.org/2001/XMLSchema" xmlns:p="http://schemas.microsoft.com/office/2006/metadata/properties" xmlns:ns2="0148c4d2-a8f5-49fc-b93e-f8068ac44eec" xmlns:ns3="e570886a-34b8-447c-a5de-892bad805a25" xmlns:ns4="5cece13e-3376-4417-9525-be60b11a89a8" targetNamespace="http://schemas.microsoft.com/office/2006/metadata/properties" ma:root="true" ma:fieldsID="9a6638207a7c69cb4be7a5d54f360465" ns2:_="" ns3:_="" ns4:_="">
    <xsd:import namespace="0148c4d2-a8f5-49fc-b93e-f8068ac44eec"/>
    <xsd:import namespace="e570886a-34b8-447c-a5de-892bad805a25"/>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OCR" minOccurs="0"/>
                <xsd:element ref="ns3:SharedWithUsers" minOccurs="0"/>
                <xsd:element ref="ns3:SharedWithDetail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8c4d2-a8f5-49fc-b93e-f8068ac4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70886a-34b8-447c-a5de-892bad805a2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7d451d3-4d85-412b-b557-56ee4ad084f4}" ma:internalName="TaxCatchAll" ma:showField="CatchAllData" ma:web="e570886a-34b8-447c-a5de-892bad805a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E93FF-8511-4262-A482-44FFFB4E7302}">
  <ds:schemaRefs>
    <ds:schemaRef ds:uri="http://schemas.microsoft.com/office/2006/metadata/properties"/>
    <ds:schemaRef ds:uri="http://schemas.microsoft.com/office/infopath/2007/PartnerControls"/>
    <ds:schemaRef ds:uri="5cece13e-3376-4417-9525-be60b11a89a8"/>
    <ds:schemaRef ds:uri="0148c4d2-a8f5-49fc-b93e-f8068ac44eec"/>
  </ds:schemaRefs>
</ds:datastoreItem>
</file>

<file path=customXml/itemProps2.xml><?xml version="1.0" encoding="utf-8"?>
<ds:datastoreItem xmlns:ds="http://schemas.openxmlformats.org/officeDocument/2006/customXml" ds:itemID="{F2DBE8B2-26D4-4C8E-BA84-89834ABE2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8c4d2-a8f5-49fc-b93e-f8068ac44eec"/>
    <ds:schemaRef ds:uri="e570886a-34b8-447c-a5de-892bad805a25"/>
    <ds:schemaRef ds:uri="5cece13e-3376-4417-9525-be60b11a8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8C0781-45F9-49C4-8B32-2F83E9C046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2538</Words>
  <Characters>14473</Characters>
  <Application>Microsoft Office Word</Application>
  <DocSecurity>0</DocSecurity>
  <Lines>120</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Danczak, Robert E</dc:creator>
  <cp:keywords/>
  <dc:description/>
  <cp:lastModifiedBy>Danczak, Robert E</cp:lastModifiedBy>
  <cp:revision>64</cp:revision>
  <dcterms:created xsi:type="dcterms:W3CDTF">2025-06-05T20:37:00Z</dcterms:created>
  <dcterms:modified xsi:type="dcterms:W3CDTF">2025-07-07T19:21:00Z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0x01010011CECCCF7EDC294D9EF093A2610C8029</vt:lpwstr>
  </property>
  <property fmtid="{D5CDD505-2E9C-101B-9397-08002B2CF9AE}" pid="3" name="MediaServiceImageTags">
    <vt:lpwstr/>
  </property>
</Properties>
</file>