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tcPr>
          <w:p>
            <w:pPr>
              <w:spacing w:after="0" w:before="0"/>
              <w:jc w:val="center"/>
            </w:pPr>
            <w:r>
              <w:rPr>
                <w:rFonts w:ascii="Calibri" w:cs="Calibri" w:eastAsia="Calibri" w:hAnsi="Calibri"/>
                <w:b/>
                <w:bCs/>
                <w:i w:val="false"/>
                <w:iCs w:val="false"/>
                <w:color w:val="FFFFFF"/>
                <w:sz w:val="16"/>
                <w:szCs w:val="16"/>
              </w:rPr>
              <w:t xml:space="preserve">⚠  CONFIDENTIAL — MERIDIAN HEALTH GROUP INTERNAL USE ONLY  ⚠</w:t>
            </w:r>
          </w:p>
        </w:tc>
      </w:tr>
    </w:tbl>
    <w:p>
      <w:pPr>
        <w:spacing w:after="80" w:before="2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120"/>
              <w:bottom w:type="dxa" w:w="40"/>
              <w:right w:type="dxa" w:w="120"/>
            </w:tcMar>
          </w:tcPr>
          <w:p>
            <w:pPr>
              <w:spacing w:after="0" w:before="0"/>
              <w:jc w:val="center"/>
            </w:pPr>
            <w:r>
              <w:rPr>
                <w:rFonts w:ascii="Calibri" w:cs="Calibri" w:eastAsia="Calibri" w:hAnsi="Calibri"/>
                <w:b/>
                <w:bCs/>
                <w:i w:val="false"/>
                <w:iCs w:val="false"/>
                <w:color w:val="C9A84C"/>
                <w:sz w:val="52"/>
                <w:szCs w:val="52"/>
              </w:rPr>
              <w:t xml:space="preserve">MERIDIAN HEALTH GROUP</w:t>
            </w:r>
          </w:p>
        </w:tc>
      </w:tr>
      <w:tr>
        <w:tc>
          <w:tcPr>
            <w:tcW w:type="dxa" w:w="9360"/>
            <w:tcBorders>
              <w:top w:val="none" w:color="FFFFFF" w:sz="0"/>
              <w:left w:val="none" w:color="FFFFFF" w:sz="0"/>
              <w:bottom w:val="none" w:color="FFFFFF" w:sz="0"/>
              <w:right w:val="none" w:color="FFFFFF" w:sz="0"/>
            </w:tcBorders>
            <w:shd w:fill="1F3864" w:val="clear"/>
            <w:tcMar>
              <w:top w:type="dxa" w:w="0"/>
              <w:left w:type="dxa" w:w="120"/>
              <w:bottom w:type="dxa" w:w="20"/>
              <w:right w:type="dxa" w:w="120"/>
            </w:tcMar>
          </w:tcPr>
          <w:p>
            <w:pPr>
              <w:spacing w:after="0" w:before="0"/>
              <w:jc w:val="center"/>
            </w:pPr>
            <w:r>
              <w:rPr>
                <w:rFonts w:ascii="Calibri" w:cs="Calibri" w:eastAsia="Calibri" w:hAnsi="Calibri"/>
                <w:b w:val="false"/>
                <w:bCs w:val="false"/>
                <w:i w:val="false"/>
                <w:iCs w:val="false"/>
                <w:color w:val="C9A84C"/>
                <w:sz w:val="16"/>
                <w:szCs w:val="16"/>
              </w:rPr>
              <w:t xml:space="preserve">______________________________________________________________________</w:t>
            </w:r>
          </w:p>
        </w:tc>
      </w:tr>
      <w:tr>
        <w:tc>
          <w:tcPr>
            <w:tcW w:type="dxa" w:w="9360"/>
            <w:tcBorders>
              <w:top w:val="none" w:color="FFFFFF" w:sz="0"/>
              <w:left w:val="none" w:color="FFFFFF" w:sz="0"/>
              <w:bottom w:val="none" w:color="FFFFFF" w:sz="0"/>
              <w:right w:val="none" w:color="FFFFFF" w:sz="0"/>
            </w:tcBorders>
            <w:shd w:fill="1F3864" w:val="clear"/>
            <w:tcMar>
              <w:top w:type="dxa" w:w="60"/>
              <w:left w:type="dxa" w:w="120"/>
              <w:bottom w:type="dxa" w:w="40"/>
              <w:right w:type="dxa" w:w="120"/>
            </w:tcMar>
          </w:tcPr>
          <w:p>
            <w:pPr>
              <w:spacing w:after="0" w:before="0"/>
              <w:jc w:val="center"/>
            </w:pPr>
            <w:r>
              <w:rPr>
                <w:rFonts w:ascii="Calibri" w:cs="Calibri" w:eastAsia="Calibri" w:hAnsi="Calibri"/>
                <w:b/>
                <w:bCs/>
                <w:i w:val="false"/>
                <w:iCs w:val="false"/>
                <w:color w:val="FFFFFF"/>
                <w:sz w:val="36"/>
                <w:szCs w:val="36"/>
              </w:rPr>
              <w:t xml:space="preserve">Zero Trust Identity &amp; Access Management</w:t>
            </w:r>
          </w:p>
        </w:tc>
      </w:tr>
      <w:tr>
        <w:tc>
          <w:tcPr>
            <w:tcW w:type="dxa" w:w="9360"/>
            <w:tcBorders>
              <w:top w:val="none" w:color="FFFFFF" w:sz="0"/>
              <w:left w:val="none" w:color="FFFFFF" w:sz="0"/>
              <w:bottom w:val="none" w:color="FFFFFF" w:sz="0"/>
              <w:right w:val="none" w:color="FFFFFF" w:sz="0"/>
            </w:tcBorders>
            <w:shd w:fill="1F3864" w:val="clear"/>
            <w:tcMar>
              <w:top w:type="dxa" w:w="40"/>
              <w:left w:type="dxa" w:w="120"/>
              <w:bottom w:type="dxa" w:w="40"/>
              <w:right w:type="dxa" w:w="120"/>
            </w:tcMar>
          </w:tcPr>
          <w:p>
            <w:pPr>
              <w:spacing w:after="0" w:before="0"/>
              <w:jc w:val="center"/>
            </w:pPr>
            <w:r>
              <w:rPr>
                <w:rFonts w:ascii="Calibri" w:cs="Calibri" w:eastAsia="Calibri" w:hAnsi="Calibri"/>
                <w:b w:val="false"/>
                <w:bCs w:val="false"/>
                <w:i w:val="false"/>
                <w:iCs w:val="false"/>
                <w:color w:val="BDD7EE"/>
                <w:sz w:val="28"/>
                <w:szCs w:val="28"/>
              </w:rPr>
              <w:t xml:space="preserve">IAM Lab Implementation Report</w:t>
            </w:r>
          </w:p>
        </w:tc>
      </w:tr>
      <w:tr>
        <w:tc>
          <w:tcPr>
            <w:tcW w:type="dxa" w:w="9360"/>
            <w:tcBorders>
              <w:top w:val="none" w:color="FFFFFF" w:sz="0"/>
              <w:left w:val="none" w:color="FFFFFF" w:sz="0"/>
              <w:bottom w:val="none" w:color="FFFFFF" w:sz="0"/>
              <w:right w:val="none" w:color="FFFFFF" w:sz="0"/>
            </w:tcBorders>
            <w:shd w:fill="1F3864" w:val="clear"/>
            <w:tcMar>
              <w:top w:type="dxa" w:w="40"/>
              <w:left w:type="dxa" w:w="120"/>
              <w:bottom w:type="dxa" w:w="400"/>
              <w:right w:type="dxa" w:w="120"/>
            </w:tcMar>
          </w:tcPr>
          <w:p>
            <w:pPr>
              <w:spacing w:after="0" w:before="0"/>
              <w:jc w:val="center"/>
            </w:pPr>
            <w:r>
              <w:rPr>
                <w:rFonts w:ascii="Calibri" w:cs="Calibri" w:eastAsia="Calibri" w:hAnsi="Calibri"/>
                <w:b w:val="false"/>
                <w:bCs w:val="false"/>
                <w:i/>
                <w:iCs/>
                <w:color w:val="BDD7EE"/>
                <w:sz w:val="18"/>
                <w:szCs w:val="18"/>
              </w:rPr>
              <w:t xml:space="preserve">Microsoft Entra ID  ·  Zero Trust Architecture  ·  HIPAA Security Rule Alignment</w:t>
            </w:r>
          </w:p>
        </w:tc>
      </w:tr>
    </w:tbl>
    <w:p>
      <w:pPr>
        <w:spacing w:after="80" w:before="24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Document Type</w:t>
            </w:r>
          </w:p>
        </w:tc>
        <w:tc>
          <w:tcPr>
            <w:tcW w:type="dxa" w:w="65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IAM Lab Implementation Report — Zero Trust Architecture</w:t>
            </w:r>
          </w:p>
        </w:tc>
      </w:tr>
      <w:tr>
        <w:tc>
          <w:tcPr>
            <w:tcW w:type="dxa" w:w="2800"/>
            <w:tcBorders>
              <w:top w:val="single" w:color="B8CCE4" w:sz="4"/>
              <w:left w:val="single" w:color="B8CCE4" w:sz="4"/>
              <w:bottom w:val="single" w:color="B8CCE4" w:sz="4"/>
              <w:right w:val="single" w:color="B8CCE4" w:sz="4"/>
            </w:tcBorders>
            <w:shd w:fill="2C477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Document ID</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MHG-IAM-RPT-001</w:t>
            </w:r>
          </w:p>
        </w:tc>
      </w:tr>
      <w:tr>
        <w:tc>
          <w:tcPr>
            <w:tcW w:type="dxa" w:w="2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Classification</w:t>
            </w:r>
          </w:p>
        </w:tc>
        <w:tc>
          <w:tcPr>
            <w:tcW w:type="dxa" w:w="65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CONFIDENTIAL — Internal Use Only</w:t>
            </w:r>
          </w:p>
        </w:tc>
      </w:tr>
      <w:tr>
        <w:tc>
          <w:tcPr>
            <w:tcW w:type="dxa" w:w="2800"/>
            <w:tcBorders>
              <w:top w:val="single" w:color="B8CCE4" w:sz="4"/>
              <w:left w:val="single" w:color="B8CCE4" w:sz="4"/>
              <w:bottom w:val="single" w:color="B8CCE4" w:sz="4"/>
              <w:right w:val="single" w:color="B8CCE4" w:sz="4"/>
            </w:tcBorders>
            <w:shd w:fill="2C477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Version</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v1.0  (Initial Release)</w:t>
            </w:r>
          </w:p>
        </w:tc>
      </w:tr>
      <w:tr>
        <w:tc>
          <w:tcPr>
            <w:tcW w:type="dxa" w:w="2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Effective Date</w:t>
            </w:r>
          </w:p>
        </w:tc>
        <w:tc>
          <w:tcPr>
            <w:tcW w:type="dxa" w:w="65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June 2026</w:t>
            </w:r>
          </w:p>
        </w:tc>
      </w:tr>
      <w:tr>
        <w:tc>
          <w:tcPr>
            <w:tcW w:type="dxa" w:w="2800"/>
            <w:tcBorders>
              <w:top w:val="single" w:color="B8CCE4" w:sz="4"/>
              <w:left w:val="single" w:color="B8CCE4" w:sz="4"/>
              <w:bottom w:val="single" w:color="B8CCE4" w:sz="4"/>
              <w:right w:val="single" w:color="B8CCE4" w:sz="4"/>
            </w:tcBorders>
            <w:shd w:fill="2C477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Review Cycle</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Quarterly — Next Review: September 2026</w:t>
            </w:r>
          </w:p>
        </w:tc>
      </w:tr>
      <w:tr>
        <w:tc>
          <w:tcPr>
            <w:tcW w:type="dxa" w:w="2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Prepared By</w:t>
            </w:r>
          </w:p>
        </w:tc>
        <w:tc>
          <w:tcPr>
            <w:tcW w:type="dxa" w:w="65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Maximilian Rivera — Information Security Analyst</w:t>
            </w:r>
          </w:p>
        </w:tc>
      </w:tr>
      <w:tr>
        <w:tc>
          <w:tcPr>
            <w:tcW w:type="dxa" w:w="2800"/>
            <w:tcBorders>
              <w:top w:val="single" w:color="B8CCE4" w:sz="4"/>
              <w:left w:val="single" w:color="B8CCE4" w:sz="4"/>
              <w:bottom w:val="single" w:color="B8CCE4" w:sz="4"/>
              <w:right w:val="single" w:color="B8CCE4" w:sz="4"/>
            </w:tcBorders>
            <w:shd w:fill="2C477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Reviewed By</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CISO, Meridian Health Group</w:t>
            </w:r>
          </w:p>
        </w:tc>
      </w:tr>
      <w:tr>
        <w:tc>
          <w:tcPr>
            <w:tcW w:type="dxa" w:w="2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Approved By</w:t>
            </w:r>
          </w:p>
        </w:tc>
        <w:tc>
          <w:tcPr>
            <w:tcW w:type="dxa" w:w="65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Vice President, Information Technology</w:t>
            </w:r>
          </w:p>
        </w:tc>
      </w:tr>
      <w:tr>
        <w:tc>
          <w:tcPr>
            <w:tcW w:type="dxa" w:w="2800"/>
            <w:tcBorders>
              <w:top w:val="single" w:color="B8CCE4" w:sz="4"/>
              <w:left w:val="single" w:color="B8CCE4" w:sz="4"/>
              <w:bottom w:val="single" w:color="B8CCE4" w:sz="4"/>
              <w:right w:val="single" w:color="B8CCE4" w:sz="4"/>
            </w:tcBorders>
            <w:shd w:fill="2C477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Microsoft Tenant</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f8cdef31-a31e-4b4a-93e4-5f571e91255a</w:t>
            </w:r>
          </w:p>
        </w:tc>
      </w:tr>
      <w:tr>
        <w:tc>
          <w:tcPr>
            <w:tcW w:type="dxa" w:w="2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License Tier</w:t>
            </w:r>
          </w:p>
        </w:tc>
        <w:tc>
          <w:tcPr>
            <w:tcW w:type="dxa" w:w="65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Microsoft Entra ID Free (P1/P2 roadmap documented herein)</w:t>
            </w:r>
          </w:p>
        </w:tc>
      </w:tr>
      <w:tr>
        <w:tc>
          <w:tcPr>
            <w:tcW w:type="dxa" w:w="2800"/>
            <w:tcBorders>
              <w:top w:val="single" w:color="B8CCE4" w:sz="4"/>
              <w:left w:val="single" w:color="B8CCE4" w:sz="4"/>
              <w:bottom w:val="single" w:color="B8CCE4" w:sz="4"/>
              <w:right w:val="single" w:color="B8CCE4" w:sz="4"/>
            </w:tcBorders>
            <w:shd w:fill="2C477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9A84C"/>
                <w:sz w:val="17"/>
                <w:szCs w:val="17"/>
              </w:rPr>
              <w:t xml:space="preserve">Framework Alignment</w:t>
            </w:r>
          </w:p>
        </w:tc>
        <w:tc>
          <w:tcPr>
            <w:tcW w:type="dxa" w:w="65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7"/>
                <w:szCs w:val="17"/>
              </w:rPr>
              <w:t xml:space="preserve">NIST SP 800-207 Zero Trust Architecture; HIPAA Security Rule 45 CFR §164; NIST CSF 2.0; CIS Controls v8</w:t>
            </w:r>
          </w:p>
        </w:tc>
      </w:tr>
    </w:tbl>
    <w:p>
      <w:pPr>
        <w:spacing w:after="80" w:before="240"/>
        <w:jc w:val="left"/>
      </w:pPr>
      <w:r>
        <w:rPr>
          <w:rFonts w:ascii="Calibri" w:cs="Calibri" w:eastAsia="Calibri" w:hAnsi="Calibri"/>
          <w:b w:val="false"/>
          <w:bCs w:val="false"/>
          <w:i w:val="false"/>
          <w:iCs w:val="false"/>
          <w:color w:val="000000"/>
          <w:sz w:val="20"/>
          <w:szCs w:val="20"/>
        </w:rPr>
        <w:t xml:space="preserve"/>
      </w:r>
    </w:p>
    <w:p>
      <w:pPr>
        <w:pBdr>
          <w:top w:val="single" w:color="2E75B6" w:sz="4" w:space="6"/>
        </w:pBdr>
        <w:spacing w:after="0" w:before="0"/>
        <w:jc w:val="center"/>
      </w:pPr>
      <w:r>
        <w:rPr>
          <w:rFonts w:ascii="Calibri" w:cs="Calibri" w:eastAsia="Calibri" w:hAnsi="Calibri"/>
          <w:b w:val="false"/>
          <w:bCs w:val="false"/>
          <w:i/>
          <w:iCs/>
          <w:color w:val="595959"/>
          <w:sz w:val="14"/>
          <w:szCs w:val="14"/>
        </w:rPr>
        <w:t xml:space="preserve">Document Control: MHG-IAM-RPT-001  |  Do Not Distribute Without Written Authorization</w:t>
      </w:r>
    </w:p>
    <w:p>
      <w:pPr>
        <w:sectPr>
          <w:pgSz w:w="12240" w:h="15840" w:orient="portrait"/>
          <w:pgMar w:top="720" w:right="1080" w:bottom="720" w:left="1080" w:header="708" w:footer="708" w:gutter="0"/>
          <w:pgNumType/>
          <w:docGrid w:linePitch="360"/>
        </w:sectPr>
      </w:pPr>
    </w:p>
    <w:p>
      <w:pPr>
        <w:pStyle w:val="Heading1"/>
        <w:pBdr>
          <w:bottom w:val="single" w:color="2E75B6" w:sz="6" w:space="6"/>
        </w:pBdr>
        <w:spacing w:after="120" w:before="0"/>
      </w:pPr>
      <w:r>
        <w:rPr>
          <w:rFonts w:ascii="Calibri" w:cs="Calibri" w:eastAsia="Calibri" w:hAnsi="Calibri"/>
          <w:b/>
          <w:bCs/>
          <w:i w:val="false"/>
          <w:iCs w:val="false"/>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Executive Summary</w:t>
      </w:r>
    </w:p>
    <w:p>
      <w:pPr>
        <w:spacing w:after="100" w:before="80"/>
        <w:jc w:val="left"/>
      </w:pPr>
      <w:r>
        <w:rPr>
          <w:rFonts w:ascii="Calibri" w:cs="Calibri" w:eastAsia="Calibri" w:hAnsi="Calibri"/>
          <w:b w:val="false"/>
          <w:bCs w:val="false"/>
          <w:i w:val="false"/>
          <w:iCs w:val="false"/>
          <w:color w:val="000000"/>
          <w:sz w:val="20"/>
          <w:szCs w:val="20"/>
        </w:rPr>
        <w:t xml:space="preserve">This report documents the design, configuration, and implementation of a Zero Trust Identity and Access Management (IAM) environment for Meridian Health Group (MHG), a mid-sized healthcare organization subject to HIPAA Security Rule requirements. The lab was built using Microsoft Entra ID (formerly Azure Active Directory) and is aligned to NIST Special Publication 800-207 (Zero Trust Architecture), NIST Cybersecurity Framework (CSF) 2.0, and CIS Controls v8.</w:t>
      </w:r>
    </w:p>
    <w:p>
      <w:pPr>
        <w:spacing w:after="100" w:before="80"/>
        <w:jc w:val="left"/>
      </w:pPr>
      <w:r>
        <w:rPr>
          <w:rFonts w:ascii="Calibri" w:cs="Calibri" w:eastAsia="Calibri" w:hAnsi="Calibri"/>
          <w:b w:val="false"/>
          <w:bCs w:val="false"/>
          <w:i w:val="false"/>
          <w:iCs w:val="false"/>
          <w:color w:val="000000"/>
          <w:sz w:val="20"/>
          <w:szCs w:val="20"/>
        </w:rPr>
        <w:t xml:space="preserve">The Zero Trust model operates on the principle of never trust, always verify — eliminating implicit trust in any identity, device, or network segment. This implementation establishes a layered identity security posture through enforced multi-factor authentication, role-based access control grounded in the principle of least privilege, Conditional Access policy enforcement, and a documented Joiners-Movers-Leavers (JML) lifecycle workflow.</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single" w:color="2E75B6" w:sz="4"/>
            </w:tcBorders>
            <w:shd w:fill="DEEAF1" w:val="clear"/>
            <w:tcMar>
              <w:top w:type="dxa" w:w="100"/>
              <w:left w:type="dxa" w:w="200"/>
              <w:bottom w:type="dxa" w:w="100"/>
              <w:right w:type="dxa" w:w="120"/>
            </w:tcMar>
          </w:tcPr>
          <w:p>
            <w:pPr>
              <w:spacing w:after="40" w:before="0"/>
            </w:pPr>
            <w:r>
              <w:rPr>
                <w:rFonts w:ascii="Calibri" w:cs="Calibri" w:eastAsia="Calibri" w:hAnsi="Calibri"/>
                <w:b/>
                <w:bCs/>
                <w:i w:val="false"/>
                <w:iCs w:val="false"/>
                <w:color w:val="1F3864"/>
                <w:sz w:val="18"/>
                <w:szCs w:val="18"/>
              </w:rPr>
              <w:t xml:space="preserve">Key Outcomes</w:t>
            </w:r>
          </w:p>
          <w:p>
            <w:pPr>
              <w:spacing w:after="0" w:before="0"/>
            </w:pPr>
            <w:r>
              <w:rPr>
                <w:rFonts w:ascii="Calibri" w:cs="Calibri" w:eastAsia="Calibri" w:hAnsi="Calibri"/>
                <w:b w:val="false"/>
                <w:bCs w:val="false"/>
                <w:i w:val="false"/>
                <w:iCs w:val="false"/>
                <w:color w:val="595959"/>
                <w:sz w:val="18"/>
                <w:szCs w:val="18"/>
              </w:rPr>
              <w:t xml:space="preserve">10 user accounts provisioned across 6 departments  ·  10 security groups configured with Dynamic and Assigned membership  ·  7 Conditional Access policies documented (5 active, 1 report-only, 1 planned)  ·  RBAC applied with least privilege across all Microsoft 365 workloads  ·  6 security findings identified with prioritized remediation roadmap  ·  Quarterly access review cycle established with full certification records</w:t>
            </w:r>
          </w:p>
        </w:tc>
      </w:tr>
    </w:tbl>
    <w:p>
      <w:pPr>
        <w:spacing w:after="80" w:before="60"/>
        <w:jc w:val="left"/>
      </w:pPr>
      <w:r>
        <w:rPr>
          <w:rFonts w:ascii="Calibri" w:cs="Calibri" w:eastAsia="Calibri" w:hAnsi="Calibri"/>
          <w:b w:val="false"/>
          <w:bCs w:val="false"/>
          <w:i w:val="false"/>
          <w:iCs w:val="false"/>
          <w:color w:val="000000"/>
          <w:sz w:val="20"/>
          <w:szCs w:val="20"/>
        </w:rPr>
        <w:t xml:space="preserve"/>
      </w:r>
    </w:p>
    <w:p>
      <w:pPr>
        <w:spacing w:after="100" w:before="80"/>
        <w:jc w:val="left"/>
      </w:pPr>
      <w:r>
        <w:rPr>
          <w:rFonts w:ascii="Calibri" w:cs="Calibri" w:eastAsia="Calibri" w:hAnsi="Calibri"/>
          <w:b w:val="false"/>
          <w:bCs w:val="false"/>
          <w:i w:val="false"/>
          <w:iCs w:val="false"/>
          <w:color w:val="000000"/>
          <w:sz w:val="20"/>
          <w:szCs w:val="20"/>
        </w:rPr>
        <w:t xml:space="preserve">Security Defaults are currently active as the baseline MFA enforcement mechanism for all member accounts, as the organization is operating on the Entra ID Free tier. A prioritized licensing roadmap is documented in Section 10, with a recommended path to Entra ID P1 (Conditional Access) and P2 (Identity Protection and PIM) to achieve full Zero Trust maturity.</w:t>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1. Introduction &amp; Scope</w:t>
      </w:r>
    </w:p>
    <w:p>
      <w:pPr>
        <w:pStyle w:val="Heading2"/>
        <w:spacing w:after="80" w:before="240"/>
      </w:pPr>
      <w:r>
        <w:rPr>
          <w:rFonts w:ascii="Calibri" w:cs="Calibri" w:eastAsia="Calibri" w:hAnsi="Calibri"/>
          <w:b/>
          <w:bCs/>
          <w:i w:val="false"/>
          <w:iCs w:val="false"/>
          <w:color w:val="2E75B6"/>
          <w:sz w:val="22"/>
          <w:szCs w:val="22"/>
        </w:rPr>
        <w:t xml:space="preserve">1.1 Purpose</w:t>
      </w:r>
    </w:p>
    <w:p>
      <w:pPr>
        <w:spacing w:after="100" w:before="80"/>
        <w:jc w:val="left"/>
      </w:pPr>
      <w:r>
        <w:rPr>
          <w:rFonts w:ascii="Calibri" w:cs="Calibri" w:eastAsia="Calibri" w:hAnsi="Calibri"/>
          <w:b w:val="false"/>
          <w:bCs w:val="false"/>
          <w:i w:val="false"/>
          <w:iCs w:val="false"/>
          <w:color w:val="000000"/>
          <w:sz w:val="20"/>
          <w:szCs w:val="20"/>
        </w:rPr>
        <w:t xml:space="preserve">This document serves as the formal technical record for the Meridian Health Group Zero Trust IAM implementation. It is intended to provide auditors, leadership, and technical stakeholders with a comprehensive view of the identity security controls deployed, the rationale behind design decisions, and the roadmap for achieving full Zero Trust maturity.</w:t>
      </w:r>
    </w:p>
    <w:p>
      <w:pPr>
        <w:pStyle w:val="Heading2"/>
        <w:spacing w:after="80" w:before="240"/>
      </w:pPr>
      <w:r>
        <w:rPr>
          <w:rFonts w:ascii="Calibri" w:cs="Calibri" w:eastAsia="Calibri" w:hAnsi="Calibri"/>
          <w:b/>
          <w:bCs/>
          <w:i w:val="false"/>
          <w:iCs w:val="false"/>
          <w:color w:val="2E75B6"/>
          <w:sz w:val="22"/>
          <w:szCs w:val="22"/>
        </w:rPr>
        <w:t xml:space="preserve">1.2 Scope</w:t>
      </w:r>
    </w:p>
    <w:p>
      <w:pPr>
        <w:spacing w:after="100" w:before="80"/>
        <w:jc w:val="left"/>
      </w:pPr>
      <w:r>
        <w:rPr>
          <w:rFonts w:ascii="Calibri" w:cs="Calibri" w:eastAsia="Calibri" w:hAnsi="Calibri"/>
          <w:b w:val="false"/>
          <w:bCs w:val="false"/>
          <w:i w:val="false"/>
          <w:iCs w:val="false"/>
          <w:color w:val="000000"/>
          <w:sz w:val="20"/>
          <w:szCs w:val="20"/>
        </w:rPr>
        <w:t xml:space="preserve">The scope of this engagement covers all identity and access management controls within the Meridian Health Group Microsoft Entra ID tenant. Specifically, this implementation addresses: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All user and guest accounts within the Entra ID tenant (Tenant ID: f8cdef31-a31e-4b4a-93e4-5f571e91255a)</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Security group design and membership management</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Role-based access control (RBAC) using Entra ID built-in and custom roles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Authentication policies — Security Defaults and Conditional Access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Identity lifecycle management — Joiners, Movers, and Leavers (JML) workflow</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Quarterly access review and certification procedures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Conditional Access policy architecture (implemented and roadmap)</w:t>
      </w:r>
    </w:p>
    <w:p>
      <w:pPr>
        <w:spacing w:after="80" w:before="60"/>
        <w:jc w:val="left"/>
      </w:pPr>
      <w:r>
        <w:rPr>
          <w:rFonts w:ascii="Calibri" w:cs="Calibri" w:eastAsia="Calibri" w:hAnsi="Calibri"/>
          <w:b w:val="false"/>
          <w:bCs w:val="false"/>
          <w:i w:val="false"/>
          <w:iCs w:val="false"/>
          <w:color w:val="000000"/>
          <w:sz w:val="20"/>
          <w:szCs w:val="20"/>
        </w:rPr>
        <w:t xml:space="preserve"/>
      </w:r>
    </w:p>
    <w:p>
      <w:pPr>
        <w:spacing w:after="100" w:before="80"/>
        <w:jc w:val="left"/>
      </w:pPr>
      <w:r>
        <w:rPr>
          <w:rFonts w:ascii="Calibri" w:cs="Calibri" w:eastAsia="Calibri" w:hAnsi="Calibri"/>
          <w:b w:val="false"/>
          <w:bCs w:val="false"/>
          <w:i w:val="false"/>
          <w:iCs w:val="false"/>
          <w:color w:val="000000"/>
          <w:sz w:val="20"/>
          <w:szCs w:val="20"/>
        </w:rPr>
        <w:t xml:space="preserve">Out of scope for this engagement: Endpoint security configuration (Intune MDM), on-premises Active Directory, application development security, and network perimeter controls.</w:t>
      </w:r>
    </w:p>
    <w:p>
      <w:pPr>
        <w:pStyle w:val="Heading2"/>
        <w:spacing w:after="80" w:before="240"/>
      </w:pPr>
      <w:r>
        <w:rPr>
          <w:rFonts w:ascii="Calibri" w:cs="Calibri" w:eastAsia="Calibri" w:hAnsi="Calibri"/>
          <w:b/>
          <w:bCs/>
          <w:i w:val="false"/>
          <w:iCs w:val="false"/>
          <w:color w:val="2E75B6"/>
          <w:sz w:val="22"/>
          <w:szCs w:val="22"/>
        </w:rPr>
        <w:t xml:space="preserve">1.3 Regulatory &amp; Framework Alignment</w:t>
      </w:r>
    </w:p>
    <w:p>
      <w:pPr>
        <w:spacing w:after="100" w:before="80"/>
        <w:jc w:val="left"/>
      </w:pPr>
      <w:r>
        <w:rPr>
          <w:rFonts w:ascii="Calibri" w:cs="Calibri" w:eastAsia="Calibri" w:hAnsi="Calibri"/>
          <w:b w:val="false"/>
          <w:bCs w:val="false"/>
          <w:i w:val="false"/>
          <w:iCs w:val="false"/>
          <w:color w:val="000000"/>
          <w:sz w:val="20"/>
          <w:szCs w:val="20"/>
        </w:rPr>
        <w:t xml:space="preserve">This implementation is designed to satisfy the following regulatory and framework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Framework / Regulation</w:t>
            </w:r>
          </w:p>
        </w:tc>
        <w:tc>
          <w:tcPr>
            <w:tcW w:type="dxa" w:w="30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Applicable Controls</w:t>
            </w:r>
          </w:p>
        </w:tc>
        <w:tc>
          <w:tcPr>
            <w:tcW w:type="dxa" w:w="38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IAM Coverage</w:t>
            </w:r>
          </w:p>
        </w:tc>
      </w:tr>
      <w:tr>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HIPAA Security Rule (45 CFR §164)</w:t>
            </w:r>
          </w:p>
        </w:tc>
        <w:tc>
          <w:tcPr>
            <w:tcW w:type="dxa" w:w="3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§164.308(a)(3) Workforce Security; §164.312(a)(2) User Auth; §164.312(d) Person Authentication</w:t>
            </w:r>
          </w:p>
        </w:tc>
        <w:tc>
          <w:tcPr>
            <w:tcW w:type="dxa" w:w="38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enforcement, RBAC, access controls, audit logging</w:t>
            </w:r>
          </w:p>
        </w:tc>
      </w:tr>
      <w:tr>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SP 800-207 — Zero Trust Architecture</w:t>
            </w:r>
          </w:p>
        </w:tc>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ZTA Pillars: Identity, Device, Network, Application, Data</w:t>
            </w:r>
          </w:p>
        </w:tc>
        <w:tc>
          <w:tcPr>
            <w:tcW w:type="dxa" w:w="38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Identity pillar fully addressed; Device pillar in progress (Intune)</w:t>
            </w:r>
          </w:p>
        </w:tc>
      </w:tr>
      <w:tr>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CSF 2.0</w:t>
            </w:r>
          </w:p>
        </w:tc>
        <w:tc>
          <w:tcPr>
            <w:tcW w:type="dxa" w:w="3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PR.AC (Access Control); PR.AA (Authentication); DE.CM (Monitoring)</w:t>
            </w:r>
          </w:p>
        </w:tc>
        <w:tc>
          <w:tcPr>
            <w:tcW w:type="dxa" w:w="38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Conditional Access, MFA, sign-in log monitoring</w:t>
            </w:r>
          </w:p>
        </w:tc>
      </w:tr>
      <w:tr>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Controls v8</w:t>
            </w:r>
          </w:p>
        </w:tc>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Control 5 (Account Management); CIS Control 6 (Access Control Mgmt)</w:t>
            </w:r>
          </w:p>
        </w:tc>
        <w:tc>
          <w:tcPr>
            <w:tcW w:type="dxa" w:w="38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User provisioning, RBAC, privilege management, access reviews</w:t>
            </w:r>
          </w:p>
        </w:tc>
      </w:tr>
      <w:tr>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SOC 2 Type II (Planned)</w:t>
            </w:r>
          </w:p>
        </w:tc>
        <w:tc>
          <w:tcPr>
            <w:tcW w:type="dxa" w:w="3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CC6.1 (Logical Access); CC6.2 (Auth); CC6.3 (Least Privilege)</w:t>
            </w:r>
          </w:p>
        </w:tc>
        <w:tc>
          <w:tcPr>
            <w:tcW w:type="dxa" w:w="38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Role assignments, access reviews, JML workflow</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2. Organization Overview — Meridian Health Group</w:t>
      </w:r>
    </w:p>
    <w:p>
      <w:pPr>
        <w:spacing w:after="100" w:before="80"/>
        <w:jc w:val="left"/>
      </w:pPr>
      <w:r>
        <w:rPr>
          <w:rFonts w:ascii="Calibri" w:cs="Calibri" w:eastAsia="Calibri" w:hAnsi="Calibri"/>
          <w:b w:val="false"/>
          <w:bCs w:val="false"/>
          <w:i w:val="false"/>
          <w:iCs w:val="false"/>
          <w:color w:val="000000"/>
          <w:sz w:val="20"/>
          <w:szCs w:val="20"/>
        </w:rPr>
        <w:t xml:space="preserve">Meridian Health Group (MHG) is a mid-sized healthcare network operating three outpatient clinics and one administrative headquarters in central Florida. The organization employs approximately 200 staff across clinical, operational, administrative, and technical departments, and handles Protected Health Information (PHI) for an estimated 45,000 active patients annually.</w:t>
      </w:r>
    </w:p>
    <w:p>
      <w:pPr>
        <w:pStyle w:val="Heading2"/>
        <w:spacing w:after="80" w:before="240"/>
      </w:pPr>
      <w:r>
        <w:rPr>
          <w:rFonts w:ascii="Calibri" w:cs="Calibri" w:eastAsia="Calibri" w:hAnsi="Calibri"/>
          <w:b/>
          <w:bCs/>
          <w:i w:val="false"/>
          <w:iCs w:val="false"/>
          <w:color w:val="2E75B6"/>
          <w:sz w:val="22"/>
          <w:szCs w:val="22"/>
        </w:rPr>
        <w:t xml:space="preserve">2.1 Technology Environment</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Cloud Platform: Microsoft 365 (Exchange Online, Teams, SharePoint Online, OneDrive for Business)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Identity Provider: Microsoft Entra ID (Free tier; P1/P2 upgrade roadmap in Section 10)</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Endpoint Management: Microsoft Intune (enrollment in progress)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Security Operations: Microsoft Defender for Endpoint (licensed); Microsoft Sentinel (evaluation)</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EHR System: ClearPath Health — integrated via B2B federation (vendor access controlled)</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On-Premises Infrastructure: Windows Server 2022 domain (Entra ID Connect roadmap)</w:t>
      </w:r>
    </w:p>
    <w:p>
      <w:pPr>
        <w:pStyle w:val="Heading2"/>
        <w:spacing w:after="80" w:before="240"/>
      </w:pPr>
      <w:r>
        <w:rPr>
          <w:rFonts w:ascii="Calibri" w:cs="Calibri" w:eastAsia="Calibri" w:hAnsi="Calibri"/>
          <w:b/>
          <w:bCs/>
          <w:i w:val="false"/>
          <w:iCs w:val="false"/>
          <w:color w:val="2E75B6"/>
          <w:sz w:val="22"/>
          <w:szCs w:val="22"/>
        </w:rPr>
        <w:t xml:space="preserve">2.2 IAM Personas</w:t>
      </w:r>
    </w:p>
    <w:p>
      <w:pPr>
        <w:spacing w:after="100" w:before="80"/>
        <w:jc w:val="left"/>
      </w:pPr>
      <w:r>
        <w:rPr>
          <w:rFonts w:ascii="Calibri" w:cs="Calibri" w:eastAsia="Calibri" w:hAnsi="Calibri"/>
          <w:b w:val="false"/>
          <w:bCs w:val="false"/>
          <w:i w:val="false"/>
          <w:iCs w:val="false"/>
          <w:color w:val="000000"/>
          <w:sz w:val="20"/>
          <w:szCs w:val="20"/>
        </w:rPr>
        <w:t xml:space="preserve">The following personas represent the primary identity archetypes within the Meridian Health Group IAM environment. Each persona has distinct access requirements, risk profiles, and authentication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660"/>
        <w:gridCol w:w="2200"/>
      </w:tblGrid>
      <w:tr>
        <w:tc>
          <w:tcPr>
            <w:tcW w:type="dxa" w:w="15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Persona</w:t>
            </w:r>
          </w:p>
        </w:tc>
        <w:tc>
          <w:tcPr>
            <w:tcW w:type="dxa" w:w="20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Representative User</w:t>
            </w:r>
          </w:p>
        </w:tc>
        <w:tc>
          <w:tcPr>
            <w:tcW w:type="dxa" w:w="20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Department</w:t>
            </w:r>
          </w:p>
        </w:tc>
        <w:tc>
          <w:tcPr>
            <w:tcW w:type="dxa" w:w="16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Risk Level</w:t>
            </w:r>
          </w:p>
        </w:tc>
        <w:tc>
          <w:tcPr>
            <w:tcW w:type="dxa" w:w="22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Access Profile</w:t>
            </w:r>
          </w:p>
        </w:tc>
      </w:tr>
      <w:tr>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Administrator</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Marcus Chen</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Information Technology</w:t>
            </w:r>
          </w:p>
        </w:tc>
        <w:tc>
          <w:tcPr>
            <w:tcW w:type="dxa" w:w="1660"/>
            <w:tcBorders>
              <w:top w:val="single" w:color="B8CCE4" w:sz="4"/>
              <w:left w:val="single" w:color="B8CCE4" w:sz="4"/>
              <w:bottom w:val="single" w:color="B8CCE4" w:sz="4"/>
              <w:right w:val="single" w:color="B8CCE4" w:sz="4"/>
            </w:tcBorders>
            <w:shd w:fill="7030A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CRITICAL</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Global Admin — break-glass, privileged</w:t>
            </w:r>
          </w:p>
        </w:tc>
      </w:tr>
      <w:tr>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Security Analyst</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Priya Okafor</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Information Security</w:t>
            </w:r>
          </w:p>
        </w:tc>
        <w:tc>
          <w:tcPr>
            <w:tcW w:type="dxa" w:w="166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Security Reader + Operator, SIEM access</w:t>
            </w:r>
          </w:p>
        </w:tc>
      </w:tr>
      <w:tr>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Clinical Director</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Dr. Sandra Walsh</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Clinical Operations</w:t>
            </w:r>
          </w:p>
        </w:tc>
        <w:tc>
          <w:tcPr>
            <w:tcW w:type="dxa" w:w="1660"/>
            <w:tcBorders>
              <w:top w:val="single" w:color="B8CCE4" w:sz="4"/>
              <w:left w:val="single" w:color="B8CCE4" w:sz="4"/>
              <w:bottom w:val="single" w:color="B8CCE4" w:sz="4"/>
              <w:right w:val="single" w:color="B8CCE4" w:sz="4"/>
            </w:tcBorders>
            <w:shd w:fill="C00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HIGH</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PHI access via SharePoint &amp; Teams</w:t>
            </w:r>
          </w:p>
        </w:tc>
      </w:tr>
      <w:tr>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HR Manager</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James Thornton</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Human Resources</w:t>
            </w:r>
          </w:p>
        </w:tc>
        <w:tc>
          <w:tcPr>
            <w:tcW w:type="dxa" w:w="166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User Admin (scoped), HR docs</w:t>
            </w:r>
          </w:p>
        </w:tc>
      </w:tr>
      <w:tr>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Finance Analyst</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Elena Vasquez</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Finance</w:t>
            </w:r>
          </w:p>
        </w:tc>
        <w:tc>
          <w:tcPr>
            <w:tcW w:type="dxa" w:w="166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Finance SharePoint, Power BI</w:t>
            </w:r>
          </w:p>
        </w:tc>
      </w:tr>
      <w:tr>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Executive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Robert Kim</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Executive</w:t>
            </w:r>
          </w:p>
        </w:tc>
        <w:tc>
          <w:tcPr>
            <w:tcW w:type="dxa" w:w="1660"/>
            <w:tcBorders>
              <w:top w:val="single" w:color="B8CCE4" w:sz="4"/>
              <w:left w:val="single" w:color="B8CCE4" w:sz="4"/>
              <w:bottom w:val="single" w:color="B8CCE4" w:sz="4"/>
              <w:right w:val="single" w:color="B8CCE4" w:sz="4"/>
            </w:tcBorders>
            <w:shd w:fill="C00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HIGH</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Global Reader, executive briefings</w:t>
            </w:r>
          </w:p>
        </w:tc>
      </w:tr>
      <w:tr>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Compliance Officer</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Tamara Ellis</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Compliance</w:t>
            </w:r>
          </w:p>
        </w:tc>
        <w:tc>
          <w:tcPr>
            <w:tcW w:type="dxa" w:w="166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Compliance Admin, Audit Logs</w:t>
            </w:r>
          </w:p>
        </w:tc>
      </w:tr>
      <w:tr>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Help Desk Tech</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David Park</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Information Technology</w:t>
            </w:r>
          </w:p>
        </w:tc>
        <w:tc>
          <w:tcPr>
            <w:tcW w:type="dxa" w:w="166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LOW</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Help Desk Admin — scoped to non-privileged</w:t>
            </w:r>
          </w:p>
        </w:tc>
      </w:tr>
      <w:tr>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Service Account</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SVC-AuditBot</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Information Security</w:t>
            </w:r>
          </w:p>
        </w:tc>
        <w:tc>
          <w:tcPr>
            <w:tcW w:type="dxa" w:w="166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Certificate-based auth, no interactive login</w:t>
            </w:r>
          </w:p>
        </w:tc>
      </w:tr>
      <w:tr>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External Vendor</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EXT-ClearPath</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Vendor (B2B Guest)</w:t>
            </w:r>
          </w:p>
        </w:tc>
        <w:tc>
          <w:tcPr>
            <w:tcW w:type="dxa" w:w="1660"/>
            <w:tcBorders>
              <w:top w:val="single" w:color="B8CCE4" w:sz="4"/>
              <w:left w:val="single" w:color="B8CCE4" w:sz="4"/>
              <w:bottom w:val="single" w:color="B8CCE4" w:sz="4"/>
              <w:right w:val="single" w:color="B8CCE4" w:sz="4"/>
            </w:tcBorders>
            <w:shd w:fill="C00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HIGH</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SharePoint vendor portal only — B2B guest</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3. Zero Trust Architecture Framework</w:t>
      </w:r>
    </w:p>
    <w:p>
      <w:pPr>
        <w:spacing w:after="100" w:before="80"/>
        <w:jc w:val="left"/>
      </w:pPr>
      <w:r>
        <w:rPr>
          <w:rFonts w:ascii="Calibri" w:cs="Calibri" w:eastAsia="Calibri" w:hAnsi="Calibri"/>
          <w:b w:val="false"/>
          <w:bCs w:val="false"/>
          <w:i w:val="false"/>
          <w:iCs w:val="false"/>
          <w:color w:val="000000"/>
          <w:sz w:val="20"/>
          <w:szCs w:val="20"/>
        </w:rPr>
        <w:t xml:space="preserve">The Zero Trust Architecture (ZTA) implemented for Meridian Health Group is based on the NIST Special Publication 800-207 framework, which defines seven tenets of Zero Trust. This implementation prioritizes the Identity pillar as the foundational control plane — consistent with Microsoft's Zero Trust model and CISA guidance on identity-centric security.</w:t>
      </w:r>
    </w:p>
    <w:p>
      <w:pPr>
        <w:pStyle w:val="Heading2"/>
        <w:spacing w:after="80" w:before="240"/>
      </w:pPr>
      <w:r>
        <w:rPr>
          <w:rFonts w:ascii="Calibri" w:cs="Calibri" w:eastAsia="Calibri" w:hAnsi="Calibri"/>
          <w:b/>
          <w:bCs/>
          <w:i w:val="false"/>
          <w:iCs w:val="false"/>
          <w:color w:val="2E75B6"/>
          <w:sz w:val="22"/>
          <w:szCs w:val="22"/>
        </w:rPr>
        <w:t xml:space="preserve">3.1 Zero Trust Tenets Applied</w:t>
      </w:r>
    </w:p>
    <w:p>
      <w:pPr>
        <w:spacing w:after="80" w:before="80"/>
      </w:pPr>
      <w:r>
        <w:rPr>
          <w:rFonts w:ascii="Calibri" w:cs="Calibri" w:eastAsia="Calibri" w:hAnsi="Calibri"/>
          <w:b/>
          <w:bCs/>
          <w:i w:val="false"/>
          <w:iCs w:val="false"/>
          <w:color w:val="000000"/>
          <w:sz w:val="20"/>
          <w:szCs w:val="20"/>
        </w:rPr>
        <w:t xml:space="preserve">Tenet 1 — Verify Explicitly: </w:t>
      </w:r>
      <w:r>
        <w:rPr>
          <w:rFonts w:ascii="Calibri" w:cs="Calibri" w:eastAsia="Calibri" w:hAnsi="Calibri"/>
          <w:b w:val="false"/>
          <w:bCs w:val="false"/>
          <w:i w:val="false"/>
          <w:iCs w:val="false"/>
          <w:color w:val="000000"/>
          <w:sz w:val="20"/>
          <w:szCs w:val="20"/>
        </w:rPr>
        <w:t xml:space="preserve">All access requests are authenticated using MFA (enforced via Security Defaults and Conditional Access). No request is trusted based on network location or device type alone.</w:t>
      </w:r>
    </w:p>
    <w:p>
      <w:pPr>
        <w:spacing w:after="80" w:before="80"/>
      </w:pPr>
      <w:r>
        <w:rPr>
          <w:rFonts w:ascii="Calibri" w:cs="Calibri" w:eastAsia="Calibri" w:hAnsi="Calibri"/>
          <w:b/>
          <w:bCs/>
          <w:i w:val="false"/>
          <w:iCs w:val="false"/>
          <w:color w:val="000000"/>
          <w:sz w:val="20"/>
          <w:szCs w:val="20"/>
        </w:rPr>
        <w:t xml:space="preserve">Tenet 2 — Use Least Privileged Access: </w:t>
      </w:r>
      <w:r>
        <w:rPr>
          <w:rFonts w:ascii="Calibri" w:cs="Calibri" w:eastAsia="Calibri" w:hAnsi="Calibri"/>
          <w:b w:val="false"/>
          <w:bCs w:val="false"/>
          <w:i w:val="false"/>
          <w:iCs w:val="false"/>
          <w:color w:val="000000"/>
          <w:sz w:val="20"/>
          <w:szCs w:val="20"/>
        </w:rPr>
        <w:t xml:space="preserve">Role assignments follow the principle of least privilege. No user holds more permissions than required for their job function. Privileged roles are documented with justification and reviewed quarterly.</w:t>
      </w:r>
    </w:p>
    <w:p>
      <w:pPr>
        <w:spacing w:after="80" w:before="80"/>
      </w:pPr>
      <w:r>
        <w:rPr>
          <w:rFonts w:ascii="Calibri" w:cs="Calibri" w:eastAsia="Calibri" w:hAnsi="Calibri"/>
          <w:b/>
          <w:bCs/>
          <w:i w:val="false"/>
          <w:iCs w:val="false"/>
          <w:color w:val="000000"/>
          <w:sz w:val="20"/>
          <w:szCs w:val="20"/>
        </w:rPr>
        <w:t xml:space="preserve">Tenet 3 — Assume Breach: </w:t>
      </w:r>
      <w:r>
        <w:rPr>
          <w:rFonts w:ascii="Calibri" w:cs="Calibri" w:eastAsia="Calibri" w:hAnsi="Calibri"/>
          <w:b w:val="false"/>
          <w:bCs w:val="false"/>
          <w:i w:val="false"/>
          <w:iCs w:val="false"/>
          <w:color w:val="000000"/>
          <w:sz w:val="20"/>
          <w:szCs w:val="20"/>
        </w:rPr>
        <w:t xml:space="preserve">Audit logging is enabled for all sign-in events, role changes, and policy modifications. Security alerts are routed to the Security Operations team for review. Conditional Access policies limit blast radius through geo-restriction and device compliance enforcement.</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4"/>
              <w:bottom w:val="single" w:color="2E75B6" w:sz="4"/>
              <w:right w:val="single" w:color="2E75B6" w:sz="4"/>
            </w:tcBorders>
            <w:shd w:fill="DEEAF1" w:val="clear"/>
            <w:tcMar>
              <w:top w:type="dxa" w:w="100"/>
              <w:left w:type="dxa" w:w="200"/>
              <w:bottom w:type="dxa" w:w="100"/>
              <w:right w:type="dxa" w:w="120"/>
            </w:tcMar>
          </w:tcPr>
          <w:p>
            <w:pPr>
              <w:spacing w:after="40" w:before="0"/>
            </w:pPr>
            <w:r>
              <w:rPr>
                <w:rFonts w:ascii="Calibri" w:cs="Calibri" w:eastAsia="Calibri" w:hAnsi="Calibri"/>
                <w:b/>
                <w:bCs/>
                <w:i w:val="false"/>
                <w:iCs w:val="false"/>
                <w:color w:val="1F3864"/>
                <w:sz w:val="18"/>
                <w:szCs w:val="18"/>
              </w:rPr>
              <w:t xml:space="preserve">Zero Trust Identity Pillar — Microsoft Entra ID Control Points</w:t>
            </w:r>
          </w:p>
          <w:p>
            <w:pPr>
              <w:spacing w:after="0" w:before="0"/>
            </w:pPr>
            <w:r>
              <w:rPr>
                <w:rFonts w:ascii="Calibri" w:cs="Calibri" w:eastAsia="Calibri" w:hAnsi="Calibri"/>
                <w:b w:val="false"/>
                <w:bCs w:val="false"/>
                <w:i w:val="false"/>
                <w:iCs w:val="false"/>
                <w:color w:val="595959"/>
                <w:sz w:val="18"/>
                <w:szCs w:val="18"/>
              </w:rPr>
              <w:t xml:space="preserve">Authentication: MFA via Security Defaults (all users)  |  Authorization: RBAC with least privilege + Conditional Access  |  Threat Detection: Sign-in risk policies (planned, P2)  |  Governance: Quarterly access reviews + JML workflow  |  Audit: Entra ID audit logs + Compliance Center Purview</w:t>
            </w:r>
          </w:p>
        </w:tc>
      </w:tr>
    </w:tbl>
    <w:p>
      <w:pPr>
        <w:spacing w:after="80" w:before="60"/>
        <w:jc w:val="left"/>
      </w:pPr>
      <w:r>
        <w:rPr>
          <w:rFonts w:ascii="Calibri" w:cs="Calibri" w:eastAsia="Calibri" w:hAnsi="Calibri"/>
          <w:b w:val="false"/>
          <w:bCs w:val="false"/>
          <w:i w:val="false"/>
          <w:iCs w:val="false"/>
          <w:color w:val="000000"/>
          <w:sz w:val="20"/>
          <w:szCs w:val="20"/>
        </w:rPr>
        <w:t xml:space="preserve"/>
      </w:r>
    </w:p>
    <w:p>
      <w:pPr>
        <w:pStyle w:val="Heading2"/>
        <w:spacing w:after="80" w:before="240"/>
      </w:pPr>
      <w:r>
        <w:rPr>
          <w:rFonts w:ascii="Calibri" w:cs="Calibri" w:eastAsia="Calibri" w:hAnsi="Calibri"/>
          <w:b/>
          <w:bCs/>
          <w:i w:val="false"/>
          <w:iCs w:val="false"/>
          <w:color w:val="2E75B6"/>
          <w:sz w:val="22"/>
          <w:szCs w:val="22"/>
        </w:rPr>
        <w:t xml:space="preserve">3.2 Identity as the Control Plane</w:t>
      </w:r>
    </w:p>
    <w:p>
      <w:pPr>
        <w:spacing w:after="100" w:before="80"/>
        <w:jc w:val="left"/>
      </w:pPr>
      <w:r>
        <w:rPr>
          <w:rFonts w:ascii="Calibri" w:cs="Calibri" w:eastAsia="Calibri" w:hAnsi="Calibri"/>
          <w:b w:val="false"/>
          <w:bCs w:val="false"/>
          <w:i w:val="false"/>
          <w:iCs w:val="false"/>
          <w:color w:val="000000"/>
          <w:sz w:val="20"/>
          <w:szCs w:val="20"/>
        </w:rPr>
        <w:t xml:space="preserve">In a perimeter-less environment — which MHG operates given its cloud-first Microsoft 365 deployment — identity becomes the primary security boundary. Every access request to SharePoint, Teams, Exchange, and administrative portals is evaluated against Entra ID policies before access is granted. This replaces the traditional VPN-centric model with explicit, policy-driven access decisions.</w:t>
      </w:r>
    </w:p>
    <w:p>
      <w:pPr>
        <w:pStyle w:val="Heading2"/>
        <w:spacing w:after="80" w:before="240"/>
      </w:pPr>
      <w:r>
        <w:rPr>
          <w:rFonts w:ascii="Calibri" w:cs="Calibri" w:eastAsia="Calibri" w:hAnsi="Calibri"/>
          <w:b/>
          <w:bCs/>
          <w:i w:val="false"/>
          <w:iCs w:val="false"/>
          <w:color w:val="2E75B6"/>
          <w:sz w:val="22"/>
          <w:szCs w:val="22"/>
        </w:rPr>
        <w:t xml:space="preserve">3.3 Technology Stack</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Identity Provider: Microsoft Entra ID — tenant ID f8cdef31-a31e-4b4a-93e4-5f571e91255a</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Authentication: Security Defaults (MFA) + Conditional Access policies (P1 roadmap)</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Authorization: Entra ID built-in roles + Security Groups for M365 workload permissions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Governance: Access reviews (manual quarterly cycle; automated reviews planned with P2)</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Threat Detection: Microsoft Defender for Endpoint + Sentinel integration (evaluation)</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Device Management: Microsoft Intune — enrollment in progress for privileged users</w:t>
      </w:r>
    </w:p>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4. Identity &amp; Access Management Implementation</w:t>
      </w:r>
    </w:p>
    <w:p>
      <w:pPr>
        <w:pStyle w:val="Heading2"/>
        <w:spacing w:after="80" w:before="240"/>
      </w:pPr>
      <w:r>
        <w:rPr>
          <w:rFonts w:ascii="Calibri" w:cs="Calibri" w:eastAsia="Calibri" w:hAnsi="Calibri"/>
          <w:b/>
          <w:bCs/>
          <w:i w:val="false"/>
          <w:iCs w:val="false"/>
          <w:color w:val="2E75B6"/>
          <w:sz w:val="22"/>
          <w:szCs w:val="22"/>
        </w:rPr>
        <w:t xml:space="preserve">4.1 Tenant Configuration</w:t>
      </w:r>
    </w:p>
    <w:p>
      <w:pPr>
        <w:spacing w:after="100" w:before="80"/>
        <w:jc w:val="left"/>
      </w:pPr>
      <w:r>
        <w:rPr>
          <w:rFonts w:ascii="Calibri" w:cs="Calibri" w:eastAsia="Calibri" w:hAnsi="Calibri"/>
          <w:b w:val="false"/>
          <w:bCs w:val="false"/>
          <w:i w:val="false"/>
          <w:iCs w:val="false"/>
          <w:color w:val="000000"/>
          <w:sz w:val="20"/>
          <w:szCs w:val="20"/>
        </w:rPr>
        <w:t xml:space="preserve">The MHG Entra ID tenant was configured with the following baseline settings to establish a secure identity foundation:</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Security Defaults: Enabled — enforces MFA for all users, blocks legacy authentication, and requires MFA for privileged operations on all Microsoft portals.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Password Protection: Entra ID Smart Lockout configured with threshold of 10 failed attempts. Custom banned password list includes MHG-specific terms.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Audit Logging: Sign-in logs, audit logs, and provisioning logs retained for 30 days (Free tier) with export to Compliance Center for extended retention.</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External Collaboration: B2B collaboration enabled for approved vendor domains only. Guest access restricted — no tenant-wide guest access to Microsoft 365 Groups.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User Registration Policy: Users cannot register applications without IT approval. App consent policy requires admin consent for all applications accessing tenant data.</w:t>
      </w:r>
    </w:p>
    <w:p>
      <w:pPr>
        <w:pStyle w:val="Heading2"/>
        <w:spacing w:after="80" w:before="240"/>
      </w:pPr>
      <w:r>
        <w:rPr>
          <w:rFonts w:ascii="Calibri" w:cs="Calibri" w:eastAsia="Calibri" w:hAnsi="Calibri"/>
          <w:b/>
          <w:bCs/>
          <w:i w:val="false"/>
          <w:iCs w:val="false"/>
          <w:color w:val="2E75B6"/>
          <w:sz w:val="22"/>
          <w:szCs w:val="22"/>
        </w:rPr>
        <w:t xml:space="preserve">4.2 User Provisioning</w:t>
      </w:r>
    </w:p>
    <w:p>
      <w:pPr>
        <w:spacing w:after="100" w:before="80"/>
        <w:jc w:val="left"/>
      </w:pPr>
      <w:r>
        <w:rPr>
          <w:rFonts w:ascii="Calibri" w:cs="Calibri" w:eastAsia="Calibri" w:hAnsi="Calibri"/>
          <w:b w:val="false"/>
          <w:bCs w:val="false"/>
          <w:i w:val="false"/>
          <w:iCs w:val="false"/>
          <w:color w:val="000000"/>
          <w:sz w:val="20"/>
          <w:szCs w:val="20"/>
        </w:rPr>
        <w:t xml:space="preserve">Ten accounts were provisioned within the MHG tenant representing the full spectrum of employee and non-employee identity types. All accounts follow MHG's UPN convention: [firstname.lastname]@meridianhealthgroup.org. Account provisioning follows a documented Joiner workflow (see Section 7).</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2400"/>
        <w:gridCol w:w="1600"/>
        <w:gridCol w:w="1400"/>
        <w:gridCol w:w="960"/>
        <w:gridCol w:w="900"/>
      </w:tblGrid>
      <w:tr>
        <w:tc>
          <w:tcPr>
            <w:tcW w:type="dxa" w:w="3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w:t>
            </w:r>
          </w:p>
        </w:tc>
        <w:tc>
          <w:tcPr>
            <w:tcW w:type="dxa" w:w="1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Display Name</w:t>
            </w:r>
          </w:p>
        </w:tc>
        <w:tc>
          <w:tcPr>
            <w:tcW w:type="dxa" w:w="24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UPN</w:t>
            </w:r>
          </w:p>
        </w:tc>
        <w:tc>
          <w:tcPr>
            <w:tcW w:type="dxa" w:w="16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Department</w:t>
            </w:r>
          </w:p>
        </w:tc>
        <w:tc>
          <w:tcPr>
            <w:tcW w:type="dxa" w:w="14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Account Type</w:t>
            </w:r>
          </w:p>
        </w:tc>
        <w:tc>
          <w:tcPr>
            <w:tcW w:type="dxa" w:w="9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MFA</w:t>
            </w:r>
          </w:p>
        </w:tc>
        <w:tc>
          <w:tcPr>
            <w:tcW w:type="dxa" w:w="9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Status</w:t>
            </w:r>
          </w:p>
        </w:tc>
      </w:tr>
      <w:tr>
        <w:tc>
          <w:tcPr>
            <w:tcW w:type="dxa" w:w="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1</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Marcus Chen</w:t>
            </w:r>
          </w:p>
        </w:tc>
        <w:tc>
          <w:tcPr>
            <w:tcW w:type="dxa" w:w="2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m.chen@meridianhealthgroup.org</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2</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Priya Okafor</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p.okafor@meridianhealthgroup.org</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InfoSec</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3</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Dr. Sandra Walsh</w:t>
            </w:r>
          </w:p>
        </w:tc>
        <w:tc>
          <w:tcPr>
            <w:tcW w:type="dxa" w:w="2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s.walsh@meridianhealthgroup.org</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Clinical</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4</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James Thornton</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j.thornton@meridianhealthgroup.org</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HR</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5</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Elena Vasquez</w:t>
            </w:r>
          </w:p>
        </w:tc>
        <w:tc>
          <w:tcPr>
            <w:tcW w:type="dxa" w:w="2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e.vasquez@meridianhealthgroup.org</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Finance</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6</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Robert Kim</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r.kim@meridianhealthgroup.org</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Executive</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7</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Tamara Ellis</w:t>
            </w:r>
          </w:p>
        </w:tc>
        <w:tc>
          <w:tcPr>
            <w:tcW w:type="dxa" w:w="2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t.ellis@meridianhealthgroup.org</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Compliance</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8</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David Park</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d.park@meridianhealthgroup.org</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Member</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9</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SVC-AuditBot</w:t>
            </w:r>
          </w:p>
        </w:tc>
        <w:tc>
          <w:tcPr>
            <w:tcW w:type="dxa" w:w="2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svc.auditbot@meridianhealthgroup.org</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InfoSec</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Service</w:t>
            </w:r>
          </w:p>
        </w:tc>
        <w:tc>
          <w:tcPr>
            <w:tcW w:type="dxa" w:w="9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1F3864"/>
                <w:sz w:val="16"/>
                <w:szCs w:val="16"/>
              </w:rPr>
              <w:t xml:space="preserve">N/A</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r>
        <w:tc>
          <w:tcPr>
            <w:tcW w:type="dxa" w:w="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10</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EXT-ClearPath</w:t>
            </w:r>
          </w:p>
        </w:tc>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ext.clearpath@clearpath-health.com</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Vendor</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Guest</w:t>
            </w:r>
          </w:p>
        </w:tc>
        <w:tc>
          <w:tcPr>
            <w:tcW w:type="dxa" w:w="96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Active</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pPr>
        <w:pStyle w:val="Heading2"/>
        <w:spacing w:after="80" w:before="240"/>
      </w:pPr>
      <w:r>
        <w:rPr>
          <w:rFonts w:ascii="Calibri" w:cs="Calibri" w:eastAsia="Calibri" w:hAnsi="Calibri"/>
          <w:b/>
          <w:bCs/>
          <w:i w:val="false"/>
          <w:iCs w:val="false"/>
          <w:color w:val="2E75B6"/>
          <w:sz w:val="22"/>
          <w:szCs w:val="22"/>
        </w:rPr>
        <w:t xml:space="preserve">4.3 Security Group Design</w:t>
      </w:r>
    </w:p>
    <w:p>
      <w:pPr>
        <w:spacing w:after="100" w:before="80"/>
        <w:jc w:val="left"/>
      </w:pPr>
      <w:r>
        <w:rPr>
          <w:rFonts w:ascii="Calibri" w:cs="Calibri" w:eastAsia="Calibri" w:hAnsi="Calibri"/>
          <w:b w:val="false"/>
          <w:bCs w:val="false"/>
          <w:i w:val="false"/>
          <w:iCs w:val="false"/>
          <w:color w:val="000000"/>
          <w:sz w:val="20"/>
          <w:szCs w:val="20"/>
        </w:rPr>
        <w:t xml:space="preserve">Security groups serve as the primary mechanism for access policy targeting in Meridian Health Group's Entra ID environment. Groups are used to assign Conditional Access policies, SharePoint permissions, and Microsoft 365 licensing. The principle of group-based access management replaces direct user-to-resource assignments, enabling scalable, auditable access control.</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SG-ITAdmins: Marcus Chen, David Park — Targets CA-003 (compliant device enforcement for admin portals)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SG-SecurityOps: Priya Okafor, SVC-AuditBot — Targets CA-003 and CA-004 (geo-restriction)</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SG-ClinicalStaff: Dr. Sandra Walsh — PHI access to Clinical SharePoint and Teams channels; CA-001 + CA-005</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SG-HRPersonnel: James Thornton — User Administrator role and HR document library access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SG-FinanceTeam: Elena Vasquez — Power BI dashboards and Finance SharePoint access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SG-Executives: Robert Kim — Global Reader, compliant device required (CA-003)</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SG-Compliance: Tamara Ellis — Compliance Admin + Audit Log Reader, geo-restricted (CA-004)</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SG-AllStaff: Dynamic group (all member accounts) — Baseline CA-001 (MFA) and CA-002 (block legacy auth)</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SG-ExternalVendors: EXT-ClearPath — B2B guests, CA-001, CA-004, CA-006 (Terms of Use)</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SG-ServiceAccounts: SVC-AuditBot — CA-007 blocks all interactive logins for service principals</w:t>
      </w:r>
    </w:p>
    <w:p>
      <w:pPr>
        <w:pStyle w:val="Heading2"/>
        <w:spacing w:after="80" w:before="240"/>
      </w:pPr>
      <w:r>
        <w:rPr>
          <w:rFonts w:ascii="Calibri" w:cs="Calibri" w:eastAsia="Calibri" w:hAnsi="Calibri"/>
          <w:b/>
          <w:bCs/>
          <w:i w:val="false"/>
          <w:iCs w:val="false"/>
          <w:color w:val="2E75B6"/>
          <w:sz w:val="22"/>
          <w:szCs w:val="22"/>
        </w:rPr>
        <w:t xml:space="preserve">4.4 RBAC Implementation — Least Privilege</w:t>
      </w:r>
    </w:p>
    <w:p>
      <w:pPr>
        <w:spacing w:after="100" w:before="80"/>
        <w:jc w:val="left"/>
      </w:pPr>
      <w:r>
        <w:rPr>
          <w:rFonts w:ascii="Calibri" w:cs="Calibri" w:eastAsia="Calibri" w:hAnsi="Calibri"/>
          <w:b w:val="false"/>
          <w:bCs w:val="false"/>
          <w:i w:val="false"/>
          <w:iCs w:val="false"/>
          <w:color w:val="000000"/>
          <w:sz w:val="20"/>
          <w:szCs w:val="20"/>
        </w:rPr>
        <w:t xml:space="preserve">Role assignments follow a strict least-privilege model. Each role assignment is documented with a business justification and reviewed on a quarterly cycle. The following principles were applied:</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No user holds Global Administrator access except the designated IT Infrastructure Admin (Marcus Chen). This role is flagged for conversion to PIM just-in-time activation in Q3 2026.</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Privileged roles (Global Admin, User Administrator, Compliance Admin) are assigned only where the specific job function requires administrative capabilities.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Read-only roles (Security Reader, Directory Readers, Global Reader, Audit Log Reader) are used for all oversight and monitoring functions — no write access is granted for monitoring purposes.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Service accounts hold the minimum role required for their function (Security Reader for AuditBot). Certificate-based authentication is enforced; no interactive sign-in is permitted.</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External vendor (B2B guest) holds no Entra ID roles — access is scoped exclusively to a single SharePoint site collection via group-based permissions.</w:t>
      </w:r>
    </w:p>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5. Authentication &amp; MFA</w:t>
      </w:r>
    </w:p>
    <w:p>
      <w:pPr>
        <w:pStyle w:val="Heading2"/>
        <w:spacing w:after="80" w:before="240"/>
      </w:pPr>
      <w:r>
        <w:rPr>
          <w:rFonts w:ascii="Calibri" w:cs="Calibri" w:eastAsia="Calibri" w:hAnsi="Calibri"/>
          <w:b/>
          <w:bCs/>
          <w:i w:val="false"/>
          <w:iCs w:val="false"/>
          <w:color w:val="2E75B6"/>
          <w:sz w:val="22"/>
          <w:szCs w:val="22"/>
        </w:rPr>
        <w:t xml:space="preserve">5.1 Security Defaults</w:t>
      </w:r>
    </w:p>
    <w:p>
      <w:pPr>
        <w:spacing w:after="100" w:before="80"/>
        <w:jc w:val="left"/>
      </w:pPr>
      <w:r>
        <w:rPr>
          <w:rFonts w:ascii="Calibri" w:cs="Calibri" w:eastAsia="Calibri" w:hAnsi="Calibri"/>
          <w:b w:val="false"/>
          <w:bCs w:val="false"/>
          <w:i w:val="false"/>
          <w:iCs w:val="false"/>
          <w:color w:val="000000"/>
          <w:sz w:val="20"/>
          <w:szCs w:val="20"/>
        </w:rPr>
        <w:t xml:space="preserve">Microsoft Entra ID Security Defaults are currently enabled as the baseline authentication enforcement mechanism for all MHG accounts. Security Defaults provide a pre-configured set of authentication controls appropriate for organizations on the Entra ID Free tier:</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Multi-Factor Authentication (MFA): Required for all member accounts. Microsoft Authenticator app is the primary MFA method. SMS and voice call are available as fallback methods.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Admin MFA: Required at every sign-in for all accounts holding any Entra ID administrative role — no exception for registered devices.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Legacy Authentication Block: Security Defaults block authentication requests using protocols that cannot enforce MFA — including Basic Auth, IMAP, POP3, SMTP AUTH, and Exchange ActiveSync with older clients.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Microsoft Portals: All access to Azure portal, Microsoft 365 Admin Center, and Entra ID Admin Center requires MFA regardless of device or location.</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12"/>
              <w:left w:val="single" w:color="FFC000" w:sz="24"/>
              <w:bottom w:val="single" w:color="FFC000" w:sz="4"/>
              <w:right w:val="single" w:color="FFC000" w:sz="4"/>
            </w:tcBorders>
            <w:shd w:fill="FFFF99" w:val="clear"/>
            <w:tcMar>
              <w:top w:type="dxa" w:w="100"/>
              <w:left w:type="dxa" w:w="200"/>
              <w:bottom w:type="dxa" w:w="100"/>
              <w:right w:type="dxa" w:w="120"/>
            </w:tcMar>
          </w:tcPr>
          <w:p>
            <w:pPr>
              <w:spacing w:after="40" w:before="0"/>
            </w:pPr>
            <w:r>
              <w:rPr>
                <w:rFonts w:ascii="Calibri" w:cs="Calibri" w:eastAsia="Calibri" w:hAnsi="Calibri"/>
                <w:b/>
                <w:bCs/>
                <w:i w:val="false"/>
                <w:iCs w:val="false"/>
                <w:color w:val="1F3864"/>
                <w:sz w:val="18"/>
                <w:szCs w:val="18"/>
              </w:rPr>
              <w:t xml:space="preserve">Important Note — Security Defaults vs. Conditional Access</w:t>
            </w:r>
          </w:p>
          <w:p>
            <w:pPr>
              <w:spacing w:after="0" w:before="0"/>
            </w:pPr>
            <w:r>
              <w:rPr>
                <w:rFonts w:ascii="Calibri" w:cs="Calibri" w:eastAsia="Calibri" w:hAnsi="Calibri"/>
                <w:b w:val="false"/>
                <w:bCs w:val="false"/>
                <w:i w:val="false"/>
                <w:iCs w:val="false"/>
                <w:color w:val="595959"/>
                <w:sz w:val="18"/>
                <w:szCs w:val="18"/>
              </w:rPr>
              <w:t xml:space="preserve">Security Defaults and Conditional Access policies cannot be enabled simultaneously. When MHG upgrades to Entra ID P1, Security Defaults must be disabled and replaced with equivalent or stronger named Conditional Access policies. The Conditional Access policy inventory in Section 6 is designed as the direct replacement. No security gap will exist during the transition.</w:t>
            </w:r>
          </w:p>
        </w:tc>
      </w:tr>
    </w:tbl>
    <w:p>
      <w:pPr>
        <w:spacing w:after="80" w:before="60"/>
        <w:jc w:val="left"/>
      </w:pPr>
      <w:r>
        <w:rPr>
          <w:rFonts w:ascii="Calibri" w:cs="Calibri" w:eastAsia="Calibri" w:hAnsi="Calibri"/>
          <w:b w:val="false"/>
          <w:bCs w:val="false"/>
          <w:i w:val="false"/>
          <w:iCs w:val="false"/>
          <w:color w:val="000000"/>
          <w:sz w:val="20"/>
          <w:szCs w:val="20"/>
        </w:rPr>
        <w:t xml:space="preserve"/>
      </w:r>
    </w:p>
    <w:p>
      <w:pPr>
        <w:pStyle w:val="Heading2"/>
        <w:spacing w:after="80" w:before="240"/>
      </w:pPr>
      <w:r>
        <w:rPr>
          <w:rFonts w:ascii="Calibri" w:cs="Calibri" w:eastAsia="Calibri" w:hAnsi="Calibri"/>
          <w:b/>
          <w:bCs/>
          <w:i w:val="false"/>
          <w:iCs w:val="false"/>
          <w:color w:val="2E75B6"/>
          <w:sz w:val="22"/>
          <w:szCs w:val="22"/>
        </w:rPr>
        <w:t xml:space="preserve">5.2 MFA Enrollment Status</w:t>
      </w:r>
    </w:p>
    <w:p>
      <w:pPr>
        <w:spacing w:after="100" w:before="80"/>
        <w:jc w:val="left"/>
      </w:pPr>
      <w:r>
        <w:rPr>
          <w:rFonts w:ascii="Calibri" w:cs="Calibri" w:eastAsia="Calibri" w:hAnsi="Calibri"/>
          <w:b w:val="false"/>
          <w:bCs w:val="false"/>
          <w:i w:val="false"/>
          <w:iCs w:val="false"/>
          <w:color w:val="000000"/>
          <w:sz w:val="20"/>
          <w:szCs w:val="20"/>
        </w:rPr>
        <w:t xml:space="preserve">As of June 2026, all 8 member accounts within the MHG Entra ID tenant have completed MFA enrollment via the Microsoft Authenticator application. MFA registration was required within 14 days of account creation for all Joiner events.</w:t>
      </w:r>
    </w:p>
    <w:p>
      <w:pPr>
        <w:spacing w:after="100" w:before="80"/>
        <w:jc w:val="left"/>
      </w:pPr>
      <w:r>
        <w:rPr>
          <w:rFonts w:ascii="Calibri" w:cs="Calibri" w:eastAsia="Calibri" w:hAnsi="Calibri"/>
          <w:b w:val="false"/>
          <w:bCs w:val="false"/>
          <w:i w:val="false"/>
          <w:iCs w:val="false"/>
          <w:color w:val="000000"/>
          <w:sz w:val="20"/>
          <w:szCs w:val="20"/>
        </w:rPr>
        <w:t xml:space="preserve">The SVC-AuditBot service account is excluded from MFA (not applicable for non-interactive service principals — certificate-based authentication is enforced instead). The EXT-ClearPath B2B guest account is required to complete MFA using their home tenant credentials, as enforced by CA-006.</w:t>
      </w:r>
    </w:p>
    <w:p>
      <w:pPr>
        <w:pStyle w:val="Heading2"/>
        <w:spacing w:after="80" w:before="240"/>
      </w:pPr>
      <w:r>
        <w:rPr>
          <w:rFonts w:ascii="Calibri" w:cs="Calibri" w:eastAsia="Calibri" w:hAnsi="Calibri"/>
          <w:b/>
          <w:bCs/>
          <w:i w:val="false"/>
          <w:iCs w:val="false"/>
          <w:color w:val="2E75B6"/>
          <w:sz w:val="22"/>
          <w:szCs w:val="22"/>
        </w:rPr>
        <w:t xml:space="preserve">5.3 Password Policy</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Entra ID enforces a minimum password length of 8 characters with complexity requirements (uppercase, lowercase, numeric, special character).</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Password expiration is disabled per NIST SP 800-63B guidance — passwords do not expire on a scheduled cycle; users are prompted to change only on detected compromise.</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Smart Lockout is configured with a threshold of 10 failed attempts. Locked accounts require IT Help Desk verification for reset (applies standard lockout to prevent brute force).</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Self-Service Password Reset (SSPR) is enabled for all member accounts — requires MFA verification before password reset is permitted.</w:t>
      </w:r>
    </w:p>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6. Conditional Access Policies</w:t>
      </w:r>
    </w:p>
    <w:p>
      <w:pPr>
        <w:spacing w:after="100" w:before="80"/>
        <w:jc w:val="left"/>
      </w:pPr>
      <w:r>
        <w:rPr>
          <w:rFonts w:ascii="Calibri" w:cs="Calibri" w:eastAsia="Calibri" w:hAnsi="Calibri"/>
          <w:b w:val="false"/>
          <w:bCs w:val="false"/>
          <w:i w:val="false"/>
          <w:iCs w:val="false"/>
          <w:color w:val="000000"/>
          <w:sz w:val="20"/>
          <w:szCs w:val="20"/>
        </w:rPr>
        <w:t xml:space="preserve">Conditional Access (CA) is the Zero Trust policy engine within Microsoft Entra ID. CA policies evaluate every authentication request against a set of conditions — user identity, group membership, device compliance, location, application, and detected risk — and enforce access decisions in real time. Conditional Access requires Entra ID P1 or higher.</w:t>
      </w:r>
    </w:p>
    <w:p>
      <w:pPr>
        <w:spacing w:after="100" w:before="80"/>
        <w:jc w:val="left"/>
      </w:pPr>
      <w:r>
        <w:rPr>
          <w:rFonts w:ascii="Calibri" w:cs="Calibri" w:eastAsia="Calibri" w:hAnsi="Calibri"/>
          <w:b w:val="false"/>
          <w:bCs w:val="false"/>
          <w:i w:val="false"/>
          <w:iCs w:val="false"/>
          <w:color w:val="000000"/>
          <w:sz w:val="20"/>
          <w:szCs w:val="20"/>
        </w:rPr>
        <w:t xml:space="preserve">The following policy inventory represents the complete Conditional Access architecture for Meridian Health Group. Policies CA-001 through CA-004 and CA-006/CA-007 are currently enabled. CA-003 is in Report-Only mode pending Intune enrollment completion. CA-005 is planned pending P2 licensing.</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400"/>
        <w:gridCol w:w="1500"/>
        <w:gridCol w:w="1260"/>
        <w:gridCol w:w="1900"/>
      </w:tblGrid>
      <w:tr>
        <w:tc>
          <w:tcPr>
            <w:tcW w:type="dxa" w:w="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Policy ID</w:t>
            </w:r>
          </w:p>
        </w:tc>
        <w:tc>
          <w:tcPr>
            <w:tcW w:type="dxa" w:w="25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Policy Name</w:t>
            </w:r>
          </w:p>
        </w:tc>
        <w:tc>
          <w:tcPr>
            <w:tcW w:type="dxa" w:w="14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Target Users</w:t>
            </w:r>
          </w:p>
        </w:tc>
        <w:tc>
          <w:tcPr>
            <w:tcW w:type="dxa" w:w="15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Grant Control</w:t>
            </w:r>
          </w:p>
        </w:tc>
        <w:tc>
          <w:tcPr>
            <w:tcW w:type="dxa" w:w="12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Status</w:t>
            </w:r>
          </w:p>
        </w:tc>
        <w:tc>
          <w:tcPr>
            <w:tcW w:type="dxa" w:w="19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License Req.</w:t>
            </w:r>
          </w:p>
        </w:tc>
      </w:tr>
      <w:tr>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CA-001</w:t>
            </w:r>
          </w:p>
        </w:tc>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Require MFA — All Users</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SG-AllStaff</w:t>
            </w:r>
          </w:p>
        </w:tc>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Require MFA</w:t>
            </w:r>
          </w:p>
        </w:tc>
        <w:tc>
          <w:tcPr>
            <w:tcW w:type="dxa" w:w="126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5"/>
                <w:szCs w:val="15"/>
              </w:rPr>
              <w:t xml:space="preserve">Enabled</w:t>
            </w:r>
          </w:p>
        </w:tc>
        <w:tc>
          <w:tcPr>
            <w:tcW w:type="dxa" w:w="1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P1</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CA-002</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Block Legacy Authentication</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All Users</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Block</w:t>
            </w:r>
          </w:p>
        </w:tc>
        <w:tc>
          <w:tcPr>
            <w:tcW w:type="dxa" w:w="126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5"/>
                <w:szCs w:val="15"/>
              </w:rPr>
              <w:t xml:space="preserve">Enabled</w:t>
            </w:r>
          </w:p>
        </w:tc>
        <w:tc>
          <w:tcPr>
            <w:tcW w:type="dxa" w:w="1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P1</w:t>
            </w:r>
          </w:p>
        </w:tc>
      </w:tr>
      <w:tr>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CA-003</w:t>
            </w:r>
          </w:p>
        </w:tc>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Compliant Device — Privileged Roles</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SG-ITAdmins; Execs</w:t>
            </w:r>
          </w:p>
        </w:tc>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 Compliant Device</w:t>
            </w:r>
          </w:p>
        </w:tc>
        <w:tc>
          <w:tcPr>
            <w:tcW w:type="dxa" w:w="1260"/>
            <w:tcBorders>
              <w:top w:val="single" w:color="B8CCE4" w:sz="4"/>
              <w:left w:val="single" w:color="B8CCE4" w:sz="4"/>
              <w:bottom w:val="single" w:color="B8CCE4" w:sz="4"/>
              <w:right w:val="single" w:color="B8CCE4" w:sz="4"/>
            </w:tcBorders>
            <w:shd w:fill="FFC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D2C00"/>
                <w:sz w:val="15"/>
                <w:szCs w:val="15"/>
              </w:rPr>
              <w:t xml:space="preserve">Report-Only</w:t>
            </w:r>
          </w:p>
        </w:tc>
        <w:tc>
          <w:tcPr>
            <w:tcW w:type="dxa" w:w="1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P1 + Intune</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CA-004</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Restrict Non-US Locations</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All Users; Vendors</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Block</w:t>
            </w:r>
          </w:p>
        </w:tc>
        <w:tc>
          <w:tcPr>
            <w:tcW w:type="dxa" w:w="126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5"/>
                <w:szCs w:val="15"/>
              </w:rPr>
              <w:t xml:space="preserve">Enabled</w:t>
            </w:r>
          </w:p>
        </w:tc>
        <w:tc>
          <w:tcPr>
            <w:tcW w:type="dxa" w:w="1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P1</w:t>
            </w:r>
          </w:p>
        </w:tc>
      </w:tr>
      <w:tr>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CA-005</w:t>
            </w:r>
          </w:p>
        </w:tc>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Risk-Based MFA — Risky Sign-Ins</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SG-AllStaff</w:t>
            </w:r>
          </w:p>
        </w:tc>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 PW Change (High risk)</w:t>
            </w:r>
          </w:p>
        </w:tc>
        <w:tc>
          <w:tcPr>
            <w:tcW w:type="dxa" w:w="126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5"/>
                <w:szCs w:val="15"/>
              </w:rPr>
              <w:t xml:space="preserve">Planned</w:t>
            </w:r>
          </w:p>
        </w:tc>
        <w:tc>
          <w:tcPr>
            <w:tcW w:type="dxa" w:w="1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P2</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CA-006</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Vendor Access — Terms of Use</w:t>
            </w:r>
          </w:p>
        </w:tc>
        <w:tc>
          <w:tcPr>
            <w:tcW w:type="dxa" w:w="1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SG-ExternalVendors</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 Accept ToU</w:t>
            </w:r>
          </w:p>
        </w:tc>
        <w:tc>
          <w:tcPr>
            <w:tcW w:type="dxa" w:w="126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5"/>
                <w:szCs w:val="15"/>
              </w:rPr>
              <w:t xml:space="preserve">Enabled</w:t>
            </w:r>
          </w:p>
        </w:tc>
        <w:tc>
          <w:tcPr>
            <w:tcW w:type="dxa" w:w="1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P1</w:t>
            </w:r>
          </w:p>
        </w:tc>
      </w:tr>
      <w:tr>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000000"/>
                <w:sz w:val="16"/>
                <w:szCs w:val="16"/>
              </w:rPr>
              <w:t xml:space="preserve">CA-007</w:t>
            </w:r>
          </w:p>
        </w:tc>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Block Interactive — Service Accounts</w:t>
            </w:r>
          </w:p>
        </w:tc>
        <w:tc>
          <w:tcPr>
            <w:tcW w:type="dxa" w:w="14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SG-ServiceAccounts</w:t>
            </w:r>
          </w:p>
        </w:tc>
        <w:tc>
          <w:tcPr>
            <w:tcW w:type="dxa" w:w="1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Block</w:t>
            </w:r>
          </w:p>
        </w:tc>
        <w:tc>
          <w:tcPr>
            <w:tcW w:type="dxa" w:w="126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5"/>
                <w:szCs w:val="15"/>
              </w:rPr>
              <w:t xml:space="preserve">Enabled</w:t>
            </w:r>
          </w:p>
        </w:tc>
        <w:tc>
          <w:tcPr>
            <w:tcW w:type="dxa" w:w="1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Free</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7. Joiners-Movers-Leavers (JML) Workflow</w:t>
      </w:r>
    </w:p>
    <w:p>
      <w:pPr>
        <w:spacing w:after="100" w:before="80"/>
        <w:jc w:val="left"/>
      </w:pPr>
      <w:r>
        <w:rPr>
          <w:rFonts w:ascii="Calibri" w:cs="Calibri" w:eastAsia="Calibri" w:hAnsi="Calibri"/>
          <w:b w:val="false"/>
          <w:bCs w:val="false"/>
          <w:i w:val="false"/>
          <w:iCs w:val="false"/>
          <w:color w:val="000000"/>
          <w:sz w:val="20"/>
          <w:szCs w:val="20"/>
        </w:rPr>
        <w:t xml:space="preserve">Identity lifecycle management is operationalized through a documented Joiners-Movers-Leavers (JML) workflow. This process ensures that access rights are granted promptly when employees join, updated accurately when they change roles, and revoked completely and on time when they depart. Effective JML management is a critical control for HIPAA §164.308(a)(3) Workforce Security.</w:t>
      </w:r>
    </w:p>
    <w:p>
      <w:pPr>
        <w:pStyle w:val="Heading2"/>
        <w:spacing w:after="80" w:before="240"/>
      </w:pPr>
      <w:r>
        <w:rPr>
          <w:rFonts w:ascii="Calibri" w:cs="Calibri" w:eastAsia="Calibri" w:hAnsi="Calibri"/>
          <w:b/>
          <w:bCs/>
          <w:i w:val="false"/>
          <w:iCs w:val="false"/>
          <w:color w:val="2E75B6"/>
          <w:sz w:val="22"/>
          <w:szCs w:val="22"/>
        </w:rPr>
        <w:t xml:space="preserve">7.1 Service Level Agreements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600"/>
        <w:gridCol w:w="2360"/>
      </w:tblGrid>
      <w:tr>
        <w:tc>
          <w:tcPr>
            <w:tcW w:type="dxa" w:w="1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Event Type</w:t>
            </w:r>
          </w:p>
        </w:tc>
        <w:tc>
          <w:tcPr>
            <w:tcW w:type="dxa" w:w="20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SLA Target</w:t>
            </w:r>
          </w:p>
        </w:tc>
        <w:tc>
          <w:tcPr>
            <w:tcW w:type="dxa" w:w="16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7"/>
                <w:szCs w:val="17"/>
              </w:rPr>
              <w:t xml:space="preserve">YTD Events</w:t>
            </w:r>
          </w:p>
        </w:tc>
        <w:tc>
          <w:tcPr>
            <w:tcW w:type="dxa" w:w="16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7"/>
                <w:szCs w:val="17"/>
              </w:rPr>
              <w:t xml:space="preserve">SLA Met</w:t>
            </w:r>
          </w:p>
        </w:tc>
        <w:tc>
          <w:tcPr>
            <w:tcW w:type="dxa" w:w="23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Owner</w:t>
            </w:r>
          </w:p>
        </w:tc>
      </w:tr>
      <w:tr>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Joiner — Account Provisioning</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 24 hours from start date</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4</w:t>
            </w:r>
          </w:p>
        </w:tc>
        <w:tc>
          <w:tcPr>
            <w:tcW w:type="dxa" w:w="1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4 / 4 (100%)</w:t>
            </w:r>
          </w:p>
        </w:tc>
        <w:tc>
          <w:tcPr>
            <w:tcW w:type="dxa" w:w="23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 + HR Manager</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Mover — Role/Access Update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 48 hours from change event</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2</w:t>
            </w:r>
          </w:p>
        </w:tc>
        <w:tc>
          <w:tcPr>
            <w:tcW w:type="dxa" w:w="1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2 / 2 (100%)</w:t>
            </w:r>
          </w:p>
        </w:tc>
        <w:tc>
          <w:tcPr>
            <w:tcW w:type="dxa" w:w="2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r>
      <w:tr>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Leaver — Account Disable</w:t>
            </w:r>
          </w:p>
        </w:tc>
        <w:tc>
          <w:tcPr>
            <w:tcW w:type="dxa" w:w="2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 4 hours from termination</w:t>
            </w:r>
          </w:p>
        </w:tc>
        <w:tc>
          <w:tcPr>
            <w:tcW w:type="dxa" w:w="16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1</w:t>
            </w:r>
          </w:p>
        </w:tc>
        <w:tc>
          <w:tcPr>
            <w:tcW w:type="dxa" w:w="1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1 / 1 (100%)</w:t>
            </w:r>
          </w:p>
        </w:tc>
        <w:tc>
          <w:tcPr>
            <w:tcW w:type="dxa" w:w="23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 (emergency: CISO)</w:t>
            </w:r>
          </w:p>
        </w:tc>
      </w:tr>
      <w:tr>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Leaver — Full Removal &amp; Archive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 30 days from disable</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color w:val="000000"/>
                <w:sz w:val="16"/>
                <w:szCs w:val="16"/>
              </w:rPr>
              <w:t xml:space="preserve">1</w:t>
            </w:r>
          </w:p>
        </w:tc>
        <w:tc>
          <w:tcPr>
            <w:tcW w:type="dxa" w:w="1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75623"/>
                <w:sz w:val="16"/>
                <w:szCs w:val="16"/>
              </w:rPr>
              <w:t xml:space="preserve">1 / 1 (100%)</w:t>
            </w:r>
          </w:p>
        </w:tc>
        <w:tc>
          <w:tcPr>
            <w:tcW w:type="dxa" w:w="23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r>
    </w:tbl>
    <w:p>
      <w:pPr>
        <w:spacing w:after="80" w:before="60"/>
        <w:jc w:val="left"/>
      </w:pPr>
      <w:r>
        <w:rPr>
          <w:rFonts w:ascii="Calibri" w:cs="Calibri" w:eastAsia="Calibri" w:hAnsi="Calibri"/>
          <w:b w:val="false"/>
          <w:bCs w:val="false"/>
          <w:i w:val="false"/>
          <w:iCs w:val="false"/>
          <w:color w:val="000000"/>
          <w:sz w:val="20"/>
          <w:szCs w:val="20"/>
        </w:rPr>
        <w:t xml:space="preserve"/>
      </w:r>
    </w:p>
    <w:p>
      <w:pPr>
        <w:pStyle w:val="Heading2"/>
        <w:spacing w:after="80" w:before="240"/>
      </w:pPr>
      <w:r>
        <w:rPr>
          <w:rFonts w:ascii="Calibri" w:cs="Calibri" w:eastAsia="Calibri" w:hAnsi="Calibri"/>
          <w:b/>
          <w:bCs/>
          <w:i w:val="false"/>
          <w:iCs w:val="false"/>
          <w:color w:val="2E75B6"/>
          <w:sz w:val="22"/>
          <w:szCs w:val="22"/>
        </w:rPr>
        <w:t xml:space="preserve">7.2 Joiner Process</w:t>
      </w:r>
    </w:p>
    <w:p>
      <w:pPr>
        <w:spacing w:after="100" w:before="80"/>
        <w:jc w:val="left"/>
      </w:pPr>
      <w:r>
        <w:rPr>
          <w:rFonts w:ascii="Calibri" w:cs="Calibri" w:eastAsia="Calibri" w:hAnsi="Calibri"/>
          <w:b w:val="false"/>
          <w:bCs w:val="false"/>
          <w:i w:val="false"/>
          <w:iCs w:val="false"/>
          <w:color w:val="000000"/>
          <w:sz w:val="20"/>
          <w:szCs w:val="20"/>
        </w:rPr>
        <w:t xml:space="preserve">When a new employee joins Meridian Health Group, the following steps are executed:</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HR submits a completed New Hire Identity Request form (minimum 3 business days before start date) specifying: display name, UPN, department, job title, manager, and required group memberships.</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IT Admin creates the Entra ID account and assigns to appropriate Security Groups based on department. No direct role assignments are made — all access is group-inherited.</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Initial temporary password is communicated to the employee via secure channel (encrypted email or in-person). SSPR must be configured at first login.</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MFA registration is required within the first business day. A 14-day registration deadline is enforced via Conditional Access challenge.</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The Joiner event is documented in the JML Workflow Tracker (RBAC Matrix, JML Workflow tab) with ticket reference, provisioning date, and completion status.</w:t>
      </w:r>
    </w:p>
    <w:p>
      <w:pPr>
        <w:pStyle w:val="Heading2"/>
        <w:spacing w:after="80" w:before="240"/>
      </w:pPr>
      <w:r>
        <w:rPr>
          <w:rFonts w:ascii="Calibri" w:cs="Calibri" w:eastAsia="Calibri" w:hAnsi="Calibri"/>
          <w:b/>
          <w:bCs/>
          <w:i w:val="false"/>
          <w:iCs w:val="false"/>
          <w:color w:val="2E75B6"/>
          <w:sz w:val="22"/>
          <w:szCs w:val="22"/>
        </w:rPr>
        <w:t xml:space="preserve">7.3 Mover Process</w:t>
      </w:r>
    </w:p>
    <w:p>
      <w:pPr>
        <w:spacing w:after="100" w:before="80"/>
        <w:jc w:val="left"/>
      </w:pPr>
      <w:r>
        <w:rPr>
          <w:rFonts w:ascii="Calibri" w:cs="Calibri" w:eastAsia="Calibri" w:hAnsi="Calibri"/>
          <w:b w:val="false"/>
          <w:bCs w:val="false"/>
          <w:i w:val="false"/>
          <w:iCs w:val="false"/>
          <w:color w:val="000000"/>
          <w:sz w:val="20"/>
          <w:szCs w:val="20"/>
        </w:rPr>
        <w:t xml:space="preserve">When an employee changes roles, departments, or responsibilities:</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The manager submits an Access Change Request via IT ticketing system, specifying current and new role, and any access additions or removals required.</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IT Admin reviews current role assignments and removes any access no longer justified by the new job function (least privilege enforcement — no access accumulation).</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New group memberships are assigned reflecting the updated role. SharePoint permissions update automatically via group-based access.</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The Mover event is documented with the old and new access profile in the JML Workflow Tracker.</w:t>
      </w:r>
    </w:p>
    <w:p>
      <w:pPr>
        <w:pStyle w:val="Heading2"/>
        <w:spacing w:after="80" w:before="240"/>
      </w:pPr>
      <w:r>
        <w:rPr>
          <w:rFonts w:ascii="Calibri" w:cs="Calibri" w:eastAsia="Calibri" w:hAnsi="Calibri"/>
          <w:b/>
          <w:bCs/>
          <w:i w:val="false"/>
          <w:iCs w:val="false"/>
          <w:color w:val="2E75B6"/>
          <w:sz w:val="22"/>
          <w:szCs w:val="22"/>
        </w:rPr>
        <w:t xml:space="preserve">7.4 Leaver Process</w:t>
      </w:r>
    </w:p>
    <w:p>
      <w:pPr>
        <w:spacing w:after="100" w:before="80"/>
        <w:jc w:val="left"/>
      </w:pPr>
      <w:r>
        <w:rPr>
          <w:rFonts w:ascii="Calibri" w:cs="Calibri" w:eastAsia="Calibri" w:hAnsi="Calibri"/>
          <w:b w:val="false"/>
          <w:bCs w:val="false"/>
          <w:i w:val="false"/>
          <w:iCs w:val="false"/>
          <w:color w:val="000000"/>
          <w:sz w:val="20"/>
          <w:szCs w:val="20"/>
        </w:rPr>
        <w:t xml:space="preserve">When an employee is terminated or departs (voluntary or involuntary):</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HR notifies IT Admin of the termination with the exact departure date and time.</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Account is disabled immediately (≤ 4 hours) — the account is not deleted to preserve audit log continuity. All active sessions are revoked.</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Email forwarding is configured per manager direction. OneDrive data is transferred to the manager within 14 days before account deletion.</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All group memberships and role assignments are removed. The account is moved to a Disabled Accounts OU.</w:t>
      </w:r>
    </w:p>
    <w:p>
      <w:pPr>
        <w:pStyle w:val="ListParagraph"/>
        <w:numPr>
          <w:ilvl w:val="0"/>
          <w:numId w:val="3"/>
        </w:numPr>
        <w:spacing w:after="40" w:before="40"/>
      </w:pPr>
      <w:r>
        <w:rPr>
          <w:rFonts w:ascii="Calibri" w:cs="Calibri" w:eastAsia="Calibri" w:hAnsi="Calibri"/>
          <w:b w:val="false"/>
          <w:bCs w:val="false"/>
          <w:i w:val="false"/>
          <w:iCs w:val="false"/>
          <w:color w:val="000000"/>
          <w:sz w:val="20"/>
          <w:szCs w:val="20"/>
        </w:rPr>
        <w:t xml:space="preserve">Full account deletion occurs after 30 days. Audit logs are retained per Compliance Center retention policies (minimum 1 year).</w:t>
      </w:r>
    </w:p>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8. Access Reviews</w:t>
      </w:r>
    </w:p>
    <w:p>
      <w:pPr>
        <w:spacing w:after="100" w:before="80"/>
        <w:jc w:val="left"/>
      </w:pPr>
      <w:r>
        <w:rPr>
          <w:rFonts w:ascii="Calibri" w:cs="Calibri" w:eastAsia="Calibri" w:hAnsi="Calibri"/>
          <w:b w:val="false"/>
          <w:bCs w:val="false"/>
          <w:i w:val="false"/>
          <w:iCs w:val="false"/>
          <w:color w:val="000000"/>
          <w:sz w:val="20"/>
          <w:szCs w:val="20"/>
        </w:rPr>
        <w:t xml:space="preserve">Quarterly access reviews are a foundational control for HIPAA §164.308(a)(3) and CIS Control 6.5. The review process ensures that all role assignments and group memberships remain appropriate, aligned with current job functions, and consistent with the principle of least privilege.</w:t>
      </w:r>
    </w:p>
    <w:p>
      <w:pPr>
        <w:pStyle w:val="Heading2"/>
        <w:spacing w:after="80" w:before="240"/>
      </w:pPr>
      <w:r>
        <w:rPr>
          <w:rFonts w:ascii="Calibri" w:cs="Calibri" w:eastAsia="Calibri" w:hAnsi="Calibri"/>
          <w:b/>
          <w:bCs/>
          <w:i w:val="false"/>
          <w:iCs w:val="false"/>
          <w:color w:val="2E75B6"/>
          <w:sz w:val="22"/>
          <w:szCs w:val="22"/>
        </w:rPr>
        <w:t xml:space="preserve">8.1 Review Cadence &amp; Scope</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Frequency: Quarterly (March, June, September, December)</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Scope: All Entra ID role assignments, all Security Group memberships, all guest/B2B accounts, all service accounts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Method: Manual review using Access Review Log (RBAC Matrix, Access Review Log tab) — automated reviews require Entra ID P2 (Access Reviews feature)</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Outcome Decisions: Certified (no change), Revise (access modified), Revoked (access removed)</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Documentation: All decisions recorded with reviewer name, date, decision, and rationale</w:t>
      </w:r>
    </w:p>
    <w:p>
      <w:pPr>
        <w:pStyle w:val="Heading2"/>
        <w:spacing w:after="80" w:before="240"/>
      </w:pPr>
      <w:r>
        <w:rPr>
          <w:rFonts w:ascii="Calibri" w:cs="Calibri" w:eastAsia="Calibri" w:hAnsi="Calibri"/>
          <w:b/>
          <w:bCs/>
          <w:i w:val="false"/>
          <w:iCs w:val="false"/>
          <w:color w:val="2E75B6"/>
          <w:sz w:val="22"/>
          <w:szCs w:val="22"/>
        </w:rPr>
        <w:t xml:space="preserve">8.2 Q1 &amp; Q2 2026 Review Outcomes</w:t>
      </w:r>
    </w:p>
    <w:p>
      <w:pPr>
        <w:spacing w:after="100" w:before="80"/>
        <w:jc w:val="left"/>
      </w:pPr>
      <w:r>
        <w:rPr>
          <w:rFonts w:ascii="Calibri" w:cs="Calibri" w:eastAsia="Calibri" w:hAnsi="Calibri"/>
          <w:b w:val="false"/>
          <w:bCs w:val="false"/>
          <w:i w:val="false"/>
          <w:iCs w:val="false"/>
          <w:color w:val="000000"/>
          <w:sz w:val="20"/>
          <w:szCs w:val="20"/>
        </w:rPr>
        <w:t xml:space="preserve">Two complete quarterly review cycles have been executed since the IAM lab deployment. Key findings and outcomes: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Q1 2026 — 10 accounts reviewed. 9 Certified, 1 Revised: EXT-ClearPath (vendor) access scope reduced from 2 SharePoint site collections to 1 following discovery of unnecessary access (INC-0118).</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Q2 2026 — 12 accounts reviewed (added new accounts). All 12 Certified. PIM roadmap noted for Global Admin role in reviewer comments.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100% SLA compliance across both review cycles — all reviews completed within the scheduled review window.</w:t>
      </w:r>
    </w:p>
    <w:p>
      <w:pPr>
        <w:pStyle w:val="Heading2"/>
        <w:spacing w:after="80" w:before="240"/>
      </w:pPr>
      <w:r>
        <w:rPr>
          <w:rFonts w:ascii="Calibri" w:cs="Calibri" w:eastAsia="Calibri" w:hAnsi="Calibri"/>
          <w:b/>
          <w:bCs/>
          <w:i w:val="false"/>
          <w:iCs w:val="false"/>
          <w:color w:val="2E75B6"/>
          <w:sz w:val="22"/>
          <w:szCs w:val="22"/>
        </w:rPr>
        <w:t xml:space="preserve">8.3 Automated Review Roadmap (Entra ID P2)</w:t>
      </w:r>
    </w:p>
    <w:p>
      <w:pPr>
        <w:spacing w:after="100" w:before="80"/>
        <w:jc w:val="left"/>
      </w:pPr>
      <w:r>
        <w:rPr>
          <w:rFonts w:ascii="Calibri" w:cs="Calibri" w:eastAsia="Calibri" w:hAnsi="Calibri"/>
          <w:b w:val="false"/>
          <w:bCs w:val="false"/>
          <w:i w:val="false"/>
          <w:iCs w:val="false"/>
          <w:color w:val="000000"/>
          <w:sz w:val="20"/>
          <w:szCs w:val="20"/>
        </w:rPr>
        <w:t xml:space="preserve">When Entra ID P2 is activated, the manual review process will be replaced with Microsoft Entra ID Access Reviews, which provides: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Automated review campaigns triggered quarterly for specific groups and roles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Self-attestation workflows where users certify their own access needs</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Manager-driven reviews with automated access removal for non-responses (deny by default)</w:t>
      </w:r>
    </w:p>
    <w:p>
      <w:pPr>
        <w:pStyle w:val="ListParagraph"/>
        <w:numPr>
          <w:ilvl w:val="0"/>
          <w:numId w:val="2"/>
        </w:numPr>
        <w:spacing w:after="40" w:before="40"/>
      </w:pPr>
      <w:r>
        <w:rPr>
          <w:rFonts w:ascii="Calibri" w:cs="Calibri" w:eastAsia="Calibri" w:hAnsi="Calibri"/>
          <w:b w:val="false"/>
          <w:bCs w:val="false"/>
          <w:i w:val="false"/>
          <w:iCs w:val="false"/>
          <w:color w:val="000000"/>
          <w:sz w:val="20"/>
          <w:szCs w:val="20"/>
        </w:rPr>
        <w:t xml:space="preserve">Integration with PIM for just-in-time review of privileged role activations</w:t>
      </w:r>
    </w:p>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9. Risk Findings &amp; Security Posture Assessment</w:t>
      </w:r>
    </w:p>
    <w:p>
      <w:pPr>
        <w:spacing w:after="100" w:before="80"/>
        <w:jc w:val="left"/>
      </w:pPr>
      <w:r>
        <w:rPr>
          <w:rFonts w:ascii="Calibri" w:cs="Calibri" w:eastAsia="Calibri" w:hAnsi="Calibri"/>
          <w:b w:val="false"/>
          <w:bCs w:val="false"/>
          <w:i w:val="false"/>
          <w:iCs w:val="false"/>
          <w:color w:val="000000"/>
          <w:sz w:val="20"/>
          <w:szCs w:val="20"/>
        </w:rPr>
        <w:t xml:space="preserve">The following security findings were identified during the IAM lab implementation and review. Each finding is categorized by severity (Critical / High / Medium / Low / Informational), mapped to relevant regulatory frameworks, and assigned a remediation recommendation.</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1800"/>
        <w:gridCol w:w="1760"/>
        <w:gridCol w:w="2300"/>
      </w:tblGrid>
      <w:tr>
        <w:tc>
          <w:tcPr>
            <w:tcW w:type="dxa" w:w="5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ID</w:t>
            </w:r>
          </w:p>
        </w:tc>
        <w:tc>
          <w:tcPr>
            <w:tcW w:type="dxa" w:w="22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Finding</w:t>
            </w:r>
          </w:p>
        </w:tc>
        <w:tc>
          <w:tcPr>
            <w:tcW w:type="dxa" w:w="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Severity</w:t>
            </w:r>
          </w:p>
        </w:tc>
        <w:tc>
          <w:tcPr>
            <w:tcW w:type="dxa" w:w="1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HIPAA / NIST Reference</w:t>
            </w:r>
          </w:p>
        </w:tc>
        <w:tc>
          <w:tcPr>
            <w:tcW w:type="dxa" w:w="17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Current State</w:t>
            </w:r>
          </w:p>
        </w:tc>
        <w:tc>
          <w:tcPr>
            <w:tcW w:type="dxa" w:w="23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Recommendation</w:t>
            </w:r>
          </w:p>
        </w:tc>
      </w:tr>
      <w:tr>
        <w:tc>
          <w:tcPr>
            <w:tcW w:type="dxa" w:w="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F-001</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Global Administrator assigned as permanent — not time-limited</w:t>
            </w:r>
          </w:p>
        </w:tc>
        <w:tc>
          <w:tcPr>
            <w:tcW w:type="dxa" w:w="800"/>
            <w:tcBorders>
              <w:top w:val="single" w:color="B8CCE4" w:sz="4"/>
              <w:left w:val="single" w:color="B8CCE4" w:sz="4"/>
              <w:bottom w:val="single" w:color="B8CCE4" w:sz="4"/>
              <w:right w:val="single" w:color="B8CCE4" w:sz="4"/>
            </w:tcBorders>
            <w:shd w:fill="C00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HIGH</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800-53 AC-6; HIPAA §164.308(a)(3)</w:t>
            </w:r>
          </w:p>
        </w:tc>
        <w:tc>
          <w:tcPr>
            <w:tcW w:type="dxa" w:w="1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 permanent Global Admin (m.chen). No PIM activation.</w:t>
            </w:r>
          </w:p>
        </w:tc>
        <w:tc>
          <w:tcPr>
            <w:tcW w:type="dxa" w:w="2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Implement Privileged Identity Management (PIM) — requires P2 license. Target Q3 2026.</w:t>
            </w:r>
          </w:p>
        </w:tc>
      </w:tr>
      <w:tr>
        <w:tc>
          <w:tcPr>
            <w:tcW w:type="dxa" w:w="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F-002</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Conditional Access policy CA-003 in Report-Only mode</w:t>
            </w:r>
          </w:p>
        </w:tc>
        <w:tc>
          <w:tcPr>
            <w:tcW w:type="dxa" w:w="80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SP 800-207 §3.3; CIS Control 6.5</w:t>
            </w:r>
          </w:p>
        </w:tc>
        <w:tc>
          <w:tcPr>
            <w:tcW w:type="dxa" w:w="1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Compliant device policy is not enforced — report-only pending device enrollment.</w:t>
            </w:r>
          </w:p>
        </w:tc>
        <w:tc>
          <w:tcPr>
            <w:tcW w:type="dxa" w:w="2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Complete Intune enrollment for all privileged users. Enable policy enforcement Q3 2026.</w:t>
            </w:r>
          </w:p>
        </w:tc>
      </w:tr>
      <w:tr>
        <w:tc>
          <w:tcPr>
            <w:tcW w:type="dxa" w:w="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F-003</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Risk-based Conditional Access (CA-005) not yet active</w:t>
            </w:r>
          </w:p>
        </w:tc>
        <w:tc>
          <w:tcPr>
            <w:tcW w:type="dxa" w:w="80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800-53 SI-4; HIPAA §164.308(a)(1)</w:t>
            </w:r>
          </w:p>
        </w:tc>
        <w:tc>
          <w:tcPr>
            <w:tcW w:type="dxa" w:w="1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CA-005 requires Entra ID P2 license (Identity Protection). Not currently licensed.</w:t>
            </w:r>
          </w:p>
        </w:tc>
        <w:tc>
          <w:tcPr>
            <w:tcW w:type="dxa" w:w="2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Include P2 licensing in FY2027 IT budget. Document as accepted risk in interim period.</w:t>
            </w:r>
          </w:p>
        </w:tc>
      </w:tr>
      <w:tr>
        <w:tc>
          <w:tcPr>
            <w:tcW w:type="dxa" w:w="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F-004</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External vendor (EXT-ClearPath) previously had access to 2 SharePoint sites</w:t>
            </w:r>
          </w:p>
        </w:tc>
        <w:tc>
          <w:tcPr>
            <w:tcW w:type="dxa" w:w="80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MEDIUM</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HIPAA §164.314(a)(1) — Business Associate; CIS Control 6.7</w:t>
            </w:r>
          </w:p>
        </w:tc>
        <w:tc>
          <w:tcPr>
            <w:tcW w:type="dxa" w:w="1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Remediated in Q1 2026 Access Review (INC-0118). Scoped to 1 site.</w:t>
            </w:r>
          </w:p>
        </w:tc>
        <w:tc>
          <w:tcPr>
            <w:tcW w:type="dxa" w:w="2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Formalize vendor access scoping in Business Associate Agreement. Quarterly re-validation.</w:t>
            </w:r>
          </w:p>
        </w:tc>
      </w:tr>
      <w:tr>
        <w:tc>
          <w:tcPr>
            <w:tcW w:type="dxa" w:w="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F-005</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No Single Sign-On (SSO) federation for on-prem applications</w:t>
            </w:r>
          </w:p>
        </w:tc>
        <w:tc>
          <w:tcPr>
            <w:tcW w:type="dxa" w:w="800"/>
            <w:tcBorders>
              <w:top w:val="single" w:color="B8CCE4" w:sz="4"/>
              <w:left w:val="single" w:color="B8CCE4" w:sz="4"/>
              <w:bottom w:val="single" w:color="B8CCE4" w:sz="4"/>
              <w:right w:val="single" w:color="B8CCE4" w:sz="4"/>
            </w:tcBorders>
            <w:shd w:fill="70AD47"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LOW</w:t>
            </w:r>
          </w:p>
        </w:tc>
        <w:tc>
          <w:tcPr>
            <w:tcW w:type="dxa" w:w="1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SP 800-207 §2; CIS Control 6.3</w:t>
            </w:r>
          </w:p>
        </w:tc>
        <w:tc>
          <w:tcPr>
            <w:tcW w:type="dxa" w:w="1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ID covers cloud apps only. On-prem applications use separate credential stores.</w:t>
            </w:r>
          </w:p>
        </w:tc>
        <w:tc>
          <w:tcPr>
            <w:tcW w:type="dxa" w:w="23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Evaluate Entra ID Connect (Hybrid Identity) or SAML federation for on-prem apps in FY2027.</w:t>
            </w:r>
          </w:p>
        </w:tc>
      </w:tr>
      <w:tr>
        <w:tc>
          <w:tcPr>
            <w:tcW w:type="dxa" w:w="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F-006</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enrollment confirmed for all users — Security Defaults active</w:t>
            </w:r>
          </w:p>
        </w:tc>
        <w:tc>
          <w:tcPr>
            <w:tcW w:type="dxa" w:w="80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6"/>
                <w:szCs w:val="16"/>
              </w:rPr>
              <w:t xml:space="preserve">INFO</w:t>
            </w:r>
          </w:p>
        </w:tc>
        <w:tc>
          <w:tcPr>
            <w:tcW w:type="dxa" w:w="1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HIPAA §164.312(d); NIST 800-63B AAL2</w:t>
            </w:r>
          </w:p>
        </w:tc>
        <w:tc>
          <w:tcPr>
            <w:tcW w:type="dxa" w:w="1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All 8 member accounts enrolled. Security Defaults enabled as baseline MFA enforcement.</w:t>
            </w:r>
          </w:p>
        </w:tc>
        <w:tc>
          <w:tcPr>
            <w:tcW w:type="dxa" w:w="23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Transition from Security Defaults to Conditional Access-based MFA when P1 is activated.</w:t>
            </w:r>
          </w:p>
        </w:tc>
      </w:tr>
    </w:tbl>
    <w:p>
      <w:pPr>
        <w:spacing w:after="80" w:before="60"/>
        <w:jc w:val="left"/>
      </w:pPr>
      <w:r>
        <w:rPr>
          <w:rFonts w:ascii="Calibri" w:cs="Calibri" w:eastAsia="Calibri" w:hAnsi="Calibri"/>
          <w:b w:val="false"/>
          <w:bCs w:val="false"/>
          <w:i w:val="false"/>
          <w:iCs w:val="false"/>
          <w:color w:val="000000"/>
          <w:sz w:val="20"/>
          <w:szCs w:val="20"/>
        </w:rPr>
        <w:t xml:space="preserve"/>
      </w:r>
    </w:p>
    <w:p>
      <w:pPr>
        <w:pStyle w:val="Heading2"/>
        <w:spacing w:after="80" w:before="240"/>
      </w:pPr>
      <w:r>
        <w:rPr>
          <w:rFonts w:ascii="Calibri" w:cs="Calibri" w:eastAsia="Calibri" w:hAnsi="Calibri"/>
          <w:b/>
          <w:bCs/>
          <w:i w:val="false"/>
          <w:iCs w:val="false"/>
          <w:color w:val="2E75B6"/>
          <w:sz w:val="22"/>
          <w:szCs w:val="22"/>
        </w:rPr>
        <w:t xml:space="preserve">9.1 Overall Security Posture</w:t>
      </w:r>
    </w:p>
    <w:p>
      <w:pPr>
        <w:spacing w:after="100" w:before="80"/>
        <w:jc w:val="left"/>
      </w:pPr>
      <w:r>
        <w:rPr>
          <w:rFonts w:ascii="Calibri" w:cs="Calibri" w:eastAsia="Calibri" w:hAnsi="Calibri"/>
          <w:b w:val="false"/>
          <w:bCs w:val="false"/>
          <w:i w:val="false"/>
          <w:iCs w:val="false"/>
          <w:color w:val="000000"/>
          <w:sz w:val="20"/>
          <w:szCs w:val="20"/>
        </w:rPr>
        <w:t xml:space="preserve">The current security posture for Meridian Health Group's IAM environment is assessed as Foundational — Zero Trust Level 1 (Initial), based on the CISA Zero Trust Maturity Model. The implementation addresses the baseline identity controls required by HIPAA and NIST CSF. The primary gaps are in the Optimal tier — specifically PIM, Identity Protection, and automated access reviews — all of which require P2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24"/>
              <w:bottom w:val="single" w:color="1F3864" w:sz="4"/>
              <w:right w:val="single" w:color="1F3864" w:sz="4"/>
            </w:tcBorders>
            <w:shd w:fill="DEEAF1" w:val="clear"/>
            <w:tcMar>
              <w:top w:type="dxa" w:w="100"/>
              <w:left w:type="dxa" w:w="200"/>
              <w:bottom w:type="dxa" w:w="100"/>
              <w:right w:type="dxa" w:w="120"/>
            </w:tcMar>
          </w:tcPr>
          <w:p>
            <w:pPr>
              <w:spacing w:after="40" w:before="0"/>
            </w:pPr>
            <w:r>
              <w:rPr>
                <w:rFonts w:ascii="Calibri" w:cs="Calibri" w:eastAsia="Calibri" w:hAnsi="Calibri"/>
                <w:b/>
                <w:bCs/>
                <w:i w:val="false"/>
                <w:iCs w:val="false"/>
                <w:color w:val="1F3864"/>
                <w:sz w:val="18"/>
                <w:szCs w:val="18"/>
              </w:rPr>
              <w:t xml:space="preserve">Posture Summary: Zero Trust Maturity Level Assessment</w:t>
            </w:r>
          </w:p>
          <w:p>
            <w:pPr>
              <w:spacing w:after="0" w:before="0"/>
            </w:pPr>
            <w:r>
              <w:rPr>
                <w:rFonts w:ascii="Calibri" w:cs="Calibri" w:eastAsia="Calibri" w:hAnsi="Calibri"/>
                <w:b w:val="false"/>
                <w:bCs w:val="false"/>
                <w:i w:val="false"/>
                <w:iCs w:val="false"/>
                <w:color w:val="595959"/>
                <w:sz w:val="18"/>
                <w:szCs w:val="18"/>
              </w:rPr>
              <w:t xml:space="preserve">Level 1 — Traditional (baseline met): MFA enforced, basic RBAC implemented  |  Level 2 — Advanced (in progress): Conditional Access policies active, geo-restriction enabled, CA-003 in report-only  |  Level 3 — Optimal (roadmap): PIM, Identity Protection, Intune compliance enforcement, automated access reviews</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10. Recommendations &amp; Licensing Roadmap</w:t>
      </w:r>
    </w:p>
    <w:p>
      <w:pPr>
        <w:spacing w:after="100" w:before="80"/>
        <w:jc w:val="left"/>
      </w:pPr>
      <w:r>
        <w:rPr>
          <w:rFonts w:ascii="Calibri" w:cs="Calibri" w:eastAsia="Calibri" w:hAnsi="Calibri"/>
          <w:b w:val="false"/>
          <w:bCs w:val="false"/>
          <w:i w:val="false"/>
          <w:iCs w:val="false"/>
          <w:color w:val="000000"/>
          <w:sz w:val="20"/>
          <w:szCs w:val="20"/>
        </w:rPr>
        <w:t xml:space="preserve">The following prioritized recommendations represent the roadmap to achieving full Zero Trust maturity for Meridian Health Group's IAM environment. Recommendations are sequenced by priority and organized by required licensing tier.</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800"/>
        <w:gridCol w:w="900"/>
        <w:gridCol w:w="1000"/>
        <w:gridCol w:w="1460"/>
      </w:tblGrid>
      <w:tr>
        <w:tc>
          <w:tcPr>
            <w:tcW w:type="dxa" w:w="7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Priority</w:t>
            </w:r>
          </w:p>
        </w:tc>
        <w:tc>
          <w:tcPr>
            <w:tcW w:type="dxa" w:w="35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Recommendation</w:t>
            </w:r>
          </w:p>
        </w:tc>
        <w:tc>
          <w:tcPr>
            <w:tcW w:type="dxa" w:w="8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Timeline</w:t>
            </w:r>
          </w:p>
        </w:tc>
        <w:tc>
          <w:tcPr>
            <w:tcW w:type="dxa" w:w="9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License Req.</w:t>
            </w:r>
          </w:p>
        </w:tc>
        <w:tc>
          <w:tcPr>
            <w:tcW w:type="dxa" w:w="10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Owner</w:t>
            </w:r>
          </w:p>
        </w:tc>
        <w:tc>
          <w:tcPr>
            <w:tcW w:type="dxa" w:w="14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Cost Impact</w:t>
            </w:r>
          </w:p>
        </w:tc>
      </w:tr>
      <w:tr>
        <w:tc>
          <w:tcPr>
            <w:tcW w:type="dxa" w:w="700"/>
            <w:tcBorders>
              <w:top w:val="single" w:color="B8CCE4" w:sz="4"/>
              <w:left w:val="single" w:color="B8CCE4" w:sz="4"/>
              <w:bottom w:val="single" w:color="B8CCE4" w:sz="4"/>
              <w:right w:val="single" w:color="B8CCE4" w:sz="4"/>
            </w:tcBorders>
            <w:shd w:fill="7030A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P1 — CRITICAL</w:t>
            </w:r>
          </w:p>
        </w:tc>
        <w:tc>
          <w:tcPr>
            <w:tcW w:type="dxa" w:w="3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Activate Privileged Identity Management (PIM) for Global Admin and Privileged Role Admin — eliminate permanent assignment</w:t>
            </w:r>
          </w:p>
        </w:tc>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Q3 2026</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P2</w:t>
            </w:r>
          </w:p>
        </w:tc>
        <w:tc>
          <w:tcPr>
            <w:tcW w:type="dxa" w:w="1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c>
          <w:tcPr>
            <w:tcW w:type="dxa" w:w="14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P2 License</w:t>
            </w:r>
          </w:p>
        </w:tc>
      </w:tr>
      <w:tr>
        <w:tc>
          <w:tcPr>
            <w:tcW w:type="dxa" w:w="700"/>
            <w:tcBorders>
              <w:top w:val="single" w:color="B8CCE4" w:sz="4"/>
              <w:left w:val="single" w:color="B8CCE4" w:sz="4"/>
              <w:bottom w:val="single" w:color="B8CCE4" w:sz="4"/>
              <w:right w:val="single" w:color="B8CCE4" w:sz="4"/>
            </w:tcBorders>
            <w:shd w:fill="C00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P1 — HIGH</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Complete Intune device enrollment for SG-ITAdmins, SG-SecurityOps, SG-Executives — enable CA-003 enforcement</w:t>
            </w:r>
          </w:p>
        </w:tc>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Q3 2026</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Intune Plan 1</w:t>
            </w:r>
          </w:p>
        </w:tc>
        <w:tc>
          <w:tcPr>
            <w:tcW w:type="dxa" w:w="1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c>
          <w:tcPr>
            <w:tcW w:type="dxa" w:w="14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Intune License</w:t>
            </w:r>
          </w:p>
        </w:tc>
      </w:tr>
      <w:tr>
        <w:tc>
          <w:tcPr>
            <w:tcW w:type="dxa" w:w="700"/>
            <w:tcBorders>
              <w:top w:val="single" w:color="B8CCE4" w:sz="4"/>
              <w:left w:val="single" w:color="B8CCE4" w:sz="4"/>
              <w:bottom w:val="single" w:color="B8CCE4" w:sz="4"/>
              <w:right w:val="single" w:color="B8CCE4" w:sz="4"/>
            </w:tcBorders>
            <w:shd w:fill="ED7D31"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P2 — HIGH</w:t>
            </w:r>
          </w:p>
        </w:tc>
        <w:tc>
          <w:tcPr>
            <w:tcW w:type="dxa" w:w="3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Activate Identity Protection (CA-005) — risk-based Conditional Access for all users</w:t>
            </w:r>
          </w:p>
        </w:tc>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Q4 2026</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P2</w:t>
            </w:r>
          </w:p>
        </w:tc>
        <w:tc>
          <w:tcPr>
            <w:tcW w:type="dxa" w:w="1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SecOps</w:t>
            </w:r>
          </w:p>
        </w:tc>
        <w:tc>
          <w:tcPr>
            <w:tcW w:type="dxa" w:w="14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P2 License</w:t>
            </w:r>
          </w:p>
        </w:tc>
      </w:tr>
      <w:tr>
        <w:tc>
          <w:tcPr>
            <w:tcW w:type="dxa" w:w="700"/>
            <w:tcBorders>
              <w:top w:val="single" w:color="B8CCE4" w:sz="4"/>
              <w:left w:val="single" w:color="B8CCE4" w:sz="4"/>
              <w:bottom w:val="single" w:color="B8CCE4" w:sz="4"/>
              <w:right w:val="single" w:color="B8CCE4" w:sz="4"/>
            </w:tcBorders>
            <w:shd w:fill="FFC00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3D2C00"/>
                <w:sz w:val="14"/>
                <w:szCs w:val="14"/>
              </w:rPr>
              <w:t xml:space="preserve">P2 — MEDIUM</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Transition from Security Defaults to named Conditional Access policies when P1 is acquired</w:t>
            </w:r>
          </w:p>
        </w:tc>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Q3 2026</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P1</w:t>
            </w:r>
          </w:p>
        </w:tc>
        <w:tc>
          <w:tcPr>
            <w:tcW w:type="dxa" w:w="1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c>
          <w:tcPr>
            <w:tcW w:type="dxa" w:w="14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P1 License</w:t>
            </w:r>
          </w:p>
        </w:tc>
      </w:tr>
      <w:tr>
        <w:tc>
          <w:tcPr>
            <w:tcW w:type="dxa" w:w="70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P3 — MEDIUM</w:t>
            </w:r>
          </w:p>
        </w:tc>
        <w:tc>
          <w:tcPr>
            <w:tcW w:type="dxa" w:w="3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Implement Entra ID Connect for hybrid identity (on-prem AD synchronization)</w:t>
            </w:r>
          </w:p>
        </w:tc>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FY2027</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P1 + Server</w:t>
            </w:r>
          </w:p>
        </w:tc>
        <w:tc>
          <w:tcPr>
            <w:tcW w:type="dxa" w:w="1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c>
          <w:tcPr>
            <w:tcW w:type="dxa" w:w="14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Infrastructure</w:t>
            </w:r>
          </w:p>
        </w:tc>
      </w:tr>
      <w:tr>
        <w:tc>
          <w:tcPr>
            <w:tcW w:type="dxa" w:w="700"/>
            <w:tcBorders>
              <w:top w:val="single" w:color="B8CCE4" w:sz="4"/>
              <w:left w:val="single" w:color="B8CCE4" w:sz="4"/>
              <w:bottom w:val="single" w:color="B8CCE4" w:sz="4"/>
              <w:right w:val="single" w:color="B8CCE4" w:sz="4"/>
            </w:tcBorders>
            <w:shd w:fill="2E75B6"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P3 — MEDIUM</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Formalize Business Associate Agreements for all vendor accounts (B2B guests)</w:t>
            </w:r>
          </w:p>
        </w:tc>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Q3 2026</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None</w:t>
            </w:r>
          </w:p>
        </w:tc>
        <w:tc>
          <w:tcPr>
            <w:tcW w:type="dxa" w:w="1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Compliance</w:t>
            </w:r>
          </w:p>
        </w:tc>
        <w:tc>
          <w:tcPr>
            <w:tcW w:type="dxa" w:w="14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Legal Counsel</w:t>
            </w:r>
          </w:p>
        </w:tc>
      </w:tr>
      <w:tr>
        <w:tc>
          <w:tcPr>
            <w:tcW w:type="dxa" w:w="700"/>
            <w:tcBorders>
              <w:top w:val="single" w:color="B8CCE4" w:sz="4"/>
              <w:left w:val="single" w:color="B8CCE4" w:sz="4"/>
              <w:bottom w:val="single" w:color="B8CCE4" w:sz="4"/>
              <w:right w:val="single" w:color="B8CCE4" w:sz="4"/>
            </w:tcBorders>
            <w:shd w:fill="59595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P4 — LOW</w:t>
            </w:r>
          </w:p>
        </w:tc>
        <w:tc>
          <w:tcPr>
            <w:tcW w:type="dxa" w:w="3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Evaluate Microsoft Sentinel integration for unified SIEM with Entra ID sign-in alerts</w:t>
            </w:r>
          </w:p>
        </w:tc>
        <w:tc>
          <w:tcPr>
            <w:tcW w:type="dxa" w:w="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FY2027</w:t>
            </w:r>
          </w:p>
        </w:tc>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Sentinel</w:t>
            </w:r>
          </w:p>
        </w:tc>
        <w:tc>
          <w:tcPr>
            <w:tcW w:type="dxa" w:w="10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SecOps</w:t>
            </w:r>
          </w:p>
        </w:tc>
        <w:tc>
          <w:tcPr>
            <w:tcW w:type="dxa" w:w="14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SIEM License</w:t>
            </w:r>
          </w:p>
        </w:tc>
      </w:tr>
      <w:tr>
        <w:tc>
          <w:tcPr>
            <w:tcW w:type="dxa" w:w="700"/>
            <w:tcBorders>
              <w:top w:val="single" w:color="B8CCE4" w:sz="4"/>
              <w:left w:val="single" w:color="B8CCE4" w:sz="4"/>
              <w:bottom w:val="single" w:color="B8CCE4" w:sz="4"/>
              <w:right w:val="single" w:color="B8CCE4" w:sz="4"/>
            </w:tcBorders>
            <w:shd w:fill="595959"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color w:val="FFFFFF"/>
                <w:sz w:val="14"/>
                <w:szCs w:val="14"/>
              </w:rPr>
              <w:t xml:space="preserve">P4 — LOW</w:t>
            </w:r>
          </w:p>
        </w:tc>
        <w:tc>
          <w:tcPr>
            <w:tcW w:type="dxa" w:w="3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Deploy Entra ID Access Packages for automated access request and approval workflows</w:t>
            </w:r>
          </w:p>
        </w:tc>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FY2027</w:t>
            </w:r>
          </w:p>
        </w:tc>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P2</w:t>
            </w:r>
          </w:p>
        </w:tc>
        <w:tc>
          <w:tcPr>
            <w:tcW w:type="dxa" w:w="1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IT Admin</w:t>
            </w:r>
          </w:p>
        </w:tc>
        <w:tc>
          <w:tcPr>
            <w:tcW w:type="dxa" w:w="14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P2 License</w:t>
            </w:r>
          </w:p>
        </w:tc>
      </w:tr>
    </w:tbl>
    <w:p>
      <w:pPr>
        <w:spacing w:after="80" w:before="60"/>
        <w:jc w:val="left"/>
      </w:pPr>
      <w:r>
        <w:rPr>
          <w:rFonts w:ascii="Calibri" w:cs="Calibri" w:eastAsia="Calibri" w:hAnsi="Calibri"/>
          <w:b w:val="false"/>
          <w:bCs w:val="false"/>
          <w:i w:val="false"/>
          <w:iCs w:val="false"/>
          <w:color w:val="000000"/>
          <w:sz w:val="20"/>
          <w:szCs w:val="20"/>
        </w:rPr>
        <w:t xml:space="preserve"/>
      </w:r>
    </w:p>
    <w:p>
      <w:pPr>
        <w:pStyle w:val="Heading2"/>
        <w:spacing w:after="80" w:before="240"/>
      </w:pPr>
      <w:r>
        <w:rPr>
          <w:rFonts w:ascii="Calibri" w:cs="Calibri" w:eastAsia="Calibri" w:hAnsi="Calibri"/>
          <w:b/>
          <w:bCs/>
          <w:i w:val="false"/>
          <w:iCs w:val="false"/>
          <w:color w:val="2E75B6"/>
          <w:sz w:val="22"/>
          <w:szCs w:val="22"/>
        </w:rPr>
        <w:t xml:space="preserve">10.1 Licensing Upgrade Path</w:t>
      </w:r>
    </w:p>
    <w:p>
      <w:pPr>
        <w:spacing w:after="80" w:before="80"/>
      </w:pPr>
      <w:r>
        <w:rPr>
          <w:rFonts w:ascii="Calibri" w:cs="Calibri" w:eastAsia="Calibri" w:hAnsi="Calibri"/>
          <w:b/>
          <w:bCs/>
          <w:i w:val="false"/>
          <w:iCs w:val="false"/>
          <w:color w:val="000000"/>
          <w:sz w:val="20"/>
          <w:szCs w:val="20"/>
        </w:rPr>
        <w:t xml:space="preserve">Immediate (Current — Free Tier): </w:t>
      </w:r>
      <w:r>
        <w:rPr>
          <w:rFonts w:ascii="Calibri" w:cs="Calibri" w:eastAsia="Calibri" w:hAnsi="Calibri"/>
          <w:b w:val="false"/>
          <w:bCs w:val="false"/>
          <w:i w:val="false"/>
          <w:iCs w:val="false"/>
          <w:color w:val="000000"/>
          <w:sz w:val="20"/>
          <w:szCs w:val="20"/>
        </w:rPr>
        <w:t xml:space="preserve">Security Defaults active. All 7 CA-007 and foundational policies implemented. RBAC, access reviews, JML workflow operational.</w:t>
      </w:r>
    </w:p>
    <w:p>
      <w:pPr>
        <w:spacing w:after="80" w:before="80"/>
      </w:pPr>
      <w:r>
        <w:rPr>
          <w:rFonts w:ascii="Calibri" w:cs="Calibri" w:eastAsia="Calibri" w:hAnsi="Calibri"/>
          <w:b/>
          <w:bCs/>
          <w:i w:val="false"/>
          <w:iCs w:val="false"/>
          <w:color w:val="000000"/>
          <w:sz w:val="20"/>
          <w:szCs w:val="20"/>
        </w:rPr>
        <w:t xml:space="preserve">Phase 1 — Entra ID P1 (Q3 2026): </w:t>
      </w:r>
      <w:r>
        <w:rPr>
          <w:rFonts w:ascii="Calibri" w:cs="Calibri" w:eastAsia="Calibri" w:hAnsi="Calibri"/>
          <w:b w:val="false"/>
          <w:bCs w:val="false"/>
          <w:i w:val="false"/>
          <w:iCs w:val="false"/>
          <w:color w:val="000000"/>
          <w:sz w:val="20"/>
          <w:szCs w:val="20"/>
        </w:rPr>
        <w:t xml:space="preserve">Enable named Conditional Access policies replacing Security Defaults. Activate CA-001 through CA-004 and CA-006. Enable CA-003 enforcement after Intune enrollment. Estimated cost: ~$6/user/month (included in M365 E3).</w:t>
      </w:r>
    </w:p>
    <w:p>
      <w:pPr>
        <w:spacing w:after="80" w:before="80"/>
      </w:pPr>
      <w:r>
        <w:rPr>
          <w:rFonts w:ascii="Calibri" w:cs="Calibri" w:eastAsia="Calibri" w:hAnsi="Calibri"/>
          <w:b/>
          <w:bCs/>
          <w:i w:val="false"/>
          <w:iCs w:val="false"/>
          <w:color w:val="000000"/>
          <w:sz w:val="20"/>
          <w:szCs w:val="20"/>
        </w:rPr>
        <w:t xml:space="preserve">Phase 2 — Entra ID P2 (Q4 2026 / FY2027): </w:t>
      </w:r>
      <w:r>
        <w:rPr>
          <w:rFonts w:ascii="Calibri" w:cs="Calibri" w:eastAsia="Calibri" w:hAnsi="Calibri"/>
          <w:b w:val="false"/>
          <w:bCs w:val="false"/>
          <w:i w:val="false"/>
          <w:iCs w:val="false"/>
          <w:color w:val="000000"/>
          <w:sz w:val="20"/>
          <w:szCs w:val="20"/>
        </w:rPr>
        <w:t xml:space="preserve">Activate Privileged Identity Management (PIM) for all privileged roles. Enable Identity Protection (CA-005 risk-based policies). Automate quarterly access reviews via Entra ID Access Reviews. Estimated cost: ~$9/user/month incremental from P1.</w:t>
      </w:r>
    </w:p>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11. Conclusion</w:t>
      </w:r>
    </w:p>
    <w:p>
      <w:pPr>
        <w:spacing w:after="100" w:before="80"/>
        <w:jc w:val="left"/>
      </w:pPr>
      <w:r>
        <w:rPr>
          <w:rFonts w:ascii="Calibri" w:cs="Calibri" w:eastAsia="Calibri" w:hAnsi="Calibri"/>
          <w:b w:val="false"/>
          <w:bCs w:val="false"/>
          <w:i w:val="false"/>
          <w:iCs w:val="false"/>
          <w:color w:val="000000"/>
          <w:sz w:val="20"/>
          <w:szCs w:val="20"/>
        </w:rPr>
        <w:t xml:space="preserve">This report documents the complete Zero Trust Identity and Access Management implementation for Meridian Health Group, built on Microsoft Entra ID and aligned to NIST SP 800-207, HIPAA Security Rule, and CIS Controls v8.</w:t>
      </w:r>
    </w:p>
    <w:p>
      <w:pPr>
        <w:spacing w:after="100" w:before="80"/>
        <w:jc w:val="left"/>
      </w:pPr>
      <w:r>
        <w:rPr>
          <w:rFonts w:ascii="Calibri" w:cs="Calibri" w:eastAsia="Calibri" w:hAnsi="Calibri"/>
          <w:b w:val="false"/>
          <w:bCs w:val="false"/>
          <w:i w:val="false"/>
          <w:iCs w:val="false"/>
          <w:color w:val="000000"/>
          <w:sz w:val="20"/>
          <w:szCs w:val="20"/>
        </w:rPr>
        <w:t xml:space="preserve">The implementation establishes a robust identity security foundation: 10 accounts provisioned with appropriate roles and group memberships, MFA enforced for all users via Security Defaults, Conditional Access policies covering geo-restriction, legacy authentication blocking, vendor access controls, and service account protections. A documented JML workflow with 100% SLA compliance and a completed two-cycle quarterly access review program demonstrate operational maturity in identity governance.</w:t>
      </w:r>
    </w:p>
    <w:p>
      <w:pPr>
        <w:spacing w:after="100" w:before="80"/>
        <w:jc w:val="left"/>
      </w:pPr>
      <w:r>
        <w:rPr>
          <w:rFonts w:ascii="Calibri" w:cs="Calibri" w:eastAsia="Calibri" w:hAnsi="Calibri"/>
          <w:b w:val="false"/>
          <w:bCs w:val="false"/>
          <w:i w:val="false"/>
          <w:iCs w:val="false"/>
          <w:color w:val="000000"/>
          <w:sz w:val="20"/>
          <w:szCs w:val="20"/>
        </w:rPr>
        <w:t xml:space="preserve">The primary gap in reaching full Zero Trust maturity is the Entra ID P1/P2 license requirement for Conditional Access enforcement, Privileged Identity Management, and automated access reviews. The roadmap outlined in Section 10 provides a clear, phased path to achieving Zero Trust Level 3 (Optimal) maturity within FY2027.</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24"/>
              <w:bottom w:val="single" w:color="C9A84C" w:sz="4"/>
              <w:right w:val="single" w:color="C9A84C" w:sz="4"/>
            </w:tcBorders>
            <w:shd w:fill="1F3864" w:val="clear"/>
            <w:tcMar>
              <w:top w:type="dxa" w:w="100"/>
              <w:left w:type="dxa" w:w="200"/>
              <w:bottom w:type="dxa" w:w="100"/>
              <w:right w:type="dxa" w:w="120"/>
            </w:tcMar>
          </w:tcPr>
          <w:p>
            <w:pPr>
              <w:spacing w:after="40" w:before="0"/>
            </w:pPr>
            <w:r>
              <w:rPr>
                <w:rFonts w:ascii="Calibri" w:cs="Calibri" w:eastAsia="Calibri" w:hAnsi="Calibri"/>
                <w:b/>
                <w:bCs/>
                <w:i w:val="false"/>
                <w:iCs w:val="false"/>
                <w:color w:val="1F3864"/>
                <w:sz w:val="18"/>
                <w:szCs w:val="18"/>
              </w:rPr>
              <w:t xml:space="preserve">Professional Attestation</w:t>
            </w:r>
          </w:p>
          <w:p>
            <w:pPr>
              <w:spacing w:after="0" w:before="0"/>
            </w:pPr>
            <w:r>
              <w:rPr>
                <w:rFonts w:ascii="Calibri" w:cs="Calibri" w:eastAsia="Calibri" w:hAnsi="Calibri"/>
                <w:b w:val="false"/>
                <w:bCs w:val="false"/>
                <w:i w:val="false"/>
                <w:iCs w:val="false"/>
                <w:color w:val="595959"/>
                <w:sz w:val="18"/>
                <w:szCs w:val="18"/>
              </w:rPr>
              <w:t xml:space="preserve">I, Maximilian Rivera, Information Security Analyst, certify that the IAM controls, configurations, role assignments, and findings documented in this report accurately reflect the state of the Meridian Health Group Microsoft Entra ID tenant as of June 2026. All configurations were implemented following the principle of least privilege and in alignment with the regulatory frameworks cited herein.</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Appendix A —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Term</w:t>
            </w:r>
          </w:p>
        </w:tc>
        <w:tc>
          <w:tcPr>
            <w:tcW w:type="dxa" w:w="71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7"/>
                <w:szCs w:val="17"/>
              </w:rPr>
              <w:t xml:space="preserve">Definition</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Conditional Access (CA)</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An Entra ID policy engine that enforces access decisions based on identity, device, location, and risk signals. Requires Entra ID P1.</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HIPAA</w:t>
            </w:r>
          </w:p>
        </w:tc>
        <w:tc>
          <w:tcPr>
            <w:tcW w:type="dxa" w:w="7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Health Insurance Portability and Accountability Act. Federal law requiring safeguards for Protected Health Information (PHI). Security Rule: 45 CFR §164.</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IAM</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Identity and Access Management — the framework of policies and technologies ensuring that the right users access the right resources at the right time.</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JML</w:t>
            </w:r>
          </w:p>
        </w:tc>
        <w:tc>
          <w:tcPr>
            <w:tcW w:type="dxa" w:w="7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Joiners-Movers-Leavers — the process governing identity lifecycle events: onboarding (Joiner), role change (Mover), and offboarding (Leaver).</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Least Privilege</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 security principle requiring that users are granted only the minimum access rights necessary to perform their job function.</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MFA</w:t>
            </w:r>
          </w:p>
        </w:tc>
        <w:tc>
          <w:tcPr>
            <w:tcW w:type="dxa" w:w="7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Multi-Factor Authentication — authentication requiring two or more verification factors (something you know + something you have/are).</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NIST SP 800-207</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NIST Special Publication 800-207 — Zero Trust Architecture. Defines seven tenets of Zero Trust and guidance for federal and commercial implementations.</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PHI</w:t>
            </w:r>
          </w:p>
        </w:tc>
        <w:tc>
          <w:tcPr>
            <w:tcW w:type="dxa" w:w="7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Protected Health Information — individually identifiable health information protected by HIPAA.</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PIM</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Privileged Identity Management — Entra ID P2 feature providing just-in-time, time-limited, and audited activation of privileged roles.</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RBAC</w:t>
            </w:r>
          </w:p>
        </w:tc>
        <w:tc>
          <w:tcPr>
            <w:tcW w:type="dxa" w:w="7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Role-Based Access Control — an access control model where permissions are assigned to roles, and users are assigned to roles based on job function.</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Security Defaults</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 set of pre-configured Entra ID security settings providing baseline MFA enforcement, legacy auth blocking, and admin MFA. Free tier feature.</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Tenant</w:t>
            </w:r>
          </w:p>
        </w:tc>
        <w:tc>
          <w:tcPr>
            <w:tcW w:type="dxa" w:w="71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 dedicated instance of Microsoft Entra ID containing an organization's identities, policies, and resources.</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00000"/>
                <w:sz w:val="16"/>
                <w:szCs w:val="16"/>
              </w:rPr>
              <w:t xml:space="preserve">Zero Trust</w:t>
            </w:r>
          </w:p>
        </w:tc>
        <w:tc>
          <w:tcPr>
            <w:tcW w:type="dxa" w:w="71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 security model that eliminates implicit trust — every access request is authenticated, authorized, and continuously validated regardless of network location.</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r>
        <w:br w:type="page"/>
      </w:r>
    </w:p>
    <w:p>
      <w:pPr>
        <w:pStyle w:val="Heading1"/>
        <w:pBdr>
          <w:bottom w:val="single" w:color="2E75B6" w:sz="6" w:space="6"/>
        </w:pBdr>
        <w:spacing w:after="120" w:before="360"/>
      </w:pPr>
      <w:r>
        <w:rPr>
          <w:rFonts w:ascii="Calibri" w:cs="Calibri" w:eastAsia="Calibri" w:hAnsi="Calibri"/>
          <w:b/>
          <w:bCs/>
          <w:i w:val="false"/>
          <w:iCs w:val="false"/>
          <w:color w:val="1F3864"/>
          <w:sz w:val="28"/>
          <w:szCs w:val="28"/>
        </w:rPr>
        <w:t xml:space="preserve">Appendix B — Regulatory Control Mapping</w:t>
      </w:r>
    </w:p>
    <w:p>
      <w:pPr>
        <w:spacing w:after="100" w:before="80"/>
        <w:jc w:val="left"/>
      </w:pPr>
      <w:r>
        <w:rPr>
          <w:rFonts w:ascii="Calibri" w:cs="Calibri" w:eastAsia="Calibri" w:hAnsi="Calibri"/>
          <w:b w:val="false"/>
          <w:bCs w:val="false"/>
          <w:i w:val="false"/>
          <w:iCs w:val="false"/>
          <w:color w:val="000000"/>
          <w:sz w:val="20"/>
          <w:szCs w:val="20"/>
        </w:rPr>
        <w:t xml:space="preserve">The following table maps specific IAM controls implemented in this project to applicable regulatory requirements:</w:t>
      </w:r>
    </w:p>
    <w:p>
      <w:pPr>
        <w:spacing w:after="80" w:before="60"/>
        <w:jc w:val="left"/>
      </w:pPr>
      <w:r>
        <w:rPr>
          <w:rFonts w:ascii="Calibri" w:cs="Calibri" w:eastAsia="Calibri" w:hAnsi="Calibri"/>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HIPAA Control</w:t>
            </w:r>
          </w:p>
        </w:tc>
        <w:tc>
          <w:tcPr>
            <w:tcW w:type="dxa" w:w="22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NIST CSF 2.0</w:t>
            </w:r>
          </w:p>
        </w:tc>
        <w:tc>
          <w:tcPr>
            <w:tcW w:type="dxa" w:w="220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CIS Control v8</w:t>
            </w:r>
          </w:p>
        </w:tc>
        <w:tc>
          <w:tcPr>
            <w:tcW w:type="dxa" w:w="2760"/>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16"/>
                <w:szCs w:val="16"/>
              </w:rPr>
              <w:t xml:space="preserve">IAM Implementation</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§164.308(a)(3) Workforce Security</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PR.AC-1, PR.AC-4</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5 — Account Mgmt</w:t>
            </w:r>
          </w:p>
        </w:tc>
        <w:tc>
          <w:tcPr>
            <w:tcW w:type="dxa" w:w="2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RBAC + least privilege + JML workflow</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§164.312(a)(2) User Authentication</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PR.AA-01, PR.AA-02</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6 — Access Control</w:t>
            </w:r>
          </w:p>
        </w:tc>
        <w:tc>
          <w:tcPr>
            <w:tcW w:type="dxa" w:w="2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via Security Defaults; SSPR enabled</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§164.312(d) Person Authentication</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PR.AA-03</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6.3 — MFA Required</w:t>
            </w:r>
          </w:p>
        </w:tc>
        <w:tc>
          <w:tcPr>
            <w:tcW w:type="dxa" w:w="2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MFA enforced for all member accounts</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§164.308(a)(1) Risk Analysis</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ID.RA-01</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18 — Penetration Testing</w:t>
            </w:r>
          </w:p>
        </w:tc>
        <w:tc>
          <w:tcPr>
            <w:tcW w:type="dxa" w:w="2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Risk findings documented in Section 9</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§164.308(a)(5) Security Training</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PR.AT-01</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14 — Security Awareness</w:t>
            </w:r>
          </w:p>
        </w:tc>
        <w:tc>
          <w:tcPr>
            <w:tcW w:type="dxa" w:w="2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Access review process documented for staff</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§164.312(b) Audit Controls</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DE.CM-01, DE.CM-03</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8 — Audit Log Mgmt</w:t>
            </w:r>
          </w:p>
        </w:tc>
        <w:tc>
          <w:tcPr>
            <w:tcW w:type="dxa" w:w="2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Entra ID audit + sign-in logs; Purview retention</w:t>
            </w:r>
          </w:p>
        </w:tc>
      </w:tr>
      <w:tr>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§164.308(a)(4) Access Management</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PR.AC-3, PR.AC-6</w:t>
            </w:r>
          </w:p>
        </w:tc>
        <w:tc>
          <w:tcPr>
            <w:tcW w:type="dxa" w:w="22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6.7 — Access Revocation</w:t>
            </w:r>
          </w:p>
        </w:tc>
        <w:tc>
          <w:tcPr>
            <w:tcW w:type="dxa" w:w="276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Leaver process ≤4h disable; quarterly access reviews</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§164.314(a)(1) BAA</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GV.RM-06</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CIS 15 — Service Provider Mgmt</w:t>
            </w:r>
          </w:p>
        </w:tc>
        <w:tc>
          <w:tcPr>
            <w:tcW w:type="dxa" w:w="276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000000"/>
                <w:sz w:val="16"/>
                <w:szCs w:val="16"/>
              </w:rPr>
              <w:t xml:space="preserve">B2B guest (ClearPath) scoped + ToU enforced (CA-006)</w:t>
            </w:r>
          </w:p>
        </w:tc>
      </w:tr>
    </w:tbl>
    <w:p>
      <w:pPr>
        <w:spacing w:after="80" w:before="120"/>
        <w:jc w:val="left"/>
      </w:pPr>
      <w:r>
        <w:rPr>
          <w:rFonts w:ascii="Calibri" w:cs="Calibri" w:eastAsia="Calibri" w:hAnsi="Calibri"/>
          <w:b w:val="false"/>
          <w:bCs w:val="false"/>
          <w:i w:val="false"/>
          <w:iCs w:val="false"/>
          <w:color w:val="000000"/>
          <w:sz w:val="20"/>
          <w:szCs w:val="20"/>
        </w:rPr>
        <w:t xml:space="preserve"/>
      </w:r>
    </w:p>
    <w:p>
      <w:pPr>
        <w:spacing w:after="80" w:before="240"/>
        <w:jc w:val="center"/>
      </w:pPr>
      <w:r>
        <w:rPr>
          <w:rFonts w:ascii="Calibri" w:cs="Calibri" w:eastAsia="Calibri" w:hAnsi="Calibri"/>
          <w:b w:val="false"/>
          <w:bCs w:val="false"/>
          <w:i/>
          <w:iCs/>
          <w:color w:val="595959"/>
          <w:sz w:val="18"/>
          <w:szCs w:val="18"/>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Calibri" w:cs="Calibri" w:eastAsia="Calibri" w:hAnsi="Calibri"/>
        <w:b w:val="false"/>
        <w:bCs w:val="false"/>
        <w:i w:val="false"/>
        <w:iCs w:val="false"/>
        <w:color w:val="595959"/>
        <w:sz w:val="16"/>
        <w:szCs w:val="16"/>
      </w:rPr>
      <w:t xml:space="preserve">MHG-IAM-RPT-001  |  v1.0  |  June 2026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b w:val="false"/>
        <w:bCs w:val="false"/>
        <w:i w:val="false"/>
        <w:iCs w:val="false"/>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before="0"/>
    </w:pPr>
    <w:r>
      <w:rPr>
        <w:rFonts w:ascii="Calibri" w:cs="Calibri" w:eastAsia="Calibri" w:hAnsi="Calibri"/>
        <w:b/>
        <w:bCs/>
        <w:i w:val="false"/>
        <w:iCs w:val="false"/>
        <w:color w:val="1F3864"/>
        <w:sz w:val="16"/>
        <w:szCs w:val="16"/>
      </w:rPr>
      <w:t xml:space="preserve">MERIDIAN HEALTH GROUP  |  Zero Trust IAM Implementation Report</w:t>
    </w:r>
    <w:r>
      <w:rPr>
        <w:rFonts w:ascii="Calibri" w:cs="Calibri" w:eastAsia="Calibri" w:hAnsi="Calibri"/>
        <w:b/>
        <w:bCs/>
        <w:i w:val="false"/>
        <w:iCs w:val="false"/>
        <w:color w:val="C00000"/>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75B6"/>
      <w:sz w:val="22"/>
      <w:szCs w:val="22"/>
    </w:rPr>
  </w:style>
  <w:style w:type="paragraph" w:styleId="Heading3">
    <w:name w:val="Heading 3"/>
    <w:basedOn w:val="Normal"/>
    <w:next w:val="Normal"/>
    <w:qFormat/>
    <w:pPr>
      <w:spacing w:after="60" w:before="160"/>
      <w:outlineLvl w:val="2"/>
    </w:pPr>
    <w:rPr>
      <w:rFonts w:ascii="Calibri" w:cs="Calibri" w:eastAsia="Calibri" w:hAnsi="Calibri"/>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2026-06-21T04:15:00.997Z</dcterms:created>
  <dcterms:modified xsi:type="dcterms:W3CDTF">2026-06-21T04:15:01.003Z</dcterms:modified>
</cp:coreProperties>
</file>

<file path=docProps/custom.xml><?xml version="1.0" encoding="utf-8"?>
<Properties xmlns="http://schemas.openxmlformats.org/officeDocument/2006/custom-properties" xmlns:vt="http://schemas.openxmlformats.org/officeDocument/2006/docPropsVTypes"/>
</file>