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能动英语（语音密钥/表音密码）全体系大纲｜表音密码+词义识记+九九句法｜认知心理学理论对照版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前置说明：整套课程闭环逻辑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能动英语“语音密钥”完整三阶体系：</w:t>
      </w:r>
      <w:r>
        <w:rPr>
          <w:rFonts w:eastAsia="等线" w:ascii="Arial" w:cs="Arial" w:hAnsi="Arial"/>
          <w:b w:val="true"/>
          <w:sz w:val="22"/>
        </w:rPr>
        <w:t>表音密码（一、二级）→ 词义识记 → 九九句法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分工极其清晰：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表音密码</w:t>
      </w:r>
      <w:r>
        <w:rPr>
          <w:rFonts w:eastAsia="等线" w:ascii="Arial" w:cs="Arial" w:hAnsi="Arial"/>
          <w:sz w:val="22"/>
        </w:rPr>
        <w:t xml:space="preserve">：解决 </w:t>
      </w:r>
      <w:r>
        <w:rPr>
          <w:rFonts w:eastAsia="等线" w:ascii="Arial" w:cs="Arial" w:hAnsi="Arial"/>
          <w:b w:val="true"/>
          <w:sz w:val="22"/>
        </w:rPr>
        <w:t>音+形</w:t>
      </w:r>
      <w:r>
        <w:rPr>
          <w:rFonts w:eastAsia="等线" w:ascii="Arial" w:cs="Arial" w:hAnsi="Arial"/>
          <w:sz w:val="22"/>
        </w:rPr>
        <w:t>（会读、会拼、解码长单词）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词义识记</w:t>
      </w:r>
      <w:r>
        <w:rPr>
          <w:rFonts w:eastAsia="等线" w:ascii="Arial" w:cs="Arial" w:hAnsi="Arial"/>
          <w:sz w:val="22"/>
        </w:rPr>
        <w:t>：解决</w:t>
      </w:r>
      <w:r>
        <w:rPr>
          <w:rFonts w:eastAsia="等线" w:ascii="Arial" w:cs="Arial" w:hAnsi="Arial"/>
          <w:b w:val="true"/>
          <w:sz w:val="22"/>
        </w:rPr>
        <w:t>形+义</w:t>
      </w:r>
      <w:r>
        <w:rPr>
          <w:rFonts w:eastAsia="等线" w:ascii="Arial" w:cs="Arial" w:hAnsi="Arial"/>
          <w:sz w:val="22"/>
        </w:rPr>
        <w:t>（记住词义、不混淆、大量存词）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九九句法</w:t>
      </w:r>
      <w:r>
        <w:rPr>
          <w:rFonts w:eastAsia="等线" w:ascii="Arial" w:cs="Arial" w:hAnsi="Arial"/>
          <w:sz w:val="22"/>
        </w:rPr>
        <w:t xml:space="preserve">：解决 </w:t>
      </w:r>
      <w:r>
        <w:rPr>
          <w:rFonts w:eastAsia="等线" w:ascii="Arial" w:cs="Arial" w:hAnsi="Arial"/>
          <w:b w:val="true"/>
          <w:sz w:val="22"/>
        </w:rPr>
        <w:t>句+用</w:t>
      </w:r>
      <w:r>
        <w:rPr>
          <w:rFonts w:eastAsia="等线" w:ascii="Arial" w:cs="Arial" w:hAnsi="Arial"/>
          <w:sz w:val="22"/>
        </w:rPr>
        <w:t>（把单词组块拼成正确句子、输出表达）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第一部分：词义识记 完整课程大纲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一、课程定位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承接表音密码的“切词组块能力”，把</w:t>
      </w:r>
      <w:r>
        <w:rPr>
          <w:rFonts w:eastAsia="等线" w:ascii="Arial" w:cs="Arial" w:hAnsi="Arial"/>
          <w:b w:val="true"/>
          <w:sz w:val="22"/>
        </w:rPr>
        <w:t>已经会读、会拼的单词</w:t>
      </w:r>
      <w:r>
        <w:rPr>
          <w:rFonts w:eastAsia="等线" w:ascii="Arial" w:cs="Arial" w:hAnsi="Arial"/>
          <w:sz w:val="22"/>
        </w:rPr>
        <w:t>，转化为</w:t>
      </w:r>
      <w:r>
        <w:rPr>
          <w:rFonts w:eastAsia="等线" w:ascii="Arial" w:cs="Arial" w:hAnsi="Arial"/>
          <w:b w:val="true"/>
          <w:sz w:val="22"/>
        </w:rPr>
        <w:t>长期记忆、可调用词汇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核心区别于传统死记硬背：</w:t>
      </w:r>
      <w:r>
        <w:rPr>
          <w:rFonts w:eastAsia="等线" w:ascii="Arial" w:cs="Arial" w:hAnsi="Arial"/>
          <w:b w:val="true"/>
          <w:sz w:val="22"/>
        </w:rPr>
        <w:t>不以字母为单位，以“词素/音节组块”为记忆单位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二、核心教学原理（对应五大认知理论）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组块化 + 形态学意识 + 双编码 + 提取练习 + 间隔重复（全维度落地）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三、课程核心目标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</w:t>
      </w:r>
      <w:r>
        <w:rPr>
          <w:rFonts w:eastAsia="等线" w:ascii="Arial" w:cs="Arial" w:hAnsi="Arial"/>
          <w:b w:val="true"/>
          <w:sz w:val="22"/>
        </w:rPr>
        <w:t>词形—词素—词义</w:t>
      </w:r>
      <w:r>
        <w:rPr>
          <w:rFonts w:eastAsia="等线" w:ascii="Arial" w:cs="Arial" w:hAnsi="Arial"/>
          <w:sz w:val="22"/>
        </w:rPr>
        <w:t>的稳定映射，告别“会读不知道意思、记了就忘”；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掌握批量记词逻辑，实现</w:t>
      </w:r>
      <w:r>
        <w:rPr>
          <w:rFonts w:eastAsia="等线" w:ascii="Arial" w:cs="Arial" w:hAnsi="Arial"/>
          <w:b w:val="true"/>
          <w:sz w:val="22"/>
        </w:rPr>
        <w:t>一族单词批量记忆</w:t>
      </w:r>
      <w:r>
        <w:rPr>
          <w:rFonts w:eastAsia="等线" w:ascii="Arial" w:cs="Arial" w:hAnsi="Arial"/>
          <w:sz w:val="22"/>
        </w:rPr>
        <w:t>（同根、同缀、同源）；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消除形近词混淆、义近词混淆；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形成可迁移的自主记词能力，适配中小学高频词汇。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四、核心知识点体系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构词组块系统（二级表音密码进阶）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固化三类记忆组块：前缀组块、词根组块、后缀组块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例：un- / re- / trans- / -tion / -able / -ment 等标准化词块库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词义逻辑归类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同根衍生：believe → believable → unbelievable → belief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同缀归类：所有-tion名词、-able形容词统一语义属性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形近辨析：adapt/adopt、affect/effect 等易混词组块区分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一词多义层级记忆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优先记忆</w:t>
      </w:r>
      <w:r>
        <w:rPr>
          <w:rFonts w:eastAsia="等线" w:ascii="Arial" w:cs="Arial" w:hAnsi="Arial"/>
          <w:b w:val="true"/>
          <w:sz w:val="22"/>
        </w:rPr>
        <w:t>核心本义</w:t>
      </w:r>
      <w:r>
        <w:rPr>
          <w:rFonts w:eastAsia="等线" w:ascii="Arial" w:cs="Arial" w:hAnsi="Arial"/>
          <w:sz w:val="22"/>
        </w:rPr>
        <w:t>，再辐射延伸义，避免零散释义堆砌。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五、标准化教学方法（词义识记专属流程）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先拆块、再记义（组块化核心）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禁止字母式记忆，强制流程：</w:t>
      </w:r>
      <w:r>
        <w:rPr>
          <w:rFonts w:eastAsia="等线" w:ascii="Arial" w:cs="Arial" w:hAnsi="Arial"/>
          <w:b w:val="true"/>
          <w:sz w:val="22"/>
        </w:rPr>
        <w:t>单词切分 → 识别词素 → 绑定词义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示例：transportation = trans（跨越）+ port（港口/搬运）+ ation（名词）→ 运输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三维双编码输入（音+形+义绑定）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每轮记忆必须同时调动：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音：正确拼读组块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形：识别拼写结构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义：理解词根词缀自带语义逻辑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遮挡式提取练习（课程核心动作）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摒弃反复看书精读，固定训练闭环：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看词拆块理解 → 遮挡单词 → 回忆拼写+词义 → 核对纠错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同族批量复盘（抗遗忘）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单次学习不孤立记单词，而是</w:t>
      </w:r>
      <w:r>
        <w:rPr>
          <w:rFonts w:eastAsia="等线" w:ascii="Arial" w:cs="Arial" w:hAnsi="Arial"/>
          <w:b w:val="true"/>
          <w:sz w:val="22"/>
        </w:rPr>
        <w:t>一组同根词整体复盘</w:t>
      </w:r>
      <w:r>
        <w:rPr>
          <w:rFonts w:eastAsia="等线" w:ascii="Arial" w:cs="Arial" w:hAnsi="Arial"/>
          <w:sz w:val="22"/>
        </w:rPr>
        <w:t>，强化组块共性记忆。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 阶梯式间隔重复体系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课堂当日复盘→次日复习→3天复盘→7天巩固→月度批量回测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六、能力达标结果</w:t>
      </w:r>
      <w:bookmarkEnd w:id="1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看到长单词可自主拆解词素、推导词义倾向；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大幅降低形近、义近单词混淆率；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词汇记忆留存率大幅提升，告别机械死记；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具备自主拓词能力，可自学陌生派生词。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第二部分：九九句法 完整课程大纲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一、课程定位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整套体系的</w:t>
      </w:r>
      <w:r>
        <w:rPr>
          <w:rFonts w:eastAsia="等线" w:ascii="Arial" w:cs="Arial" w:hAnsi="Arial"/>
          <w:b w:val="true"/>
          <w:sz w:val="22"/>
        </w:rPr>
        <w:t>输出闭环</w:t>
      </w:r>
      <w:r>
        <w:rPr>
          <w:rFonts w:eastAsia="等线" w:ascii="Arial" w:cs="Arial" w:hAnsi="Arial"/>
          <w:sz w:val="22"/>
        </w:rPr>
        <w:t>：把前面“单词组块”升级为</w:t>
      </w:r>
      <w:r>
        <w:rPr>
          <w:rFonts w:eastAsia="等线" w:ascii="Arial" w:cs="Arial" w:hAnsi="Arial"/>
          <w:b w:val="true"/>
          <w:sz w:val="22"/>
        </w:rPr>
        <w:t>句子组块</w:t>
      </w:r>
      <w:r>
        <w:rPr>
          <w:rFonts w:eastAsia="等线" w:ascii="Arial" w:cs="Arial" w:hAnsi="Arial"/>
          <w:sz w:val="22"/>
        </w:rPr>
        <w:t>，解决看不懂长句、不会造句、语法混乱、中式英语问题。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二、课程核心原理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高阶</w:t>
      </w:r>
      <w:r>
        <w:rPr>
          <w:rFonts w:eastAsia="等线" w:ascii="Arial" w:cs="Arial" w:hAnsi="Arial"/>
          <w:b w:val="true"/>
          <w:sz w:val="22"/>
        </w:rPr>
        <w:t>语句组块化Chunking</w:t>
      </w:r>
      <w:r>
        <w:rPr>
          <w:rFonts w:eastAsia="等线" w:ascii="Arial" w:cs="Arial" w:hAnsi="Arial"/>
          <w:sz w:val="22"/>
        </w:rPr>
        <w:t xml:space="preserve"> + 语义单元拆分 + 结构化提取输出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三、课程核心目标</w:t>
      </w:r>
      <w:bookmarkEnd w:id="1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打破逐词翻译习惯，建立</w:t>
      </w:r>
      <w:r>
        <w:rPr>
          <w:rFonts w:eastAsia="等线" w:ascii="Arial" w:cs="Arial" w:hAnsi="Arial"/>
          <w:b w:val="true"/>
          <w:sz w:val="22"/>
        </w:rPr>
        <w:t>英语语序思维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掌握9大核心句式骨架，覆盖中小学95%以上句型；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实现长句切分、断句理解、精准翻译、规范造句；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解决时态混乱、主谓不一致、语序颠倒等核心语法问题。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四、核心知识点体系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九大句法骨架（课程核心）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以固定句型组块为单位，而非零散语法点教学，核心句式覆盖：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主系表基础句型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主谓、主谓宾基础句型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双宾语句型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宾补句型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定语修饰句型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状语修饰句型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复合句基础句型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特殊疑问句句型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时态嵌套标准句型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 句子切分体系（高阶Chunking）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将长句切分为</w:t>
      </w:r>
      <w:r>
        <w:rPr>
          <w:rFonts w:eastAsia="等线" w:ascii="Arial" w:cs="Arial" w:hAnsi="Arial"/>
          <w:b w:val="true"/>
          <w:sz w:val="22"/>
        </w:rPr>
        <w:t>语义组块</w:t>
      </w:r>
      <w:r>
        <w:rPr>
          <w:rFonts w:eastAsia="等线" w:ascii="Arial" w:cs="Arial" w:hAnsi="Arial"/>
          <w:sz w:val="22"/>
        </w:rPr>
        <w:t>，而非逐词阅读：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例：I / am looking for / a cup of coffee.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组块单元：主语块 + 谓语动作块 + 宾语块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 时态结构化绑定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时态不孤立背诵，直接绑定固定句式组块，形成肌肉记忆。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五、标准化教学方法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句式组块记忆（高阶组块化）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以“完整句型框架”为最小记忆单位，学生记忆的不是语法规则，是</w:t>
      </w:r>
      <w:r>
        <w:rPr>
          <w:rFonts w:eastAsia="等线" w:ascii="Arial" w:cs="Arial" w:hAnsi="Arial"/>
          <w:b w:val="true"/>
          <w:sz w:val="22"/>
        </w:rPr>
        <w:t>可直接套用的句子组块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长句拆解训练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复杂长句强制分层切分：主干组块 → 修饰组块，先抓主干、再补细节。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遮挡式句型提取练习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看完整句 → 遮挡 → 复述句式框架 → 替换词汇再造句子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 句式迁移训练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同一骨架，替换不同单词组块，实现“一通百通”，避免死记句子。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 间隔式句型复盘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每日巩固旧句式、叠加新句式，杜绝学新忘旧。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六、能力达标结果</w:t>
      </w:r>
      <w:bookmarkEnd w:id="3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看到长难句可快速断句、拆分语义块、精准理解；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造句符合英语语序，杜绝中式英语；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时态、句式结构稳定，错题率大幅下降；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具备自主阅读简单长句、仿写句子的能力。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第三部分：整套课程 × 五大认知心理学理论【逐点对照批注版】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（精准对应你最初给出的5大核心理论，逐条落地课程动作，解决“理论是什么、课程怎么做”的对应关系）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1. 组块化 Chunking（最核心）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理论原意</w:t>
      </w:r>
      <w:r>
        <w:rPr>
          <w:rFonts w:eastAsia="等线" w:ascii="Arial" w:cs="Arial" w:hAnsi="Arial"/>
          <w:sz w:val="22"/>
        </w:rPr>
        <w:t>：工作记忆容量有限，把零散信息整合为大组块，降低认知负荷。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表音密码一级落地</w:t>
      </w:r>
      <w:r>
        <w:rPr>
          <w:rFonts w:eastAsia="等线" w:ascii="Arial" w:cs="Arial" w:hAnsi="Arial"/>
          <w:sz w:val="22"/>
        </w:rPr>
        <w:t>：把26零散字母 → 整合为【不间断音组块】，不再逐个记字母。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表音密码二级落地</w:t>
      </w:r>
      <w:r>
        <w:rPr>
          <w:rFonts w:eastAsia="等线" w:ascii="Arial" w:cs="Arial" w:hAnsi="Arial"/>
          <w:sz w:val="22"/>
        </w:rPr>
        <w:t>：把长单词字母串 → 拆分【前缀+词根+后缀】词素组块。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词义识记落地</w:t>
      </w:r>
      <w:r>
        <w:rPr>
          <w:rFonts w:eastAsia="等线" w:ascii="Arial" w:cs="Arial" w:hAnsi="Arial"/>
          <w:sz w:val="22"/>
        </w:rPr>
        <w:t>：以“同根同族词”为记忆组块，批量存储词汇。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九九句法落地</w:t>
      </w:r>
      <w:r>
        <w:rPr>
          <w:rFonts w:eastAsia="等线" w:ascii="Arial" w:cs="Arial" w:hAnsi="Arial"/>
          <w:sz w:val="22"/>
        </w:rPr>
        <w:t>：以“句式骨架、语义短语”为阅读和输出组块，告别逐词读句。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2. 形态学意识 Morphological Awareness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理论原意</w:t>
      </w:r>
      <w:r>
        <w:rPr>
          <w:rFonts w:eastAsia="等线" w:ascii="Arial" w:cs="Arial" w:hAnsi="Arial"/>
          <w:sz w:val="22"/>
        </w:rPr>
        <w:t>：通过词素拆分，建立词形、结构、词义的稳定联系。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课程精准落地</w:t>
      </w:r>
      <w:r>
        <w:rPr>
          <w:rFonts w:eastAsia="等线" w:ascii="Arial" w:cs="Arial" w:hAnsi="Arial"/>
          <w:sz w:val="22"/>
        </w:rPr>
        <w:t>：整套体系唯一核心记词逻辑，拒绝字母记忆。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unhappy = un（否定）+ happy（开心），学生记住的是</w:t>
      </w:r>
      <w:r>
        <w:rPr>
          <w:rFonts w:eastAsia="等线" w:ascii="Arial" w:cs="Arial" w:hAnsi="Arial"/>
          <w:b w:val="true"/>
          <w:sz w:val="22"/>
        </w:rPr>
        <w:t>结构逻辑</w:t>
      </w:r>
      <w:r>
        <w:rPr>
          <w:rFonts w:eastAsia="等线" w:ascii="Arial" w:cs="Arial" w:hAnsi="Arial"/>
          <w:sz w:val="22"/>
        </w:rPr>
        <w:t>，不是字符串。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二级、词义识记全程强化：所有长单词优先词素拆解，建立构词直觉。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3. 双编码理论 Dual Coding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理论原意</w:t>
      </w:r>
      <w:r>
        <w:rPr>
          <w:rFonts w:eastAsia="等线" w:ascii="Arial" w:cs="Arial" w:hAnsi="Arial"/>
          <w:sz w:val="22"/>
        </w:rPr>
        <w:t>：声音+字形+意义多维度编码，记忆远强于单一字符记忆。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表音密码落地</w:t>
      </w:r>
      <w:r>
        <w:rPr>
          <w:rFonts w:eastAsia="等线" w:ascii="Arial" w:cs="Arial" w:hAnsi="Arial"/>
          <w:sz w:val="22"/>
        </w:rPr>
        <w:t>：绑定【字形+发音】，解决读拼问题。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词义识记落地</w:t>
      </w:r>
      <w:r>
        <w:rPr>
          <w:rFonts w:eastAsia="等线" w:ascii="Arial" w:cs="Arial" w:hAnsi="Arial"/>
          <w:sz w:val="22"/>
        </w:rPr>
        <w:t>：叠加【词义+逻辑】，完成三维编码：音+形+义。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最终效果</w:t>
      </w:r>
      <w:r>
        <w:rPr>
          <w:rFonts w:eastAsia="等线" w:ascii="Arial" w:cs="Arial" w:hAnsi="Arial"/>
          <w:sz w:val="22"/>
        </w:rPr>
        <w:t>：大脑存储的不是单词字母，是多维度连接网络，不易遗忘、不易混淆。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 提取练习 Retrieval Practice（高效记忆核心）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理论原意</w:t>
      </w:r>
      <w:r>
        <w:rPr>
          <w:rFonts w:eastAsia="等线" w:ascii="Arial" w:cs="Arial" w:hAnsi="Arial"/>
          <w:sz w:val="22"/>
        </w:rPr>
        <w:t>：被动反复浏览无效，主动遮挡回忆、提取复盘才是有效记忆。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整套课程统一标准动作</w:t>
      </w:r>
      <w:r>
        <w:rPr>
          <w:rFonts w:eastAsia="等线" w:ascii="Arial" w:cs="Arial" w:hAnsi="Arial"/>
          <w:sz w:val="22"/>
        </w:rPr>
        <w:t>：全阶段禁止“反复看书熟读”。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表音：看词→遮挡→回忆切分+发音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词义：看块→遮挡→回忆拼写+词义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句法：看句→遮挡→回忆句式+仿写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所有课堂训练、课后打卡，全部基于</w:t>
      </w:r>
      <w:r>
        <w:rPr>
          <w:rFonts w:eastAsia="等线" w:ascii="Arial" w:cs="Arial" w:hAnsi="Arial"/>
          <w:b w:val="true"/>
          <w:sz w:val="22"/>
        </w:rPr>
        <w:t>主动提取</w:t>
      </w:r>
      <w:r>
        <w:rPr>
          <w:rFonts w:eastAsia="等线" w:ascii="Arial" w:cs="Arial" w:hAnsi="Arial"/>
          <w:sz w:val="22"/>
        </w:rPr>
        <w:t>，而非被动跟读。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 间隔重复 Spaced Repetition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理论原意</w:t>
      </w:r>
      <w:r>
        <w:rPr>
          <w:rFonts w:eastAsia="等线" w:ascii="Arial" w:cs="Arial" w:hAnsi="Arial"/>
          <w:sz w:val="22"/>
        </w:rPr>
        <w:t>：依据遗忘曲线，阶梯间隔复盘，固化长期记忆。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课程落地</w:t>
      </w:r>
      <w:r>
        <w:rPr>
          <w:rFonts w:eastAsia="等线" w:ascii="Arial" w:cs="Arial" w:hAnsi="Arial"/>
          <w:sz w:val="22"/>
        </w:rPr>
        <w:t>：三阶课程统一复盘体系：当日→次日→3天→7天→月度回测。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不间断音、词缀、词汇、句式，全部滚动间隔复习，解决学完就忘。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第四部分：整套三阶体系 能力递进总览</w:t>
      </w:r>
      <w:bookmarkEnd w:id="37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表音密码一、二级</w:t>
      </w:r>
      <w:r>
        <w:rPr>
          <w:rFonts w:eastAsia="等线" w:ascii="Arial" w:cs="Arial" w:hAnsi="Arial"/>
          <w:sz w:val="22"/>
        </w:rPr>
        <w:t>：解决【解码能力】——见词会读、听音会拼、长单词拆解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词义识记</w:t>
      </w:r>
      <w:r>
        <w:rPr>
          <w:rFonts w:eastAsia="等线" w:ascii="Arial" w:cs="Arial" w:hAnsi="Arial"/>
          <w:sz w:val="22"/>
        </w:rPr>
        <w:t>：解决【词汇存储】——组块记词、理解词义、长期留存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九九句法</w:t>
      </w:r>
      <w:r>
        <w:rPr>
          <w:rFonts w:eastAsia="等线" w:ascii="Arial" w:cs="Arial" w:hAnsi="Arial"/>
          <w:sz w:val="22"/>
        </w:rPr>
        <w:t>：解决【语言输出】——句子组块、语序正确、读写输出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核心总结</w:t>
      </w:r>
      <w:r>
        <w:rPr>
          <w:rFonts w:eastAsia="等线" w:ascii="Arial" w:cs="Arial" w:hAnsi="Arial"/>
          <w:sz w:val="22"/>
        </w:rPr>
        <w:t>：这套机构课程并非营销概念，是</w:t>
      </w:r>
      <w:r>
        <w:rPr>
          <w:rFonts w:eastAsia="等线" w:ascii="Arial" w:cs="Arial" w:hAnsi="Arial"/>
          <w:b w:val="true"/>
          <w:sz w:val="22"/>
        </w:rPr>
        <w:t>完整、严格落地认知心理学五大记忆原理</w:t>
      </w:r>
      <w:r>
        <w:rPr>
          <w:rFonts w:eastAsia="等线" w:ascii="Arial" w:cs="Arial" w:hAnsi="Arial"/>
          <w:sz w:val="22"/>
        </w:rPr>
        <w:t>的标准化英语训练体系。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05563">
    <w:lvl>
      <w:numFmt w:val="bullet"/>
      <w:suff w:val="tab"/>
      <w:lvlText w:val="•"/>
      <w:rPr>
        <w:color w:val="3370ff"/>
      </w:rPr>
    </w:lvl>
  </w:abstractNum>
  <w:abstractNum w:abstractNumId="2505564">
    <w:lvl>
      <w:numFmt w:val="bullet"/>
      <w:suff w:val="tab"/>
      <w:lvlText w:val="•"/>
      <w:rPr>
        <w:color w:val="3370ff"/>
      </w:rPr>
    </w:lvl>
  </w:abstractNum>
  <w:abstractNum w:abstractNumId="2505565">
    <w:lvl>
      <w:numFmt w:val="bullet"/>
      <w:suff w:val="tab"/>
      <w:lvlText w:val="•"/>
      <w:rPr>
        <w:color w:val="3370ff"/>
      </w:rPr>
    </w:lvl>
  </w:abstractNum>
  <w:abstractNum w:abstractNumId="2505566">
    <w:lvl>
      <w:start w:val="1"/>
      <w:numFmt w:val="decimal"/>
      <w:suff w:val="tab"/>
      <w:lvlText w:val="%1."/>
      <w:rPr>
        <w:color w:val="3370ff"/>
      </w:rPr>
    </w:lvl>
  </w:abstractNum>
  <w:abstractNum w:abstractNumId="2505567">
    <w:lvl>
      <w:start w:val="2"/>
      <w:numFmt w:val="decimal"/>
      <w:suff w:val="tab"/>
      <w:lvlText w:val="%1."/>
      <w:rPr>
        <w:color w:val="3370ff"/>
      </w:rPr>
    </w:lvl>
  </w:abstractNum>
  <w:abstractNum w:abstractNumId="2505568">
    <w:lvl>
      <w:start w:val="3"/>
      <w:numFmt w:val="decimal"/>
      <w:suff w:val="tab"/>
      <w:lvlText w:val="%1."/>
      <w:rPr>
        <w:color w:val="3370ff"/>
      </w:rPr>
    </w:lvl>
  </w:abstractNum>
  <w:abstractNum w:abstractNumId="2505569">
    <w:lvl>
      <w:start w:val="4"/>
      <w:numFmt w:val="decimal"/>
      <w:suff w:val="tab"/>
      <w:lvlText w:val="%1."/>
      <w:rPr>
        <w:color w:val="3370ff"/>
      </w:rPr>
    </w:lvl>
  </w:abstractNum>
  <w:abstractNum w:abstractNumId="2505570">
    <w:lvl>
      <w:numFmt w:val="bullet"/>
      <w:suff w:val="tab"/>
      <w:lvlText w:val="•"/>
      <w:rPr>
        <w:color w:val="3370ff"/>
      </w:rPr>
    </w:lvl>
  </w:abstractNum>
  <w:abstractNum w:abstractNumId="2505571">
    <w:lvl>
      <w:numFmt w:val="bullet"/>
      <w:suff w:val="tab"/>
      <w:lvlText w:val="•"/>
      <w:rPr>
        <w:color w:val="3370ff"/>
      </w:rPr>
    </w:lvl>
  </w:abstractNum>
  <w:abstractNum w:abstractNumId="2505572">
    <w:lvl>
      <w:numFmt w:val="bullet"/>
      <w:suff w:val="tab"/>
      <w:lvlText w:val="•"/>
      <w:rPr>
        <w:color w:val="3370ff"/>
      </w:rPr>
    </w:lvl>
  </w:abstractNum>
  <w:abstractNum w:abstractNumId="2505573">
    <w:lvl>
      <w:numFmt w:val="bullet"/>
      <w:suff w:val="tab"/>
      <w:lvlText w:val="•"/>
      <w:rPr>
        <w:color w:val="3370ff"/>
      </w:rPr>
    </w:lvl>
  </w:abstractNum>
  <w:abstractNum w:abstractNumId="2505574">
    <w:lvl>
      <w:numFmt w:val="bullet"/>
      <w:suff w:val="tab"/>
      <w:lvlText w:val="•"/>
      <w:rPr>
        <w:color w:val="3370ff"/>
      </w:rPr>
    </w:lvl>
  </w:abstractNum>
  <w:abstractNum w:abstractNumId="2505575">
    <w:lvl>
      <w:numFmt w:val="bullet"/>
      <w:suff w:val="tab"/>
      <w:lvlText w:val="•"/>
      <w:rPr>
        <w:color w:val="3370ff"/>
      </w:rPr>
    </w:lvl>
  </w:abstractNum>
  <w:abstractNum w:abstractNumId="2505576">
    <w:lvl>
      <w:numFmt w:val="bullet"/>
      <w:suff w:val="tab"/>
      <w:lvlText w:val="•"/>
      <w:rPr>
        <w:color w:val="3370ff"/>
      </w:rPr>
    </w:lvl>
  </w:abstractNum>
  <w:abstractNum w:abstractNumId="2505577">
    <w:lvl>
      <w:numFmt w:val="bullet"/>
      <w:suff w:val="tab"/>
      <w:lvlText w:val="•"/>
      <w:rPr>
        <w:color w:val="3370ff"/>
      </w:rPr>
    </w:lvl>
  </w:abstractNum>
  <w:abstractNum w:abstractNumId="2505578">
    <w:lvl>
      <w:numFmt w:val="bullet"/>
      <w:suff w:val="tab"/>
      <w:lvlText w:val="•"/>
      <w:rPr>
        <w:color w:val="3370ff"/>
      </w:rPr>
    </w:lvl>
  </w:abstractNum>
  <w:abstractNum w:abstractNumId="2505579">
    <w:lvl>
      <w:numFmt w:val="bullet"/>
      <w:suff w:val="tab"/>
      <w:lvlText w:val="•"/>
      <w:rPr>
        <w:color w:val="3370ff"/>
      </w:rPr>
    </w:lvl>
  </w:abstractNum>
  <w:abstractNum w:abstractNumId="2505580">
    <w:lvl>
      <w:start w:val="1"/>
      <w:numFmt w:val="decimal"/>
      <w:suff w:val="tab"/>
      <w:lvlText w:val="%1."/>
      <w:rPr>
        <w:color w:val="3370ff"/>
      </w:rPr>
    </w:lvl>
  </w:abstractNum>
  <w:abstractNum w:abstractNumId="2505581">
    <w:lvl>
      <w:start w:val="2"/>
      <w:numFmt w:val="decimal"/>
      <w:suff w:val="tab"/>
      <w:lvlText w:val="%1."/>
      <w:rPr>
        <w:color w:val="3370ff"/>
      </w:rPr>
    </w:lvl>
  </w:abstractNum>
  <w:abstractNum w:abstractNumId="2505582">
    <w:lvl>
      <w:start w:val="3"/>
      <w:numFmt w:val="decimal"/>
      <w:suff w:val="tab"/>
      <w:lvlText w:val="%1."/>
      <w:rPr>
        <w:color w:val="3370ff"/>
      </w:rPr>
    </w:lvl>
  </w:abstractNum>
  <w:abstractNum w:abstractNumId="2505583">
    <w:lvl>
      <w:start w:val="4"/>
      <w:numFmt w:val="decimal"/>
      <w:suff w:val="tab"/>
      <w:lvlText w:val="%1."/>
      <w:rPr>
        <w:color w:val="3370ff"/>
      </w:rPr>
    </w:lvl>
  </w:abstractNum>
  <w:abstractNum w:abstractNumId="2505584">
    <w:lvl>
      <w:numFmt w:val="bullet"/>
      <w:suff w:val="tab"/>
      <w:lvlText w:val="•"/>
      <w:rPr>
        <w:color w:val="3370ff"/>
      </w:rPr>
    </w:lvl>
  </w:abstractNum>
  <w:abstractNum w:abstractNumId="2505585">
    <w:lvl>
      <w:numFmt w:val="bullet"/>
      <w:suff w:val="tab"/>
      <w:lvlText w:val="•"/>
      <w:rPr>
        <w:color w:val="3370ff"/>
      </w:rPr>
    </w:lvl>
  </w:abstractNum>
  <w:abstractNum w:abstractNumId="2505586">
    <w:lvl>
      <w:numFmt w:val="bullet"/>
      <w:suff w:val="tab"/>
      <w:lvlText w:val="•"/>
      <w:rPr>
        <w:color w:val="3370ff"/>
      </w:rPr>
    </w:lvl>
  </w:abstractNum>
  <w:abstractNum w:abstractNumId="2505587">
    <w:lvl>
      <w:numFmt w:val="bullet"/>
      <w:suff w:val="tab"/>
      <w:lvlText w:val="•"/>
      <w:rPr>
        <w:color w:val="3370ff"/>
      </w:rPr>
    </w:lvl>
  </w:abstractNum>
  <w:abstractNum w:abstractNumId="2505588">
    <w:lvl>
      <w:numFmt w:val="bullet"/>
      <w:suff w:val="tab"/>
      <w:lvlText w:val="•"/>
      <w:rPr>
        <w:color w:val="3370ff"/>
      </w:rPr>
    </w:lvl>
  </w:abstractNum>
  <w:abstractNum w:abstractNumId="2505589">
    <w:lvl>
      <w:numFmt w:val="bullet"/>
      <w:suff w:val="tab"/>
      <w:lvlText w:val="•"/>
      <w:rPr>
        <w:color w:val="3370ff"/>
      </w:rPr>
    </w:lvl>
  </w:abstractNum>
  <w:abstractNum w:abstractNumId="2505590">
    <w:lvl>
      <w:numFmt w:val="bullet"/>
      <w:suff w:val="tab"/>
      <w:lvlText w:val="•"/>
      <w:rPr>
        <w:color w:val="3370ff"/>
      </w:rPr>
    </w:lvl>
  </w:abstractNum>
  <w:abstractNum w:abstractNumId="2505591">
    <w:lvl>
      <w:numFmt w:val="bullet"/>
      <w:suff w:val="tab"/>
      <w:lvlText w:val="•"/>
      <w:rPr>
        <w:color w:val="3370ff"/>
      </w:rPr>
    </w:lvl>
  </w:abstractNum>
  <w:abstractNum w:abstractNumId="2505592">
    <w:lvl>
      <w:numFmt w:val="bullet"/>
      <w:suff w:val="tab"/>
      <w:lvlText w:val="•"/>
      <w:rPr>
        <w:color w:val="3370ff"/>
      </w:rPr>
    </w:lvl>
  </w:abstractNum>
  <w:abstractNum w:abstractNumId="2505593">
    <w:lvl>
      <w:numFmt w:val="bullet"/>
      <w:suff w:val="tab"/>
      <w:lvlText w:val="•"/>
      <w:rPr>
        <w:color w:val="3370ff"/>
      </w:rPr>
    </w:lvl>
  </w:abstractNum>
  <w:abstractNum w:abstractNumId="2505594">
    <w:lvl>
      <w:numFmt w:val="bullet"/>
      <w:suff w:val="tab"/>
      <w:lvlText w:val="•"/>
      <w:rPr>
        <w:color w:val="3370ff"/>
      </w:rPr>
    </w:lvl>
  </w:abstractNum>
  <w:abstractNum w:abstractNumId="2505595">
    <w:lvl>
      <w:numFmt w:val="bullet"/>
      <w:suff w:val="tab"/>
      <w:lvlText w:val="•"/>
      <w:rPr>
        <w:color w:val="3370ff"/>
      </w:rPr>
    </w:lvl>
  </w:abstractNum>
  <w:abstractNum w:abstractNumId="2505596">
    <w:lvl>
      <w:numFmt w:val="bullet"/>
      <w:suff w:val="tab"/>
      <w:lvlText w:val="•"/>
      <w:rPr>
        <w:color w:val="3370ff"/>
      </w:rPr>
    </w:lvl>
  </w:abstractNum>
  <w:abstractNum w:abstractNumId="2505597">
    <w:lvl>
      <w:numFmt w:val="bullet"/>
      <w:suff w:val="tab"/>
      <w:lvlText w:val="•"/>
      <w:rPr>
        <w:color w:val="3370ff"/>
      </w:rPr>
    </w:lvl>
  </w:abstractNum>
  <w:abstractNum w:abstractNumId="2505598">
    <w:lvl>
      <w:numFmt w:val="bullet"/>
      <w:suff w:val="tab"/>
      <w:lvlText w:val="•"/>
      <w:rPr>
        <w:color w:val="3370ff"/>
      </w:rPr>
    </w:lvl>
  </w:abstractNum>
  <w:abstractNum w:abstractNumId="2505599">
    <w:lvl>
      <w:numFmt w:val="bullet"/>
      <w:suff w:val="tab"/>
      <w:lvlText w:val="•"/>
      <w:rPr>
        <w:color w:val="3370ff"/>
      </w:rPr>
    </w:lvl>
  </w:abstractNum>
  <w:num w:numId="1">
    <w:abstractNumId w:val="2505563"/>
  </w:num>
  <w:num w:numId="2">
    <w:abstractNumId w:val="2505564"/>
  </w:num>
  <w:num w:numId="3">
    <w:abstractNumId w:val="2505565"/>
  </w:num>
  <w:num w:numId="4">
    <w:abstractNumId w:val="2505566"/>
  </w:num>
  <w:num w:numId="5">
    <w:abstractNumId w:val="2505567"/>
  </w:num>
  <w:num w:numId="6">
    <w:abstractNumId w:val="2505568"/>
  </w:num>
  <w:num w:numId="7">
    <w:abstractNumId w:val="2505569"/>
  </w:num>
  <w:num w:numId="8">
    <w:abstractNumId w:val="2505570"/>
  </w:num>
  <w:num w:numId="9">
    <w:abstractNumId w:val="2505571"/>
  </w:num>
  <w:num w:numId="10">
    <w:abstractNumId w:val="2505572"/>
  </w:num>
  <w:num w:numId="11">
    <w:abstractNumId w:val="2505573"/>
  </w:num>
  <w:num w:numId="12">
    <w:abstractNumId w:val="2505574"/>
  </w:num>
  <w:num w:numId="13">
    <w:abstractNumId w:val="2505575"/>
  </w:num>
  <w:num w:numId="14">
    <w:abstractNumId w:val="2505576"/>
  </w:num>
  <w:num w:numId="15">
    <w:abstractNumId w:val="2505577"/>
  </w:num>
  <w:num w:numId="16">
    <w:abstractNumId w:val="2505578"/>
  </w:num>
  <w:num w:numId="17">
    <w:abstractNumId w:val="2505579"/>
  </w:num>
  <w:num w:numId="18">
    <w:abstractNumId w:val="2505580"/>
  </w:num>
  <w:num w:numId="19">
    <w:abstractNumId w:val="2505581"/>
  </w:num>
  <w:num w:numId="20">
    <w:abstractNumId w:val="2505582"/>
  </w:num>
  <w:num w:numId="21">
    <w:abstractNumId w:val="2505583"/>
  </w:num>
  <w:num w:numId="22">
    <w:abstractNumId w:val="2505584"/>
  </w:num>
  <w:num w:numId="23">
    <w:abstractNumId w:val="2505585"/>
  </w:num>
  <w:num w:numId="24">
    <w:abstractNumId w:val="2505586"/>
  </w:num>
  <w:num w:numId="25">
    <w:abstractNumId w:val="2505587"/>
  </w:num>
  <w:num w:numId="26">
    <w:abstractNumId w:val="2505588"/>
  </w:num>
  <w:num w:numId="27">
    <w:abstractNumId w:val="2505589"/>
  </w:num>
  <w:num w:numId="28">
    <w:abstractNumId w:val="2505590"/>
  </w:num>
  <w:num w:numId="29">
    <w:abstractNumId w:val="2505591"/>
  </w:num>
  <w:num w:numId="30">
    <w:abstractNumId w:val="2505592"/>
  </w:num>
  <w:num w:numId="31">
    <w:abstractNumId w:val="2505593"/>
  </w:num>
  <w:num w:numId="32">
    <w:abstractNumId w:val="2505594"/>
  </w:num>
  <w:num w:numId="33">
    <w:abstractNumId w:val="2505595"/>
  </w:num>
  <w:num w:numId="34">
    <w:abstractNumId w:val="2505596"/>
  </w:num>
  <w:num w:numId="35">
    <w:abstractNumId w:val="2505597"/>
  </w:num>
  <w:num w:numId="36">
    <w:abstractNumId w:val="2505598"/>
  </w:num>
  <w:num w:numId="37">
    <w:abstractNumId w:val="25055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2026-09-19T04:26:09Z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{"Label":"1","ContentProducer":"001191110102MACQD9K64010000","ProduceID":"7687097849584831458","ReservedCode1":"","ContentPropagator":"","PropagateID":"","ReservedCode2":""}</vt:lpwstr>
  </property>
</Properties>
</file>