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555555"/>
          <w:sz w:val="20"/>
          <w:szCs w:val="20"/>
        </w:rPr>
        <w:t xml:space="preserve">Data Science I · Coderhouse · Pre-entrega 1</w:t>
      </w:r>
    </w:p>
    <w:p>
      <w:pPr>
        <w:spacing w:after="100"/>
      </w:pPr>
      <w:r>
        <w:rPr>
          <w:rFonts w:ascii="Calibri" w:cs="Calibri" w:eastAsia="Calibri" w:hAnsi="Calibri"/>
          <w:b/>
          <w:bCs/>
          <w:color w:val="3B6D11"/>
          <w:sz w:val="40"/>
          <w:szCs w:val="40"/>
        </w:rPr>
        <w:t xml:space="preserve">Predicción de recompra a 90 días en un e-commerce argentino</w:t>
      </w:r>
    </w:p>
    <w:p>
      <w:pPr>
        <w:spacing w:after="60"/>
      </w:pPr>
      <w:r>
        <w:rPr>
          <w:rFonts w:ascii="Calibri" w:cs="Calibri" w:eastAsia="Calibri" w:hAnsi="Calibri"/>
          <w:color w:val="333333"/>
          <w:sz w:val="26"/>
          <w:szCs w:val="26"/>
        </w:rPr>
        <w:t xml:space="preserve">Selección y validación del dataset</w:t>
      </w:r>
    </w:p>
    <w:p>
      <w:pPr>
        <w:pBdr>
          <w:bottom w:val="single" w:color="3B6D11" w:sz="8" w:space="6"/>
        </w:pBdr>
        <w:spacing w:after="320"/>
      </w:pPr>
      <w:r>
        <w:rPr>
          <w:rFonts w:ascii="Calibri" w:cs="Calibri" w:eastAsia="Calibri" w:hAnsi="Calibri"/>
          <w:color w:val="555555"/>
          <w:sz w:val="20"/>
          <w:szCs w:val="20"/>
        </w:rPr>
        <w:t xml:space="preserve">Autor: Luciano  ·  Septiembre 2026  ·  Repositorio: https://github.com/riveroluciano97-art/ecommerce-ar-data-science</w:t>
      </w:r>
    </w:p>
    <w:p>
      <w:pPr>
        <w:pStyle w:val="Heading1"/>
        <w:spacing w:after="160" w:before="320"/>
      </w:pPr>
      <w:r>
        <w:rPr>
          <w:rFonts w:ascii="Calibri" w:cs="Calibri" w:eastAsia="Calibri" w:hAnsi="Calibri"/>
          <w:b/>
          <w:bCs/>
          <w:color w:val="3B6D11"/>
          <w:sz w:val="30"/>
          <w:szCs w:val="30"/>
        </w:rPr>
        <w:t xml:space="preserve">1. Contexto de negocio y motivación</w:t>
      </w:r>
    </w:p>
    <w:p>
      <w:pPr>
        <w:pStyle w:val="Heading2"/>
        <w:spacing w:after="100" w:before="200"/>
      </w:pPr>
      <w:r>
        <w:rPr>
          <w:rFonts w:ascii="Calibri" w:cs="Calibri" w:eastAsia="Calibri" w:hAnsi="Calibri"/>
          <w:b/>
          <w:bCs/>
          <w:color w:val="222222"/>
          <w:sz w:val="24"/>
          <w:szCs w:val="24"/>
        </w:rPr>
        <w:t xml:space="preserve">Tema elegido: e-commerce (retail multicanal en Argentina)</w:t>
      </w:r>
    </w:p>
    <w:p>
      <w:pPr>
        <w:spacing w:after="120" w:line="300"/>
        <w:jc w:val="both"/>
      </w:pPr>
      <w:r>
        <w:rPr>
          <w:rFonts w:ascii="Calibri" w:cs="Calibri" w:eastAsia="Calibri" w:hAnsi="Calibri"/>
          <w:sz w:val="22"/>
          <w:szCs w:val="22"/>
        </w:rPr>
        <w:t xml:space="preserve">El caso es un e-commerce argentino de consumo masivo que vende cinco categorías de productos (Tecnología, Hogar, Indumentaria, Deportes y Belleza) a través de cuatro canales: tienda propia, Mercado Libre, Instagram Shop y WhatsApp. Opera en un contexto típicamente argentino: inflación mensual que obliga a separar crecimiento nominal de crecimiento real, comisiones de marketplace que cambian en el tiempo, venta en cuotas y eventos comerciales como Hot Sale (mayo) y CyberMonday (noviembre) que disparan el volumen con descuentos agresivos.</w:t>
      </w:r>
    </w:p>
    <w:p>
      <w:pPr>
        <w:spacing w:after="120" w:line="300"/>
        <w:jc w:val="both"/>
      </w:pPr>
      <w:r>
        <w:rPr>
          <w:rFonts w:ascii="Calibri" w:cs="Calibri" w:eastAsia="Calibri" w:hAnsi="Calibri"/>
          <w:sz w:val="22"/>
          <w:szCs w:val="22"/>
        </w:rPr>
        <w:t xml:space="preserve">Este proyecto es la continuación de mi proyecto final de la carrera de Data Analytics, donde analicé el mismo negocio con SQL Server y Power BI para responder "dónde crece el negocio y dónde pierde rentabilidad". De ese análisis descriptivo salieron cinco hallazgos, y dos de ellos motivan directamente este trabajo:</w:t>
      </w:r>
    </w:p>
    <w:p>
      <w:pPr>
        <w:pStyle w:val="ListParagraph"/>
        <w:numPr>
          <w:ilvl w:val="0"/>
          <w:numId w:val="2"/>
        </w:numPr>
        <w:spacing w:after="80"/>
      </w:pPr>
      <w:r>
        <w:rPr>
          <w:rFonts w:ascii="Calibri" w:cs="Calibri" w:eastAsia="Calibri" w:hAnsi="Calibri"/>
          <w:sz w:val="22"/>
          <w:szCs w:val="22"/>
        </w:rPr>
        <w:t xml:space="preserve">Los clientes recurrentes gastan </w:t>
      </w:r>
      <w:r>
        <w:rPr>
          <w:rFonts w:ascii="Calibri" w:cs="Calibri" w:eastAsia="Calibri" w:hAnsi="Calibri"/>
          <w:b/>
          <w:bCs/>
          <w:sz w:val="22"/>
          <w:szCs w:val="22"/>
        </w:rPr>
        <w:t xml:space="preserve">~25% más por ticket</w:t>
      </w:r>
      <w:r>
        <w:rPr>
          <w:rFonts w:ascii="Calibri" w:cs="Calibri" w:eastAsia="Calibri" w:hAnsi="Calibri"/>
          <w:sz w:val="22"/>
          <w:szCs w:val="22"/>
        </w:rPr>
        <w:t xml:space="preserve"> que los nuevos, y la brecha se mantiene durante los 18 meses: es un patrón estructural, no una fluctuación.</w:t>
      </w:r>
    </w:p>
    <w:p>
      <w:pPr>
        <w:pStyle w:val="ListParagraph"/>
        <w:numPr>
          <w:ilvl w:val="0"/>
          <w:numId w:val="2"/>
        </w:numPr>
        <w:spacing w:after="80"/>
      </w:pPr>
      <w:r>
        <w:rPr>
          <w:rFonts w:ascii="Calibri" w:cs="Calibri" w:eastAsia="Calibri" w:hAnsi="Calibri"/>
          <w:sz w:val="22"/>
          <w:szCs w:val="22"/>
        </w:rPr>
        <w:t xml:space="preserve">El margen se comprime fuerte en eventos (de 20,2% general a 9,7% en Hot Sale) y en canales con comisión alta: cada peso de descuento tiene que estar bien dirigido.</w:t>
      </w:r>
    </w:p>
    <w:p>
      <w:pPr>
        <w:pStyle w:val="Heading2"/>
        <w:spacing w:after="100" w:before="200"/>
      </w:pPr>
      <w:r>
        <w:rPr>
          <w:rFonts w:ascii="Calibri" w:cs="Calibri" w:eastAsia="Calibri" w:hAnsi="Calibri"/>
          <w:b/>
          <w:bCs/>
          <w:color w:val="222222"/>
          <w:sz w:val="24"/>
          <w:szCs w:val="24"/>
        </w:rPr>
        <w:t xml:space="preserve">Por qué es importante este problema</w:t>
      </w:r>
    </w:p>
    <w:p>
      <w:pPr>
        <w:spacing w:after="120" w:line="300"/>
        <w:jc w:val="both"/>
      </w:pPr>
      <w:r>
        <w:rPr>
          <w:rFonts w:ascii="Calibri" w:cs="Calibri" w:eastAsia="Calibri" w:hAnsi="Calibri"/>
          <w:sz w:val="22"/>
          <w:szCs w:val="22"/>
        </w:rPr>
        <w:t xml:space="preserve">Si retener rinde más que captar, la pregunta operativa es a quién retener. Hoy el negocio reparte descuentos, remarketing y envíos gratis de forma masiva, y eso tiene dos costos ocultos: regala margen a clientes que iban a volver de todas formas, y no llega a tiempo a los que están por irse. Un modelo que anticipe qué clientes tienen alta o baja probabilidad de volver permite convertir el presupuesto de retención en una inversión dirigida en lugar de un gasto uniforme. El valor está en la decisión que habilita: a quién incentivar, a quién no, y cuándo.</w:t>
      </w:r>
    </w:p>
    <w:p>
      <w:pPr>
        <w:pStyle w:val="Heading1"/>
        <w:spacing w:after="160" w:before="320"/>
      </w:pPr>
      <w:r>
        <w:rPr>
          <w:rFonts w:ascii="Calibri" w:cs="Calibri" w:eastAsia="Calibri" w:hAnsi="Calibri"/>
          <w:b/>
          <w:bCs/>
          <w:color w:val="3B6D11"/>
          <w:sz w:val="30"/>
          <w:szCs w:val="30"/>
        </w:rPr>
        <w:t xml:space="preserve">2. Definición del problema de Data Science</w:t>
      </w:r>
    </w:p>
    <w:p>
      <w:pPr>
        <w:pBdr>
          <w:left w:val="single" w:color="3B6D11" w:sz="12" w:space="8"/>
        </w:pBdr>
        <w:spacing w:after="160" w:before="80"/>
        <w:ind w:left="500" w:right="500"/>
      </w:pPr>
      <w:r>
        <w:rPr>
          <w:rFonts w:ascii="Calibri" w:cs="Calibri" w:eastAsia="Calibri" w:hAnsi="Calibri"/>
          <w:i/>
          <w:iCs/>
          <w:color w:val="333333"/>
          <w:sz w:val="22"/>
          <w:szCs w:val="22"/>
        </w:rPr>
        <w:t xml:space="preserve">¿Qué clientes tienen alta probabilidad de volver a comprar en los próximos 90 días, y en cuáles conviene invertir para retenerlos?</w:t>
      </w:r>
    </w:p>
    <w:p>
      <w:pPr>
        <w:spacing w:after="120" w:line="300"/>
        <w:jc w:val="both"/>
      </w:pPr>
      <w:r>
        <w:rPr>
          <w:rFonts w:ascii="Calibri" w:cs="Calibri" w:eastAsia="Calibri" w:hAnsi="Calibri"/>
          <w:sz w:val="22"/>
          <w:szCs w:val="22"/>
        </w:rPr>
        <w:t xml:space="preserve">Es un problema de </w:t>
      </w:r>
      <w:r>
        <w:rPr>
          <w:rFonts w:ascii="Calibri" w:cs="Calibri" w:eastAsia="Calibri" w:hAnsi="Calibri"/>
          <w:b/>
          <w:bCs/>
          <w:sz w:val="22"/>
          <w:szCs w:val="22"/>
        </w:rPr>
        <w:t xml:space="preserve">aprendizaje supervisado de clasificación binaria</w:t>
      </w:r>
      <w:r>
        <w:rPr>
          <w:rFonts w:ascii="Calibri" w:cs="Calibri" w:eastAsia="Calibri" w:hAnsi="Calibri"/>
          <w:sz w:val="22"/>
          <w:szCs w:val="22"/>
        </w:rPr>
        <w:t xml:space="preserve">. La variable objetivo es </w:t>
      </w:r>
      <w:r>
        <w:rPr>
          <w:rFonts w:ascii="Consolas" w:cs="Consolas" w:eastAsia="Consolas" w:hAnsi="Consolas"/>
          <w:sz w:val="22"/>
          <w:szCs w:val="22"/>
        </w:rPr>
        <w:t xml:space="preserve">recompra_90d</w:t>
      </w:r>
      <w:r>
        <w:rPr>
          <w:rFonts w:ascii="Calibri" w:cs="Calibri" w:eastAsia="Calibri" w:hAnsi="Calibri"/>
          <w:sz w:val="22"/>
          <w:szCs w:val="22"/>
        </w:rPr>
        <w:t xml:space="preserve">: vale 1 si el cliente realiza al menos una compra en los 90 días posteriores a la compra observada y 0 si no. La unidad de observación es la compra: cada fila describe una compra y el estado del cliente en ese momento (antigüedad, compras previas, recencia, gasto acumulado), que es exactamente la información que el negocio tendría disponible al decidir si le envía un incentivo o no.</w:t>
      </w:r>
    </w:p>
    <w:p>
      <w:pPr>
        <w:spacing w:after="120" w:line="300"/>
        <w:jc w:val="both"/>
      </w:pPr>
      <w:r>
        <w:rPr>
          <w:rFonts w:ascii="Calibri" w:cs="Calibri" w:eastAsia="Calibri" w:hAnsi="Calibri"/>
          <w:sz w:val="22"/>
          <w:szCs w:val="22"/>
        </w:rPr>
        <w:t xml:space="preserve">La ventana de 90 días se eligió porque el ciclo de recompra mediano del negocio ronda el mes y medio; un trimestre permite que un cliente activo vuelva sin que la ventana sea tan larga que "casi todos" recompren. La tasa de positivos del dataset es 42,1%, lo que hace al problema relativamente balanceado y evita que una clase domine al modelo.</w:t>
      </w:r>
    </w:p>
    <w:p>
      <w:pPr>
        <w:pStyle w:val="Heading2"/>
        <w:spacing w:after="100" w:before="200"/>
      </w:pPr>
      <w:r>
        <w:rPr>
          <w:rFonts w:ascii="Calibri" w:cs="Calibri" w:eastAsia="Calibri" w:hAnsi="Calibri"/>
          <w:b/>
          <w:bCs/>
          <w:color w:val="222222"/>
          <w:sz w:val="24"/>
          <w:szCs w:val="24"/>
        </w:rPr>
        <w:t xml:space="preserve">Hipótesis a validar en el análisis exploratorio</w:t>
      </w:r>
    </w:p>
    <w:p>
      <w:pPr>
        <w:pStyle w:val="ListParagraph"/>
        <w:numPr>
          <w:ilvl w:val="0"/>
          <w:numId w:val="2"/>
        </w:numPr>
        <w:spacing w:after="80"/>
      </w:pPr>
      <w:r>
        <w:rPr>
          <w:rFonts w:ascii="Calibri" w:cs="Calibri" w:eastAsia="Calibri" w:hAnsi="Calibri"/>
          <w:sz w:val="22"/>
          <w:szCs w:val="22"/>
        </w:rPr>
        <w:t xml:space="preserve">H1. Los clientes que ya compraron antes tienen una tasa de recompra mucho mayor que los que compran por primera vez (recurrencia genera recurrencia).</w:t>
      </w:r>
    </w:p>
    <w:p>
      <w:pPr>
        <w:pStyle w:val="ListParagraph"/>
        <w:numPr>
          <w:ilvl w:val="0"/>
          <w:numId w:val="2"/>
        </w:numPr>
        <w:spacing w:after="80"/>
      </w:pPr>
      <w:r>
        <w:rPr>
          <w:rFonts w:ascii="Calibri" w:cs="Calibri" w:eastAsia="Calibri" w:hAnsi="Calibri"/>
          <w:sz w:val="22"/>
          <w:szCs w:val="22"/>
        </w:rPr>
        <w:t xml:space="preserve">H2. Las compras hechas en Hot Sale o CyberMonday tienen menor recompra: los eventos atraen cazadores de ofertas, no clientes fieles.</w:t>
      </w:r>
    </w:p>
    <w:p>
      <w:pPr>
        <w:pStyle w:val="ListParagraph"/>
        <w:numPr>
          <w:ilvl w:val="0"/>
          <w:numId w:val="2"/>
        </w:numPr>
        <w:spacing w:after="80"/>
      </w:pPr>
      <w:r>
        <w:rPr>
          <w:rFonts w:ascii="Calibri" w:cs="Calibri" w:eastAsia="Calibri" w:hAnsi="Calibri"/>
          <w:sz w:val="22"/>
          <w:szCs w:val="22"/>
        </w:rPr>
        <w:t xml:space="preserve">H3. La recencia importa: a más días desde la última compra, menor probabilidad de volver.</w:t>
      </w:r>
    </w:p>
    <w:p>
      <w:pPr>
        <w:pStyle w:val="ListParagraph"/>
        <w:numPr>
          <w:ilvl w:val="0"/>
          <w:numId w:val="2"/>
        </w:numPr>
        <w:spacing w:after="80"/>
      </w:pPr>
      <w:r>
        <w:rPr>
          <w:rFonts w:ascii="Calibri" w:cs="Calibri" w:eastAsia="Calibri" w:hAnsi="Calibri"/>
          <w:sz w:val="22"/>
          <w:szCs w:val="22"/>
        </w:rPr>
        <w:t xml:space="preserve">H4. El canal influye: la tienda propia retiene más que Mercado Libre, donde la relación es con la plataforma y no con la marca.</w:t>
      </w:r>
    </w:p>
    <w:p>
      <w:pPr>
        <w:pStyle w:val="ListParagraph"/>
        <w:numPr>
          <w:ilvl w:val="0"/>
          <w:numId w:val="2"/>
        </w:numPr>
        <w:spacing w:after="80"/>
      </w:pPr>
      <w:r>
        <w:rPr>
          <w:rFonts w:ascii="Calibri" w:cs="Calibri" w:eastAsia="Calibri" w:hAnsi="Calibri"/>
          <w:sz w:val="22"/>
          <w:szCs w:val="22"/>
        </w:rPr>
        <w:t xml:space="preserve">H5. Indumentaria retiene menos desde su caída en 2026; las categorías de reposición retienen más.</w:t>
      </w:r>
    </w:p>
    <w:p>
      <w:pPr>
        <w:pStyle w:val="ListParagraph"/>
        <w:numPr>
          <w:ilvl w:val="0"/>
          <w:numId w:val="2"/>
        </w:numPr>
        <w:spacing w:after="80"/>
      </w:pPr>
      <w:r>
        <w:rPr>
          <w:rFonts w:ascii="Calibri" w:cs="Calibri" w:eastAsia="Calibri" w:hAnsi="Calibri"/>
          <w:sz w:val="22"/>
          <w:szCs w:val="22"/>
        </w:rPr>
        <w:t xml:space="preserve">H6. El ticket en pesos constantes de los recurrentes es mayor que el de los nuevos (replica en Python el hallazgo del dashboard).</w:t>
      </w:r>
    </w:p>
    <w:p>
      <w:pPr>
        <w:spacing w:after="120" w:line="300"/>
        <w:jc w:val="both"/>
      </w:pPr>
      <w:r>
        <w:rPr>
          <w:rFonts w:ascii="Calibri" w:cs="Calibri" w:eastAsia="Calibri" w:hAnsi="Calibri"/>
          <w:sz w:val="22"/>
          <w:szCs w:val="22"/>
        </w:rPr>
        <w:t xml:space="preserve">Extensión posible para el proyecto final o Data Science II: regresión del gasto futuro a 90 días (</w:t>
      </w:r>
      <w:r>
        <w:rPr>
          <w:rFonts w:ascii="Consolas" w:cs="Consolas" w:eastAsia="Consolas" w:hAnsi="Consolas"/>
          <w:sz w:val="22"/>
          <w:szCs w:val="22"/>
        </w:rPr>
        <w:t xml:space="preserve">gasto_90d</w:t>
      </w:r>
      <w:r>
        <w:rPr>
          <w:rFonts w:ascii="Calibri" w:cs="Calibri" w:eastAsia="Calibri" w:hAnsi="Calibri"/>
          <w:sz w:val="22"/>
          <w:szCs w:val="22"/>
        </w:rPr>
        <w:t xml:space="preserve">) y segmentación RFM de clientes con clustering.</w:t>
      </w:r>
    </w:p>
    <w:p>
      <w:pPr>
        <w:pStyle w:val="Heading1"/>
        <w:spacing w:after="160" w:before="320"/>
      </w:pPr>
      <w:r>
        <w:rPr>
          <w:rFonts w:ascii="Calibri" w:cs="Calibri" w:eastAsia="Calibri" w:hAnsi="Calibri"/>
          <w:b/>
          <w:bCs/>
          <w:color w:val="3B6D11"/>
          <w:sz w:val="30"/>
          <w:szCs w:val="30"/>
        </w:rPr>
        <w:t xml:space="preserve">3. Ficha técnica del dataset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rPr>
          <w:tblHeader/>
        </w:trPr>
        <w:tc>
          <w:tcPr>
            <w:tcW w:type="dxa" w:w="2400"/>
            <w:shd w:fill="E8F1D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Ítem</w:t>
            </w:r>
          </w:p>
        </w:tc>
        <w:tc>
          <w:tcPr>
            <w:tcW w:type="dxa" w:w="6400"/>
            <w:shd w:fill="E8F1D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Detalle</w:t>
            </w:r>
          </w:p>
        </w:tc>
      </w:tr>
      <w:tr>
        <w:tc>
          <w:tcPr>
            <w:tcW w:type="dxa" w:w="24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Nombre</w:t>
            </w:r>
          </w:p>
        </w:tc>
        <w:tc>
          <w:tcPr>
            <w:tcW w:type="dxa" w:w="6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ventas_ds.csv</w:t>
            </w:r>
          </w:p>
        </w:tc>
      </w:tr>
      <w:tr>
        <w:tc>
          <w:tcPr>
            <w:tcW w:type="dxa" w:w="24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Origen</w:t>
            </w:r>
          </w:p>
        </w:tc>
        <w:tc>
          <w:tcPr>
            <w:tcW w:type="dxa" w:w="6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Dataset sintético generado en Python (numpy + pandas) con un script propio y semilla fija (42). Es 100% reproducible: el script está publicado junto al CSV.</w:t>
            </w:r>
          </w:p>
        </w:tc>
      </w:tr>
      <w:tr>
        <w:tc>
          <w:tcPr>
            <w:tcW w:type="dxa" w:w="24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Enlace a la fuente (GitHub)</w:t>
            </w:r>
          </w:p>
        </w:tc>
        <w:tc>
          <w:tcPr>
            <w:tcW w:type="dxa" w:w="6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https://github.com/riveroluciano97-art/ecommerce-ar-data-science</w:t>
            </w:r>
          </w:p>
        </w:tc>
      </w:tr>
      <w:tr>
        <w:tc>
          <w:tcPr>
            <w:tcW w:type="dxa" w:w="24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Enlace directo al CSV (raw)</w:t>
            </w:r>
          </w:p>
        </w:tc>
        <w:tc>
          <w:tcPr>
            <w:tcW w:type="dxa" w:w="6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https://raw.githubusercontent.com/riveroluciano97-art/ecommerce-ar-data-science/main/data/ventas_ds.csv</w:t>
            </w:r>
          </w:p>
        </w:tc>
      </w:tr>
      <w:tr>
        <w:tc>
          <w:tcPr>
            <w:tcW w:type="dxa" w:w="24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Publicación secundaria</w:t>
            </w:r>
          </w:p>
        </w:tc>
        <w:tc>
          <w:tcPr>
            <w:tcW w:type="dxa" w:w="6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Kaggle: Argentine E-commerce: 90-day Repurchase Prediction (licencia CC0)</w:t>
            </w:r>
          </w:p>
        </w:tc>
      </w:tr>
      <w:tr>
        <w:tc>
          <w:tcPr>
            <w:tcW w:type="dxa" w:w="24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Período</w:t>
            </w:r>
          </w:p>
        </w:tc>
        <w:tc>
          <w:tcPr>
            <w:tcW w:type="dxa" w:w="6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Enero 2025 a junio 2026 (18 meses)</w:t>
            </w:r>
          </w:p>
        </w:tc>
      </w:tr>
      <w:tr>
        <w:tc>
          <w:tcPr>
            <w:tcW w:type="dxa" w:w="24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Volumen inicial</w:t>
            </w:r>
          </w:p>
        </w:tc>
        <w:tc>
          <w:tcPr>
            <w:tcW w:type="dxa" w:w="6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7.617 filas (compras) × 23 columnas (22 variables + target)</w:t>
            </w:r>
          </w:p>
        </w:tc>
      </w:tr>
      <w:tr>
        <w:tc>
          <w:tcPr>
            <w:tcW w:type="dxa" w:w="24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Clientes distintos</w:t>
            </w:r>
          </w:p>
        </w:tc>
        <w:tc>
          <w:tcPr>
            <w:tcW w:type="dxa" w:w="6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4.208</w:t>
            </w:r>
          </w:p>
        </w:tc>
      </w:tr>
      <w:tr>
        <w:tc>
          <w:tcPr>
            <w:tcW w:type="dxa" w:w="24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Tasa de positivos del target</w:t>
            </w:r>
          </w:p>
        </w:tc>
        <w:tc>
          <w:tcPr>
            <w:tcW w:type="dxa" w:w="6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42,1% (2.731 recompras sobre 6.483 filas con target conocido)</w:t>
            </w:r>
          </w:p>
        </w:tc>
      </w:tr>
      <w:tr>
        <w:tc>
          <w:tcPr>
            <w:tcW w:type="dxa" w:w="24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Nulos deliberados</w:t>
            </w:r>
          </w:p>
        </w:tc>
        <w:tc>
          <w:tcPr>
            <w:tcW w:type="dxa" w:w="6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dias_desde_ultima_compra (49%, primeras compras), medio_pago (3%), recompra_90d (15%, ventana truncada al final del período)</w:t>
            </w:r>
          </w:p>
        </w:tc>
      </w:tr>
    </w:tbl>
    <w:p>
      <w:pPr>
        <w:spacing w:after="80"/>
        <w:jc w:val="both"/>
      </w:pPr>
      <w:r>
        <w:rPr>
          <w:rFonts w:ascii="Calibri" w:cs="Calibri" w:eastAsia="Calibri" w:hAnsi="Calibri"/>
          <w:sz w:val="22"/>
          <w:szCs w:val="22"/>
        </w:rPr>
        <w:t xml:space="preserve"/>
      </w:r>
    </w:p>
    <w:p>
      <w:pPr>
        <w:pStyle w:val="Heading2"/>
        <w:spacing w:after="100" w:before="200"/>
      </w:pPr>
      <w:r>
        <w:rPr>
          <w:rFonts w:ascii="Calibri" w:cs="Calibri" w:eastAsia="Calibri" w:hAnsi="Calibri"/>
          <w:b/>
          <w:bCs/>
          <w:color w:val="222222"/>
          <w:sz w:val="24"/>
          <w:szCs w:val="24"/>
        </w:rPr>
        <w:t xml:space="preserve">Por qué un dataset sintético y cómo se construyó</w:t>
      </w:r>
    </w:p>
    <w:p>
      <w:pPr>
        <w:spacing w:after="120" w:line="300"/>
        <w:jc w:val="both"/>
      </w:pPr>
      <w:r>
        <w:rPr>
          <w:rFonts w:ascii="Calibri" w:cs="Calibri" w:eastAsia="Calibri" w:hAnsi="Calibri"/>
          <w:sz w:val="22"/>
          <w:szCs w:val="22"/>
        </w:rPr>
        <w:t xml:space="preserve">No existe un dataset público de un e-commerce argentino con precios en pesos, inflación, comisiones de marketplace y eventos locales; los datasets de Kaggle sobre retail son de mercados sin esas particularidades. Generar los datos permite plantear un problema con contexto real de LATAM y, sobre todo, controlar la construcción del target. El script reutiliza el catálogo de 60 productos, los cuatro canales y la lógica de precios e inflación del proyecto de Data Analytics, y reemplaza la capa de clientes por un modelo de comportamiento: cada cliente tiene una fidelidad latente que determina cada cuánto vuelve y cuándo deja de comprar, afectada por el canal, la categoría y si fue captado en un evento.</w:t>
      </w:r>
    </w:p>
    <w:p>
      <w:pPr>
        <w:pStyle w:val="Heading2"/>
        <w:spacing w:after="100" w:before="200"/>
      </w:pPr>
      <w:r>
        <w:rPr>
          <w:rFonts w:ascii="Calibri" w:cs="Calibri" w:eastAsia="Calibri" w:hAnsi="Calibri"/>
          <w:b/>
          <w:bCs/>
          <w:color w:val="222222"/>
          <w:sz w:val="24"/>
          <w:szCs w:val="24"/>
        </w:rPr>
        <w:t xml:space="preserve">Validación de factibilidad y regla anti-leakage</w:t>
      </w:r>
    </w:p>
    <w:p>
      <w:pPr>
        <w:spacing w:after="120" w:line="300"/>
        <w:jc w:val="both"/>
      </w:pPr>
      <w:r>
        <w:rPr>
          <w:rFonts w:ascii="Calibri" w:cs="Calibri" w:eastAsia="Calibri" w:hAnsi="Calibri"/>
          <w:sz w:val="22"/>
          <w:szCs w:val="22"/>
        </w:rPr>
        <w:t xml:space="preserve">El dataset supera el mínimo sugerido de 5.000 filas y 12 columnas. Se cuidó especialmente la </w:t>
      </w:r>
      <w:r>
        <w:rPr>
          <w:rFonts w:ascii="Calibri" w:cs="Calibri" w:eastAsia="Calibri" w:hAnsi="Calibri"/>
          <w:b/>
          <w:bCs/>
          <w:sz w:val="22"/>
          <w:szCs w:val="22"/>
        </w:rPr>
        <w:t xml:space="preserve">fuga de datos (data leakage)</w:t>
      </w:r>
      <w:r>
        <w:rPr>
          <w:rFonts w:ascii="Calibri" w:cs="Calibri" w:eastAsia="Calibri" w:hAnsi="Calibri"/>
          <w:sz w:val="22"/>
          <w:szCs w:val="22"/>
        </w:rPr>
        <w:t xml:space="preserve">: ninguna variable predictora usa información posterior a la fecha de la compra. Las variables de comportamiento se calculan únicamente con compras anteriores, y el target únicamente con compras posteriores. Para que los clientes que ya existían en enero 2025 tengan historia real, se simuló actividad desde enero 2024 pero solo se exportan las compras del período de análisis. Cuando la ventana de 90 días queda cortada por el fin del período sin recompra observada, el target queda como valor faltante (desconocido) y no como 0: esas filas se excluirán del entrenamiento.</w:t>
      </w:r>
    </w:p>
    <w:p>
      <w:pPr>
        <w:pStyle w:val="Heading1"/>
        <w:spacing w:after="160" w:before="320"/>
      </w:pPr>
      <w:r>
        <w:rPr>
          <w:rFonts w:ascii="Calibri" w:cs="Calibri" w:eastAsia="Calibri" w:hAnsi="Calibri"/>
          <w:b/>
          <w:bCs/>
          <w:color w:val="3B6D11"/>
          <w:sz w:val="30"/>
          <w:szCs w:val="30"/>
        </w:rPr>
        <w:t xml:space="preserve">4. Diccionario de datos preliminar</w:t>
      </w:r>
    </w:p>
    <w:p>
      <w:pPr>
        <w:spacing w:after="120" w:line="300"/>
        <w:jc w:val="both"/>
      </w:pPr>
      <w:r>
        <w:rPr>
          <w:rFonts w:ascii="Calibri" w:cs="Calibri" w:eastAsia="Calibri" w:hAnsi="Calibri"/>
          <w:sz w:val="22"/>
          <w:szCs w:val="22"/>
        </w:rPr>
        <w:t xml:space="preserve">Se describen las variables clave para el modelo (el diccionario completo de las 23 columnas está en el repositorio, en data/diccionario_datos.md). Montos en pesos argentinos nominales del momento de la compra.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600"/>
      </w:tblGrid>
      <w:tr>
        <w:trPr>
          <w:tblHeader/>
        </w:trPr>
        <w:tc>
          <w:tcPr>
            <w:tcW w:type="dxa" w:w="2300"/>
            <w:shd w:fill="E8F1D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Variable</w:t>
            </w:r>
          </w:p>
        </w:tc>
        <w:tc>
          <w:tcPr>
            <w:tcW w:type="dxa" w:w="1900"/>
            <w:shd w:fill="E8F1D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Tipo</w:t>
            </w:r>
          </w:p>
        </w:tc>
        <w:tc>
          <w:tcPr>
            <w:tcW w:type="dxa" w:w="4600"/>
            <w:shd w:fill="E8F1D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Qué representa</w:t>
            </w:r>
          </w:p>
        </w:tc>
      </w:tr>
      <w:tr>
        <w:tc>
          <w:tcPr>
            <w:tcW w:type="dxa" w:w="23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recompra_90d</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Binaria (0/1) — TARGET</w:t>
            </w:r>
          </w:p>
        </w:tc>
        <w:tc>
          <w:tcPr>
            <w:tcW w:type="dxa" w:w="4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si el cliente compró de nuevo dentro de los 90 días posteriores a esta compra; 0 si no. NaN si la ventana quedó truncada al final del período sin recompra observada.</w:t>
            </w:r>
          </w:p>
        </w:tc>
      </w:tr>
      <w:tr>
        <w:tc>
          <w:tcPr>
            <w:tcW w:type="dxa" w:w="23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compras_previas</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Numérica (entero)</w:t>
            </w:r>
          </w:p>
        </w:tc>
        <w:tc>
          <w:tcPr>
            <w:tcW w:type="dxa" w:w="4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Cantidad de compras anteriores del cliente. 0 = cliente nuevo. Principal indicador de recurrencia (H1).</w:t>
            </w:r>
          </w:p>
        </w:tc>
      </w:tr>
      <w:tr>
        <w:tc>
          <w:tcPr>
            <w:tcW w:type="dxa" w:w="23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dias_desde_ultima_compra</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Numérica (días)</w:t>
            </w:r>
          </w:p>
        </w:tc>
        <w:tc>
          <w:tcPr>
            <w:tcW w:type="dxa" w:w="4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Recencia: días transcurridos desde la compra anterior. NaN en la primera compra, porque no existe compra anterior (H3).</w:t>
            </w:r>
          </w:p>
        </w:tc>
      </w:tr>
      <w:tr>
        <w:tc>
          <w:tcPr>
            <w:tcW w:type="dxa" w:w="23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gasto_previo_acum</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Numérica (ARS)</w:t>
            </w:r>
          </w:p>
        </w:tc>
        <w:tc>
          <w:tcPr>
            <w:tcW w:type="dxa" w:w="4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Monto acumulado en compras anteriores. Proxy del valor histórico del cliente.</w:t>
            </w:r>
          </w:p>
        </w:tc>
      </w:tr>
      <w:tr>
        <w:tc>
          <w:tcPr>
            <w:tcW w:type="dxa" w:w="23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antiguedad_dias</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Numérica (días)</w:t>
            </w:r>
          </w:p>
        </w:tc>
        <w:tc>
          <w:tcPr>
            <w:tcW w:type="dxa" w:w="4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Días desde la primera compra del cliente hasta esta compra. 0 = primera compra.</w:t>
            </w:r>
          </w:p>
        </w:tc>
      </w:tr>
      <w:tr>
        <w:tc>
          <w:tcPr>
            <w:tcW w:type="dxa" w:w="23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canal</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Categórica</w:t>
            </w:r>
          </w:p>
        </w:tc>
        <w:tc>
          <w:tcPr>
            <w:tcW w:type="dxa" w:w="4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Tienda propia, Mercado Libre, Instagram Shop o WhatsApp. Permite testear si el canal propio retiene más que el marketplace (H4).</w:t>
            </w:r>
          </w:p>
        </w:tc>
      </w:tr>
      <w:tr>
        <w:tc>
          <w:tcPr>
            <w:tcW w:type="dxa" w:w="23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categoria</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Categórica</w:t>
            </w:r>
          </w:p>
        </w:tc>
        <w:tc>
          <w:tcPr>
            <w:tcW w:type="dxa" w:w="4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Tecnología, Hogar, Indumentaria, Deportes o Belleza (H5).</w:t>
            </w:r>
          </w:p>
        </w:tc>
      </w:tr>
      <w:tr>
        <w:tc>
          <w:tcPr>
            <w:tcW w:type="dxa" w:w="23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es_evento</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Booleana</w:t>
            </w:r>
          </w:p>
        </w:tc>
        <w:tc>
          <w:tcPr>
            <w:tcW w:type="dxa" w:w="4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True si la compra ocurrió en Hot Sale (mayo) o CyberMonday (noviembre) (H2).</w:t>
            </w:r>
          </w:p>
        </w:tc>
      </w:tr>
      <w:tr>
        <w:tc>
          <w:tcPr>
            <w:tcW w:type="dxa" w:w="23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monto</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Numérica (ARS)</w:t>
            </w:r>
          </w:p>
        </w:tc>
        <w:tc>
          <w:tcPr>
            <w:tcW w:type="dxa" w:w="4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Importe de la compra: cantidad × precio unitario × (1 − descuento). Se deflacta con indice_inflacion para comparar en pesos constantes (H6).</w:t>
            </w:r>
          </w:p>
        </w:tc>
      </w:tr>
      <w:tr>
        <w:tc>
          <w:tcPr>
            <w:tcW w:type="dxa" w:w="23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descuento_pct</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Numérica (0 a 0,25)</w:t>
            </w:r>
          </w:p>
        </w:tc>
        <w:tc>
          <w:tcPr>
            <w:tcW w:type="dxa" w:w="4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Descuento aplicado. Permite medir si los clientes captados con descuento vuelven menos.</w:t>
            </w:r>
          </w:p>
        </w:tc>
      </w:tr>
      <w:tr>
        <w:tc>
          <w:tcPr>
            <w:tcW w:type="dxa" w:w="23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indice_inflacion</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Numérica</w:t>
            </w:r>
          </w:p>
        </w:tc>
        <w:tc>
          <w:tcPr>
            <w:tcW w:type="dxa" w:w="4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Índice de precios acumulado del mes (base enero 2025 = 1,045), para expresar montos en pesos constantes.</w:t>
            </w:r>
          </w:p>
        </w:tc>
      </w:tr>
      <w:tr>
        <w:tc>
          <w:tcPr>
            <w:tcW w:type="dxa" w:w="23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medio_pago / cuotas</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Categórica / entero</w:t>
            </w:r>
          </w:p>
        </w:tc>
        <w:tc>
          <w:tcPr>
            <w:tcW w:type="dxa" w:w="4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Forma de pago y cantidad de cuotas (1, 3, 6 o 12). medio_pago tiene ~3% de nulos deliberados para practicar limpieza.</w:t>
            </w:r>
          </w:p>
        </w:tc>
      </w:tr>
    </w:tbl>
    <w:p>
      <w:pPr>
        <w:spacing w:after="120"/>
        <w:jc w:val="both"/>
      </w:pPr>
      <w:r>
        <w:rPr>
          <w:rFonts w:ascii="Calibri" w:cs="Calibri" w:eastAsia="Calibri" w:hAnsi="Calibri"/>
          <w:sz w:val="22"/>
          <w:szCs w:val="22"/>
        </w:rPr>
        <w:t xml:space="preserve"/>
      </w:r>
    </w:p>
    <w:p>
      <w:pPr>
        <w:pStyle w:val="Heading2"/>
        <w:spacing w:after="100" w:before="200"/>
      </w:pPr>
      <w:r>
        <w:rPr>
          <w:rFonts w:ascii="Calibri" w:cs="Calibri" w:eastAsia="Calibri" w:hAnsi="Calibri"/>
          <w:b/>
          <w:bCs/>
          <w:color w:val="222222"/>
          <w:sz w:val="24"/>
          <w:szCs w:val="24"/>
        </w:rPr>
        <w:t xml:space="preserve">Próximos pasos</w:t>
      </w:r>
    </w:p>
    <w:p>
      <w:pPr>
        <w:spacing w:after="120" w:line="300"/>
        <w:jc w:val="both"/>
      </w:pPr>
      <w:r>
        <w:rPr>
          <w:rFonts w:ascii="Calibri" w:cs="Calibri" w:eastAsia="Calibri" w:hAnsi="Calibri"/>
          <w:sz w:val="22"/>
          <w:szCs w:val="22"/>
        </w:rPr>
        <w:t xml:space="preserve">Pre-entrega 2: notebook con carga desde el enlace raw del repositorio, inspección y limpieza justificada de los nulos, análisis exploratorio organizado por las seis hipótesis (comparación numérica + gráfico + lectura) y hallazgos con números. Proyecto final: feature engineering, modelo baseline y modelos de clasificación con métricas leídas en términos de negocio y recomendaciones accionables para el presupuesto de retención.</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2026-09-07T11:26:46.690Z</dcterms:created>
  <dcterms:modified xsi:type="dcterms:W3CDTF">2026-09-07T11:26:46.701Z</dcterms:modified>
</cp:coreProperties>
</file>

<file path=docProps/custom.xml><?xml version="1.0" encoding="utf-8"?>
<Properties xmlns="http://schemas.openxmlformats.org/officeDocument/2006/custom-properties" xmlns:vt="http://schemas.openxmlformats.org/officeDocument/2006/docPropsVTypes"/>
</file>