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rPr>
          <w:b/>
          <w:bCs/>
          <w:caps/>
          <w:color w:val="C77B3B"/>
          <w:sz w:val="22"/>
          <w:szCs w:val="22"/>
        </w:rPr>
        <w:t xml:space="preserve">SO3 CONSORTIUM</w:t>
      </w:r>
    </w:p>
    <w:p>
      <w:pPr>
        <w:spacing w:after="200" w:before="200"/>
      </w:pPr>
      <w:r>
        <w:rPr>
          <w:b/>
          <w:bCs/>
          <w:color w:val="1F4E5F"/>
          <w:sz w:val="44"/>
          <w:szCs w:val="44"/>
        </w:rPr>
        <w:t xml:space="preserve">Manager as Coach — Webinar Proposal</w:t>
      </w:r>
    </w:p>
    <w:p>
      <w:pPr>
        <w:spacing w:after="100"/>
      </w:pPr>
      <w:r>
        <w:rPr>
          <w:i/>
          <w:iCs/>
          <w:color w:val="5A5A5A"/>
          <w:sz w:val="24"/>
          <w:szCs w:val="24"/>
        </w:rPr>
        <w:t xml:space="preserve">Lead-generation webinar for the £2,000 entry-tier consulting programme</w:t>
      </w:r>
    </w:p>
    <w:p>
      <w:pPr>
        <w:spacing w:after="40"/>
      </w:pPr>
      <w:r>
        <w:rPr>
          <w:b/>
          <w:bCs/>
          <w:color w:val="222222"/>
          <w:sz w:val="22"/>
          <w:szCs w:val="22"/>
        </w:rPr>
        <w:t xml:space="preserve">Proposed date: Saturday, 1 August 2026</w:t>
      </w:r>
    </w:p>
    <w:p>
      <w:pPr>
        <w:spacing w:after="40"/>
      </w:pPr>
      <w:r>
        <w:rPr>
          <w:color w:val="222222"/>
          <w:sz w:val="22"/>
          <w:szCs w:val="22"/>
        </w:rPr>
        <w:t xml:space="preserve">Prepared for: SO3 Consortium — Business Owners</w:t>
      </w:r>
    </w:p>
    <w:p>
      <w:pPr>
        <w:pBdr>
          <w:left w:val="single" w:color="C77B3B" w:sz="24" w:space="8"/>
        </w:pBdr>
        <w:shd w:fill="F2F5F6" w:val="clear"/>
        <w:spacing w:after="160" w:before="100"/>
        <w:ind w:left="200"/>
      </w:pPr>
      <w:r>
        <w:rPr>
          <w:i/>
          <w:iCs/>
          <w:color w:val="333333"/>
          <w:sz w:val="21"/>
          <w:szCs w:val="21"/>
        </w:rPr>
        <w:t xml:space="preserve">This document presents three data-backed webinar angles for owner review and selection. Each includes a full minute-by-minute outline, the supporting research behind it, target-audience fit, and honest tradeoffs. A recommendation and comparison table are provided at the end.</w:t>
      </w:r>
    </w:p>
    <w:p>
      <w:r>
        <w:br w:type="page"/>
      </w:r>
    </w:p>
    <w:p>
      <w:pPr>
        <w:pStyle w:val="Heading1"/>
        <w:pBdr>
          <w:bottom w:val="single" w:color="1F4E5F" w:sz="6" w:space="4"/>
        </w:pBdr>
        <w:spacing w:after="160" w:before="360"/>
      </w:pPr>
      <w:r>
        <w:rPr>
          <w:b/>
          <w:bCs/>
          <w:color w:val="1F4E5F"/>
          <w:sz w:val="30"/>
          <w:szCs w:val="30"/>
        </w:rPr>
        <w:t xml:space="preserve">1. Campaign Context</w:t>
      </w:r>
    </w:p>
    <w:p>
      <w:pPr>
        <w:spacing w:after="120" w:line="300"/>
      </w:pPr>
      <w:r>
        <w:rPr>
          <w:color w:val="222222"/>
          <w:sz w:val="21"/>
          <w:szCs w:val="21"/>
        </w:rPr>
        <w:t xml:space="preserve">This webinar is the centerpiece of a lead-generation funnel for the Manager as Coach programme (£1,950 entry price point), positioned as the accessible entry course within SO3's wider offering — several other programmes are priced closer to £50,000.</w:t>
      </w:r>
    </w:p>
    <w:p>
      <w:pPr>
        <w:pStyle w:val="ListParagraph"/>
        <w:numPr>
          <w:ilvl w:val="0"/>
          <w:numId w:val="1"/>
        </w:numPr>
        <w:spacing w:after="60" w:line="290"/>
      </w:pPr>
      <w:r>
        <w:rPr>
          <w:color w:val="222222"/>
          <w:sz w:val="21"/>
          <w:szCs w:val="21"/>
        </w:rPr>
        <w:t xml:space="preserve">Ad budget: ₦100,000, run as a lead-generation / registration campaign rather than a direct-purchase campaign, since a webinar registration is a lower-commitment ask than a course purchase form.</w:t>
      </w:r>
    </w:p>
    <w:p>
      <w:pPr>
        <w:pStyle w:val="ListParagraph"/>
        <w:numPr>
          <w:ilvl w:val="0"/>
          <w:numId w:val="1"/>
        </w:numPr>
        <w:spacing w:after="60" w:line="290"/>
      </w:pPr>
      <w:r>
        <w:rPr>
          <w:color w:val="222222"/>
          <w:sz w:val="21"/>
          <w:szCs w:val="21"/>
        </w:rPr>
        <w:t xml:space="preserve">Primary audience: C-suite executives, senior managers, and consulting/professional-services leadership in Nigeria.</w:t>
      </w:r>
    </w:p>
    <w:p>
      <w:pPr>
        <w:pStyle w:val="ListParagraph"/>
        <w:numPr>
          <w:ilvl w:val="0"/>
          <w:numId w:val="1"/>
        </w:numPr>
        <w:spacing w:after="60" w:line="290"/>
      </w:pPr>
      <w:r>
        <w:rPr>
          <w:color w:val="222222"/>
          <w:sz w:val="21"/>
          <w:szCs w:val="21"/>
        </w:rPr>
        <w:t xml:space="preserve">Funnel logic: ads drive webinar registrations → reminder sequence (email/WhatsApp) → live webinar teaches real value, then transitions into the course offer → post-webinar follow-up sequence closes attendees who didn't convert live.</w:t>
      </w:r>
    </w:p>
    <w:p>
      <w:pPr>
        <w:pStyle w:val="ListParagraph"/>
        <w:numPr>
          <w:ilvl w:val="0"/>
          <w:numId w:val="1"/>
        </w:numPr>
        <w:spacing w:after="60" w:line="290"/>
      </w:pPr>
      <w:r>
        <w:rPr>
          <w:color w:val="222222"/>
          <w:sz w:val="21"/>
          <w:szCs w:val="21"/>
        </w:rPr>
        <w:t xml:space="preserve">The webinar topic must attract an audience capable of a £2,000 (~₦3.5–4M) spend — most realistically company-expensed via an L&amp;D budget rather than paid personally, which shapes the framing toward organizational cost/ROI rather than personal development.</w:t>
      </w:r>
    </w:p>
    <w:p>
      <w:pPr>
        <w:spacing w:after="120" w:line="300"/>
      </w:pPr>
      <w:r>
        <w:rPr>
          <w:color w:val="222222"/>
          <w:sz w:val="21"/>
          <w:szCs w:val="21"/>
        </w:rPr>
        <w:t xml:space="preserve">Three topic angles are presented below, each grounded in verified data. Owners should select one (or request a hybrid) before ad copy and the registration funnel are finalized.</w:t>
      </w:r>
    </w:p>
    <w:p>
      <w:pPr>
        <w:pStyle w:val="Heading1"/>
        <w:pBdr>
          <w:bottom w:val="single" w:color="1F4E5F" w:sz="6" w:space="4"/>
        </w:pBdr>
        <w:spacing w:after="160" w:before="360"/>
      </w:pPr>
      <w:r>
        <w:rPr>
          <w:b/>
          <w:bCs/>
          <w:color w:val="1F4E5F"/>
          <w:sz w:val="30"/>
          <w:szCs w:val="30"/>
        </w:rPr>
        <w:t xml:space="preserve">2. Option 1 — “The 70% Factor”</w:t>
      </w:r>
    </w:p>
    <w:p>
      <w:pPr>
        <w:spacing w:after="120" w:line="300"/>
      </w:pPr>
      <w:r>
        <w:rPr>
          <w:i/>
          <w:iCs/>
          <w:color w:val="5A5A5A"/>
          <w:sz w:val="21"/>
          <w:szCs w:val="21"/>
        </w:rPr>
        <w:t xml:space="preserve">Broadest appeal. Best fit for a mixed C-suite and senior-manager audience across industries. Lowest production risk and fastest to build given the timeline to August 1.</w:t>
      </w:r>
    </w:p>
    <w:p>
      <w:pPr>
        <w:pStyle w:val="Heading2"/>
        <w:spacing w:after="120" w:before="280"/>
      </w:pPr>
      <w:r>
        <w:rPr>
          <w:b/>
          <w:bCs/>
          <w:color w:val="C77B3B"/>
          <w:sz w:val="24"/>
          <w:szCs w:val="24"/>
        </w:rPr>
        <w:t xml:space="preserve">Supporting Data</w:t>
      </w:r>
    </w:p>
    <w:p>
      <w:pPr>
        <w:pBdr>
          <w:left w:val="single" w:color="C77B3B" w:sz="24" w:space="8"/>
        </w:pBdr>
        <w:shd w:fill="F2F5F6" w:val="clear"/>
        <w:spacing w:after="160" w:before="100"/>
        <w:ind w:left="200"/>
      </w:pPr>
      <w:r>
        <w:rPr>
          <w:i/>
          <w:iCs/>
          <w:color w:val="333333"/>
          <w:sz w:val="21"/>
          <w:szCs w:val="21"/>
        </w:rPr>
        <w:t xml:space="preserve">Gallup, State of the Global Workplace: managers account for 70% of the variance in team employee engagement.</w:t>
      </w:r>
    </w:p>
    <w:p>
      <w:pPr>
        <w:pBdr>
          <w:left w:val="single" w:color="C77B3B" w:sz="24" w:space="8"/>
        </w:pBdr>
        <w:shd w:fill="F2F5F6" w:val="clear"/>
        <w:spacing w:after="160" w:before="100"/>
        <w:ind w:left="200"/>
      </w:pPr>
      <w:r>
        <w:rPr>
          <w:i/>
          <w:iCs/>
          <w:color w:val="333333"/>
          <w:sz w:val="21"/>
          <w:szCs w:val="21"/>
        </w:rPr>
        <w:t xml:space="preserve">The Nigerian Workplace Report (Intelpoint / Techpoint Africa, in partnership with AltSchool Africa — survey of 2,600+ respondents, Dec 2023–Mar 2024): lack of career advancement and bad leadership rank #2 and #3 among reasons Nigerian employees quit their jobs (the #1 reason is a better offer elsewhere).</w:t>
      </w:r>
    </w:p>
    <w:p>
      <w:pPr>
        <w:spacing w:after="120" w:line="300"/>
      </w:pPr>
      <w:r>
        <w:rPr>
          <w:color w:val="222222"/>
          <w:sz w:val="21"/>
          <w:szCs w:val="21"/>
        </w:rPr>
        <w:t xml:space="preserve">Both figures are traceable to primary or near-primary sources. The Nigerian report is a well-regarded, named study — citing it accurately (rather than the inflated “bad bosses are the #1 reason” claim commonly repeated online) is itself a credibility signal to an informed C-suite audience.</w:t>
      </w:r>
    </w:p>
    <w:p>
      <w:pPr>
        <w:pStyle w:val="Heading2"/>
        <w:spacing w:after="120" w:before="280"/>
      </w:pPr>
      <w:r>
        <w:rPr>
          <w:b/>
          <w:bCs/>
          <w:color w:val="C77B3B"/>
          <w:sz w:val="24"/>
          <w:szCs w:val="24"/>
        </w:rPr>
        <w:t xml:space="preserve">Why This Topic Needs Addressing</w:t>
      </w:r>
    </w:p>
    <w:p>
      <w:pPr>
        <w:spacing w:after="120" w:line="300"/>
      </w:pPr>
      <w:r>
        <w:rPr>
          <w:color w:val="222222"/>
          <w:sz w:val="21"/>
          <w:szCs w:val="21"/>
        </w:rPr>
        <w:t xml:space="preserve">Most managers are promoted for technical or individual performance, not for people-leadership ability, and receive little to no formal training once they move into the role. Gallup's own data shows this gap has been widening: manager engagement fell five points between 2024 and 2025 alone, meaning the people responsible for 70% of team engagement are themselves increasingly disengaged. For a Nigerian audience specifically, the data reframes a common assumption — leadership quality isn't a side issue, it's the second- and third-ranked reason people walk out the door, right after compensation. This is a live, current, and locally-grounded problem, not an imported statistic.</w:t>
      </w:r>
    </w:p>
    <w:p>
      <w:pPr>
        <w:pStyle w:val="Heading2"/>
        <w:spacing w:after="120" w:before="280"/>
      </w:pPr>
      <w:r>
        <w:rPr>
          <w:b/>
          <w:bCs/>
          <w:color w:val="C77B3B"/>
          <w:sz w:val="24"/>
          <w:szCs w:val="24"/>
        </w:rPr>
        <w:t xml:space="preserve">Introduction Into Consulting</w:t>
      </w:r>
    </w:p>
    <w:p>
      <w:pPr>
        <w:spacing w:after="120" w:line="300"/>
      </w:pPr>
      <w:r>
        <w:rPr>
          <w:color w:val="222222"/>
          <w:sz w:val="21"/>
          <w:szCs w:val="21"/>
        </w:rPr>
        <w:t xml:space="preserve">The bridge from data to offer here is direct: if managers drive 70% of engagement variance, and career advancement / leadership quality are top local attrition drivers, then management-coaching skill is not a soft add-on — it is a measurable retention and performance lever. The webinar positions structured coaching training (the Manager as Coach programme) as the systematic way to build the specific skill just demonstrated live during the session, rather than leaving it to trial and error.</w:t>
      </w:r>
    </w:p>
    <w:p>
      <w:pPr>
        <w:pStyle w:val="Heading2"/>
        <w:spacing w:after="120" w:before="280"/>
      </w:pPr>
      <w:r>
        <w:rPr>
          <w:b/>
          <w:bCs/>
          <w:color w:val="C77B3B"/>
          <w:sz w:val="24"/>
          <w:szCs w:val="24"/>
        </w:rPr>
        <w:t xml:space="preserve">Full Outline (60–75 minutes)</w:t>
      </w:r>
    </w:p>
    <w:p>
      <w:pPr>
        <w:spacing w:after="60" w:before="220"/>
      </w:pPr>
      <w:r>
        <w:rPr>
          <w:b/>
          <w:bCs/>
          <w:color w:val="C77B3B"/>
          <w:sz w:val="21"/>
          <w:szCs w:val="21"/>
        </w:rPr>
        <w:t xml:space="preserve">0–10 min  </w:t>
      </w:r>
      <w:r>
        <w:rPr>
          <w:b/>
          <w:bCs/>
          <w:color w:val="222222"/>
          <w:sz w:val="21"/>
          <w:szCs w:val="21"/>
        </w:rPr>
        <w:t xml:space="preserve">Open &amp; Frame</w:t>
      </w:r>
    </w:p>
    <w:p>
      <w:pPr>
        <w:spacing w:after="120" w:line="300"/>
      </w:pPr>
      <w:r>
        <w:rPr>
          <w:color w:val="222222"/>
          <w:sz w:val="21"/>
          <w:szCs w:val="21"/>
        </w:rPr>
        <w:t xml:space="preserve">Open with the 70% Gallup statistic. Run a live poll: “What percentage of your team's engagement do you think comes from you as their manager?” Use the gap between guesses and the real figure to create immediate self-relevance before any pitch is made.</w:t>
      </w:r>
    </w:p>
    <w:p>
      <w:pPr>
        <w:spacing w:after="60" w:before="220"/>
      </w:pPr>
      <w:r>
        <w:rPr>
          <w:b/>
          <w:bCs/>
          <w:color w:val="C77B3B"/>
          <w:sz w:val="21"/>
          <w:szCs w:val="21"/>
        </w:rPr>
        <w:t xml:space="preserve">10–40 min  </w:t>
      </w:r>
      <w:r>
        <w:rPr>
          <w:b/>
          <w:bCs/>
          <w:color w:val="222222"/>
          <w:sz w:val="21"/>
          <w:szCs w:val="21"/>
        </w:rPr>
        <w:t xml:space="preserve">Teach</w:t>
      </w:r>
    </w:p>
    <w:p>
      <w:pPr>
        <w:spacing w:after="120" w:line="300"/>
      </w:pPr>
      <w:r>
        <w:rPr>
          <w:color w:val="222222"/>
          <w:sz w:val="21"/>
          <w:szCs w:val="21"/>
        </w:rPr>
        <w:t xml:space="preserve">Deliver real, usable content: the specific coaching behaviors that separate managers who retain talent from those who don't — feedback cadence, growth conversations, listening vs. directing. Attendees should leave this segment with something they can apply the following Monday, independent of whether they buy anything.</w:t>
      </w:r>
    </w:p>
    <w:p>
      <w:pPr>
        <w:spacing w:after="60" w:before="220"/>
      </w:pPr>
      <w:r>
        <w:rPr>
          <w:b/>
          <w:bCs/>
          <w:color w:val="C77B3B"/>
          <w:sz w:val="21"/>
          <w:szCs w:val="21"/>
        </w:rPr>
        <w:t xml:space="preserve">40–50 min  </w:t>
      </w:r>
      <w:r>
        <w:rPr>
          <w:b/>
          <w:bCs/>
          <w:color w:val="222222"/>
          <w:sz w:val="21"/>
          <w:szCs w:val="21"/>
        </w:rPr>
        <w:t xml:space="preserve">Localize</w:t>
      </w:r>
    </w:p>
    <w:p>
      <w:pPr>
        <w:spacing w:after="120" w:line="300"/>
      </w:pPr>
      <w:r>
        <w:rPr>
          <w:color w:val="222222"/>
          <w:sz w:val="21"/>
          <w:szCs w:val="21"/>
        </w:rPr>
        <w:t xml:space="preserve">Introduce the Nigerian Workplace Report findings. Reframe the problem as local and immediate rather than an imported US case study — career advancement and leadership are #2 and #3 reasons people leave in Nigeria specifically.</w:t>
      </w:r>
    </w:p>
    <w:p>
      <w:pPr>
        <w:spacing w:after="60" w:before="220"/>
      </w:pPr>
      <w:r>
        <w:rPr>
          <w:b/>
          <w:bCs/>
          <w:color w:val="C77B3B"/>
          <w:sz w:val="21"/>
          <w:szCs w:val="21"/>
        </w:rPr>
        <w:t xml:space="preserve">50–60 min  </w:t>
      </w:r>
      <w:r>
        <w:rPr>
          <w:b/>
          <w:bCs/>
          <w:color w:val="222222"/>
          <w:sz w:val="21"/>
          <w:szCs w:val="21"/>
        </w:rPr>
        <w:t xml:space="preserve">Bridge to the Offer</w:t>
      </w:r>
    </w:p>
    <w:p>
      <w:pPr>
        <w:spacing w:after="120" w:line="300"/>
      </w:pPr>
      <w:r>
        <w:rPr>
          <w:color w:val="222222"/>
          <w:sz w:val="21"/>
          <w:szCs w:val="21"/>
        </w:rPr>
        <w:t xml:space="preserve">Introduce “manager as coach” as a trainable, systematic skillset — not innate talent. Position the course as the structured path to the capability just demonstrated in the teaching segment.</w:t>
      </w:r>
    </w:p>
    <w:p>
      <w:pPr>
        <w:spacing w:after="60" w:before="220"/>
      </w:pPr>
      <w:r>
        <w:rPr>
          <w:b/>
          <w:bCs/>
          <w:color w:val="C77B3B"/>
          <w:sz w:val="21"/>
          <w:szCs w:val="21"/>
        </w:rPr>
        <w:t xml:space="preserve">60–75 min  </w:t>
      </w:r>
      <w:r>
        <w:rPr>
          <w:b/>
          <w:bCs/>
          <w:color w:val="222222"/>
          <w:sz w:val="21"/>
          <w:szCs w:val="21"/>
        </w:rPr>
        <w:t xml:space="preserve">Close &amp; Q&amp;A</w:t>
      </w:r>
    </w:p>
    <w:p>
      <w:pPr>
        <w:spacing w:after="120" w:line="300"/>
      </w:pPr>
      <w:r>
        <w:rPr>
          <w:color w:val="222222"/>
          <w:sz w:val="21"/>
          <w:szCs w:val="21"/>
        </w:rPr>
        <w:t xml:space="preserve">Present the offer with a time-boxed bonus or enrollment deadline. Open the floor for questions, which also serves as informal objection-handling in front of the full room.</w:t>
      </w:r>
    </w:p>
    <w:p>
      <w:r>
        <w:br w:type="page"/>
      </w:r>
    </w:p>
    <w:p>
      <w:pPr>
        <w:pStyle w:val="Heading1"/>
        <w:pBdr>
          <w:bottom w:val="single" w:color="1F4E5F" w:sz="6" w:space="4"/>
        </w:pBdr>
        <w:spacing w:after="160" w:before="360"/>
      </w:pPr>
      <w:r>
        <w:rPr>
          <w:b/>
          <w:bCs/>
          <w:color w:val="1F4E5F"/>
          <w:sz w:val="30"/>
          <w:szCs w:val="30"/>
        </w:rPr>
        <w:t xml:space="preserve">3. Option 2 — “The Consulting Talent Trap”</w:t>
      </w:r>
    </w:p>
    <w:p>
      <w:pPr>
        <w:spacing w:after="120" w:line="300"/>
      </w:pPr>
      <w:r>
        <w:rPr>
          <w:i/>
          <w:iCs/>
          <w:color w:val="5A5A5A"/>
          <w:sz w:val="21"/>
          <w:szCs w:val="21"/>
        </w:rPr>
        <w:t xml:space="preserve">Sharper, narrower angle. Best fit only if the registrant list genuinely skews toward consulting and professional-services leadership rather than general corporate C-suite.</w:t>
      </w:r>
    </w:p>
    <w:p>
      <w:pPr>
        <w:pStyle w:val="Heading2"/>
        <w:spacing w:after="120" w:before="280"/>
      </w:pPr>
      <w:r>
        <w:rPr>
          <w:b/>
          <w:bCs/>
          <w:color w:val="C77B3B"/>
          <w:sz w:val="24"/>
          <w:szCs w:val="24"/>
        </w:rPr>
        <w:t xml:space="preserve">Supporting Data</w:t>
      </w:r>
    </w:p>
    <w:p>
      <w:pPr>
        <w:pBdr>
          <w:left w:val="single" w:color="C77B3B" w:sz="24" w:space="8"/>
        </w:pBdr>
        <w:shd w:fill="F2F5F6" w:val="clear"/>
        <w:spacing w:after="160" w:before="100"/>
        <w:ind w:left="200"/>
      </w:pPr>
      <w:r>
        <w:rPr>
          <w:i/>
          <w:iCs/>
          <w:color w:val="333333"/>
          <w:sz w:val="21"/>
          <w:szCs w:val="21"/>
        </w:rPr>
        <w:t xml:space="preserve">Gallup: managers account for 70% of the variance in team employee engagement — reframed here through a consulting-economics lens, where billable talent is the product itself.</w:t>
      </w:r>
    </w:p>
    <w:p>
      <w:pPr>
        <w:pBdr>
          <w:left w:val="single" w:color="C77B3B" w:sz="24" w:space="8"/>
        </w:pBdr>
        <w:shd w:fill="F2F5F6" w:val="clear"/>
        <w:spacing w:after="160" w:before="100"/>
        <w:ind w:left="200"/>
      </w:pPr>
      <w:r>
        <w:rPr>
          <w:i/>
          <w:iCs/>
          <w:color w:val="333333"/>
          <w:sz w:val="21"/>
          <w:szCs w:val="21"/>
        </w:rPr>
        <w:t xml:space="preserve">The Nigerian Workplace Report: career advancement ranks above bad leadership as a top-three reason employees quit in Nigeria — reframed as “your best consultants leave for growth, not just money.”</w:t>
      </w:r>
    </w:p>
    <w:p>
      <w:pPr>
        <w:spacing w:after="120" w:line="300"/>
      </w:pPr>
      <w:r>
        <w:rPr>
          <w:color w:val="222222"/>
          <w:sz w:val="21"/>
          <w:szCs w:val="21"/>
        </w:rPr>
        <w:t xml:space="preserve">No new data is introduced in this option; the same verified figures from Option 1 are recontextualized for a professional-services audience.</w:t>
      </w:r>
    </w:p>
    <w:p>
      <w:pPr>
        <w:pStyle w:val="Heading2"/>
        <w:spacing w:after="120" w:before="280"/>
      </w:pPr>
      <w:r>
        <w:rPr>
          <w:b/>
          <w:bCs/>
          <w:color w:val="C77B3B"/>
          <w:sz w:val="24"/>
          <w:szCs w:val="24"/>
        </w:rPr>
        <w:t xml:space="preserve">Why This Topic Needs Addressing</w:t>
      </w:r>
    </w:p>
    <w:p>
      <w:pPr>
        <w:spacing w:after="120" w:line="300"/>
      </w:pPr>
      <w:r>
        <w:rPr>
          <w:color w:val="222222"/>
          <w:sz w:val="21"/>
          <w:szCs w:val="21"/>
        </w:rPr>
        <w:t xml:space="preserve">In a consulting or professional-services model, senior talent departure carries a different cost structure than in a typical corporate role: it isn't just a hiring cost, it's lost client-relationship continuity, disrupted delivery, and gaps in bench depth for future engagements. Applying the 70%-engagement-variance figure to this context makes the case that utilization and delivery quality are downstream of management quality, not separate from it — and the local data shows growth stagnation, not just pay, is what pushes senior consultants out.</w:t>
      </w:r>
    </w:p>
    <w:p>
      <w:pPr>
        <w:pStyle w:val="Heading2"/>
        <w:spacing w:after="120" w:before="280"/>
      </w:pPr>
      <w:r>
        <w:rPr>
          <w:b/>
          <w:bCs/>
          <w:color w:val="C77B3B"/>
          <w:sz w:val="24"/>
          <w:szCs w:val="24"/>
        </w:rPr>
        <w:t xml:space="preserve">Introduction Into Consulting</w:t>
      </w:r>
    </w:p>
    <w:p>
      <w:pPr>
        <w:spacing w:after="120" w:line="300"/>
      </w:pPr>
      <w:r>
        <w:rPr>
          <w:color w:val="222222"/>
          <w:sz w:val="21"/>
          <w:szCs w:val="21"/>
        </w:rPr>
        <w:t xml:space="preserve">This angle positions the course as a standardized way for a firm to protect against senior-consultant churn without relying purely on compensation increases — building internal “bench strength” through coaching-based growth conversations that substitute for constant promotion or pay bumps when budgets are tight. It is the most direct, native fit for a consulting-firm buyer specifically, at the cost of narrower reach.</w:t>
      </w:r>
    </w:p>
    <w:p>
      <w:pPr>
        <w:pStyle w:val="Heading2"/>
        <w:spacing w:after="120" w:before="280"/>
      </w:pPr>
      <w:r>
        <w:rPr>
          <w:b/>
          <w:bCs/>
          <w:color w:val="C77B3B"/>
          <w:sz w:val="24"/>
          <w:szCs w:val="24"/>
        </w:rPr>
        <w:t xml:space="preserve">Full Outline (60–75 minutes)</w:t>
      </w:r>
    </w:p>
    <w:p>
      <w:pPr>
        <w:spacing w:after="60" w:before="220"/>
      </w:pPr>
      <w:r>
        <w:rPr>
          <w:b/>
          <w:bCs/>
          <w:color w:val="C77B3B"/>
          <w:sz w:val="21"/>
          <w:szCs w:val="21"/>
        </w:rPr>
        <w:t xml:space="preserve">0–10 min  </w:t>
      </w:r>
      <w:r>
        <w:rPr>
          <w:b/>
          <w:bCs/>
          <w:color w:val="222222"/>
          <w:sz w:val="21"/>
          <w:szCs w:val="21"/>
        </w:rPr>
        <w:t xml:space="preserve">Open &amp; Frame</w:t>
      </w:r>
    </w:p>
    <w:p>
      <w:pPr>
        <w:spacing w:after="120" w:line="300"/>
      </w:pPr>
      <w:r>
        <w:rPr>
          <w:color w:val="222222"/>
          <w:sz w:val="21"/>
          <w:szCs w:val="21"/>
        </w:rPr>
        <w:t xml:space="preserve">Open with a consulting-specific pain point: “Every time a senior consultant leaves, you don't just lose a person — you lose client relationship continuity and bench depth.” Frame around margin and client risk, not generic HR language, from the first sentence.</w:t>
      </w:r>
    </w:p>
    <w:p>
      <w:pPr>
        <w:spacing w:after="60" w:before="220"/>
      </w:pPr>
      <w:r>
        <w:rPr>
          <w:b/>
          <w:bCs/>
          <w:color w:val="C77B3B"/>
          <w:sz w:val="21"/>
          <w:szCs w:val="21"/>
        </w:rPr>
        <w:t xml:space="preserve">10–40 min  </w:t>
      </w:r>
      <w:r>
        <w:rPr>
          <w:b/>
          <w:bCs/>
          <w:color w:val="222222"/>
          <w:sz w:val="21"/>
          <w:szCs w:val="21"/>
        </w:rPr>
        <w:t xml:space="preserve">Teach</w:t>
      </w:r>
    </w:p>
    <w:p>
      <w:pPr>
        <w:spacing w:after="120" w:line="300"/>
      </w:pPr>
      <w:r>
        <w:rPr>
          <w:color w:val="222222"/>
          <w:sz w:val="21"/>
          <w:szCs w:val="21"/>
        </w:rPr>
        <w:t xml:space="preserve">Teach how coaching-style management builds “bench strength” — the internal talent pipeline that allows a firm to scale delivery without constant senior-level attrition. Include at least one concrete framework, such as structuring growth conversations that substitute for promotion or pay increases when budgets are constrained.</w:t>
      </w:r>
    </w:p>
    <w:p>
      <w:pPr>
        <w:spacing w:after="60" w:before="220"/>
      </w:pPr>
      <w:r>
        <w:rPr>
          <w:b/>
          <w:bCs/>
          <w:color w:val="C77B3B"/>
          <w:sz w:val="21"/>
          <w:szCs w:val="21"/>
        </w:rPr>
        <w:t xml:space="preserve">40–50 min  </w:t>
      </w:r>
      <w:r>
        <w:rPr>
          <w:b/>
          <w:bCs/>
          <w:color w:val="222222"/>
          <w:sz w:val="21"/>
          <w:szCs w:val="21"/>
        </w:rPr>
        <w:t xml:space="preserve">Data-Grounding</w:t>
      </w:r>
    </w:p>
    <w:p>
      <w:pPr>
        <w:spacing w:after="120" w:line="300"/>
      </w:pPr>
      <w:r>
        <w:rPr>
          <w:color w:val="222222"/>
          <w:sz w:val="21"/>
          <w:szCs w:val="21"/>
        </w:rPr>
        <w:t xml:space="preserve">Tie both data points together explicitly: this is a leadership-skill gap, and in the Nigerian market it shows up specifically around growth and advancement, not primarily compensation.</w:t>
      </w:r>
    </w:p>
    <w:p>
      <w:pPr>
        <w:spacing w:after="60" w:before="220"/>
      </w:pPr>
      <w:r>
        <w:rPr>
          <w:b/>
          <w:bCs/>
          <w:color w:val="C77B3B"/>
          <w:sz w:val="21"/>
          <w:szCs w:val="21"/>
        </w:rPr>
        <w:t xml:space="preserve">50–60 min  </w:t>
      </w:r>
      <w:r>
        <w:rPr>
          <w:b/>
          <w:bCs/>
          <w:color w:val="222222"/>
          <w:sz w:val="21"/>
          <w:szCs w:val="21"/>
        </w:rPr>
        <w:t xml:space="preserve">Bridge to the Offer</w:t>
      </w:r>
    </w:p>
    <w:p>
      <w:pPr>
        <w:spacing w:after="120" w:line="300"/>
      </w:pPr>
      <w:r>
        <w:rPr>
          <w:color w:val="222222"/>
          <w:sz w:val="21"/>
          <w:szCs w:val="21"/>
        </w:rPr>
        <w:t xml:space="preserve">Position the course as the standardized way SO3 teaches this skillset to firms that cannot absorb senior-consultant churn. This is the most direct, industry-native version of the pitch across all three options.</w:t>
      </w:r>
    </w:p>
    <w:p>
      <w:pPr>
        <w:spacing w:after="60" w:before="220"/>
      </w:pPr>
      <w:r>
        <w:rPr>
          <w:b/>
          <w:bCs/>
          <w:color w:val="C77B3B"/>
          <w:sz w:val="21"/>
          <w:szCs w:val="21"/>
        </w:rPr>
        <w:t xml:space="preserve">60–75 min  </w:t>
      </w:r>
      <w:r>
        <w:rPr>
          <w:b/>
          <w:bCs/>
          <w:color w:val="222222"/>
          <w:sz w:val="21"/>
          <w:szCs w:val="21"/>
        </w:rPr>
        <w:t xml:space="preserve">Close &amp; Q&amp;A</w:t>
      </w:r>
    </w:p>
    <w:p>
      <w:pPr>
        <w:spacing w:after="120" w:line="300"/>
      </w:pPr>
      <w:r>
        <w:rPr>
          <w:color w:val="222222"/>
          <w:sz w:val="21"/>
          <w:szCs w:val="21"/>
        </w:rPr>
        <w:t xml:space="preserve">Offer presentation and open floor, with objection-handling framed around firm economics (utilization, margin, client continuity) rather than general people-management language.</w:t>
      </w:r>
    </w:p>
    <w:p>
      <w:r>
        <w:br w:type="page"/>
      </w:r>
    </w:p>
    <w:p>
      <w:pPr>
        <w:pStyle w:val="Heading1"/>
        <w:pBdr>
          <w:bottom w:val="single" w:color="1F4E5F" w:sz="6" w:space="4"/>
        </w:pBdr>
        <w:spacing w:after="160" w:before="360"/>
      </w:pPr>
      <w:r>
        <w:rPr>
          <w:b/>
          <w:bCs/>
          <w:color w:val="1F4E5F"/>
          <w:sz w:val="30"/>
          <w:szCs w:val="30"/>
        </w:rPr>
        <w:t xml:space="preserve">4. Option 3 — “The Cost of Inaction”</w:t>
      </w:r>
    </w:p>
    <w:p>
      <w:pPr>
        <w:spacing w:after="120" w:line="300"/>
      </w:pPr>
      <w:r>
        <w:rPr>
          <w:i/>
          <w:iCs/>
          <w:color w:val="5A5A5A"/>
          <w:sz w:val="21"/>
          <w:szCs w:val="21"/>
        </w:rPr>
        <w:t xml:space="preserve">Highest closing ceiling for budget-holders, but the highest preparation effort and facilitation risk. Best fit for CFOs, COOs, and cost-conscious C-suite audiences who respond to numbers over narrative.</w:t>
      </w:r>
    </w:p>
    <w:p>
      <w:pPr>
        <w:pStyle w:val="Heading2"/>
        <w:spacing w:after="120" w:before="280"/>
      </w:pPr>
      <w:r>
        <w:rPr>
          <w:b/>
          <w:bCs/>
          <w:color w:val="C77B3B"/>
          <w:sz w:val="24"/>
          <w:szCs w:val="24"/>
        </w:rPr>
        <w:t xml:space="preserve">Supporting Data</w:t>
      </w:r>
    </w:p>
    <w:p>
      <w:pPr>
        <w:pBdr>
          <w:left w:val="single" w:color="C77B3B" w:sz="24" w:space="8"/>
        </w:pBdr>
        <w:shd w:fill="F2F5F6" w:val="clear"/>
        <w:spacing w:after="160" w:before="100"/>
        <w:ind w:left="200"/>
      </w:pPr>
      <w:r>
        <w:rPr>
          <w:i/>
          <w:iCs/>
          <w:color w:val="333333"/>
          <w:sz w:val="21"/>
          <w:szCs w:val="21"/>
        </w:rPr>
        <w:t xml:space="preserve">Gallup's 2026 State of the Global Workplace report: low engagement costs the global economy over US$10 trillion annually (roughly 9% of GDP), with global engagement falling to its lowest point since the pandemic lockdowns.</w:t>
      </w:r>
    </w:p>
    <w:p>
      <w:pPr>
        <w:pBdr>
          <w:left w:val="single" w:color="C77B3B" w:sz="24" w:space="8"/>
        </w:pBdr>
        <w:shd w:fill="F2F5F6" w:val="clear"/>
        <w:spacing w:after="160" w:before="100"/>
        <w:ind w:left="200"/>
      </w:pPr>
      <w:r>
        <w:rPr>
          <w:i/>
          <w:iCs/>
          <w:color w:val="333333"/>
          <w:sz w:val="21"/>
          <w:szCs w:val="21"/>
        </w:rPr>
        <w:t xml:space="preserve">Gallup: managers account for 70% of the variance in team employee engagement — used here as the lever that moves the cost figure, i.e. management quality is the fixable input behind the economic output.</w:t>
      </w:r>
    </w:p>
    <w:p>
      <w:pPr>
        <w:pBdr>
          <w:left w:val="single" w:color="C77B3B" w:sz="24" w:space="8"/>
        </w:pBdr>
        <w:shd w:fill="F2F5F6" w:val="clear"/>
        <w:spacing w:after="160" w:before="100"/>
        <w:ind w:left="200"/>
      </w:pPr>
      <w:r>
        <w:rPr>
          <w:i/>
          <w:iCs/>
          <w:color w:val="333333"/>
          <w:sz w:val="21"/>
          <w:szCs w:val="21"/>
        </w:rPr>
        <w:t xml:space="preserve">The Nigerian Workplace Report: local reasons-for-leaving data, used to localize the abstract global cost figure to the audience's own context.</w:t>
      </w:r>
    </w:p>
    <w:p>
      <w:pPr>
        <w:pStyle w:val="Heading2"/>
        <w:spacing w:after="120" w:before="280"/>
      </w:pPr>
      <w:r>
        <w:rPr>
          <w:b/>
          <w:bCs/>
          <w:color w:val="C77B3B"/>
          <w:sz w:val="24"/>
          <w:szCs w:val="24"/>
        </w:rPr>
        <w:t xml:space="preserve">Why This Topic Needs Addressing</w:t>
      </w:r>
    </w:p>
    <w:p>
      <w:pPr>
        <w:spacing w:after="120" w:line="300"/>
      </w:pPr>
      <w:r>
        <w:rPr>
          <w:color w:val="222222"/>
          <w:sz w:val="21"/>
          <w:szCs w:val="21"/>
        </w:rPr>
        <w:t xml:space="preserve">Large macro statistics ($10 trillion) rarely move a room on their own — they need to be translated into a number the audience recognizes from their own P&amp;L. This angle's value is in making an abstract global cost concrete and personal within the session itself, live, rather than asking the audience to take the connection on faith. It also directly counters a common executive objection to training spend — “we can't justify the cost” — by first establishing the cost of not acting.</w:t>
      </w:r>
    </w:p>
    <w:p>
      <w:pPr>
        <w:pStyle w:val="Heading2"/>
        <w:spacing w:after="120" w:before="280"/>
      </w:pPr>
      <w:r>
        <w:rPr>
          <w:b/>
          <w:bCs/>
          <w:color w:val="C77B3B"/>
          <w:sz w:val="24"/>
          <w:szCs w:val="24"/>
        </w:rPr>
        <w:t xml:space="preserve">Introduction Into Consulting</w:t>
      </w:r>
    </w:p>
    <w:p>
      <w:pPr>
        <w:spacing w:after="120" w:line="300"/>
      </w:pPr>
      <w:r>
        <w:rPr>
          <w:color w:val="222222"/>
          <w:sz w:val="21"/>
          <w:szCs w:val="21"/>
        </w:rPr>
        <w:t xml:space="preserve">Once the audience has built their own rough cost-of-turnover figure live during the session, the course is framed as the intervention with the best return relative to the cost of inaction they just calculated themselves. This is the most numbers-forward close of the three options and can be the most persuasive for a genuinely budget-holding audience — but it requires the most careful pacing, since leading with cost math too early can make the session feel like a sales pitch before value has been established.</w:t>
      </w:r>
    </w:p>
    <w:p>
      <w:pPr>
        <w:pStyle w:val="Heading2"/>
        <w:spacing w:after="120" w:before="280"/>
      </w:pPr>
      <w:r>
        <w:rPr>
          <w:b/>
          <w:bCs/>
          <w:color w:val="C77B3B"/>
          <w:sz w:val="24"/>
          <w:szCs w:val="24"/>
        </w:rPr>
        <w:t xml:space="preserve">Full Outline (60–75 minutes)</w:t>
      </w:r>
    </w:p>
    <w:p>
      <w:pPr>
        <w:spacing w:after="60" w:before="220"/>
      </w:pPr>
      <w:r>
        <w:rPr>
          <w:b/>
          <w:bCs/>
          <w:color w:val="C77B3B"/>
          <w:sz w:val="21"/>
          <w:szCs w:val="21"/>
        </w:rPr>
        <w:t xml:space="preserve">0–10 min  </w:t>
      </w:r>
      <w:r>
        <w:rPr>
          <w:b/>
          <w:bCs/>
          <w:color w:val="222222"/>
          <w:sz w:val="21"/>
          <w:szCs w:val="21"/>
        </w:rPr>
        <w:t xml:space="preserve">Open &amp; Frame</w:t>
      </w:r>
    </w:p>
    <w:p>
      <w:pPr>
        <w:spacing w:after="120" w:line="300"/>
      </w:pPr>
      <w:r>
        <w:rPr>
          <w:color w:val="222222"/>
          <w:sz w:val="21"/>
          <w:szCs w:val="21"/>
        </w:rPr>
        <w:t xml:space="preserve">Open with the $10 trillion global figure, then immediately localize: “here's what the equivalent looks like inside a company your size.” Big number first, personal relevance second — in that order, not reversed.</w:t>
      </w:r>
    </w:p>
    <w:p>
      <w:pPr>
        <w:spacing w:after="60" w:before="220"/>
      </w:pPr>
      <w:r>
        <w:rPr>
          <w:b/>
          <w:bCs/>
          <w:color w:val="C77B3B"/>
          <w:sz w:val="21"/>
          <w:szCs w:val="21"/>
        </w:rPr>
        <w:t xml:space="preserve">10–35 min  </w:t>
      </w:r>
      <w:r>
        <w:rPr>
          <w:b/>
          <w:bCs/>
          <w:color w:val="222222"/>
          <w:sz w:val="21"/>
          <w:szCs w:val="21"/>
        </w:rPr>
        <w:t xml:space="preserve">Teach</w:t>
      </w:r>
    </w:p>
    <w:p>
      <w:pPr>
        <w:spacing w:after="120" w:line="300"/>
      </w:pPr>
      <w:r>
        <w:rPr>
          <w:color w:val="222222"/>
          <w:sz w:val="21"/>
          <w:szCs w:val="21"/>
        </w:rPr>
        <w:t xml:space="preserve">Build a simple, live cost-of-turnover calculation with the audience: replacement cost, lost productivity during ramp-up, and project/client disruption. This segment requires a prepared slide or simple calculator tool — not just talking points — so the exercise feels rigorous rather than illustrative.</w:t>
      </w:r>
    </w:p>
    <w:p>
      <w:pPr>
        <w:spacing w:after="60" w:before="220"/>
      </w:pPr>
      <w:r>
        <w:rPr>
          <w:b/>
          <w:bCs/>
          <w:color w:val="C77B3B"/>
          <w:sz w:val="21"/>
          <w:szCs w:val="21"/>
        </w:rPr>
        <w:t xml:space="preserve">35–50 min  </w:t>
      </w:r>
      <w:r>
        <w:rPr>
          <w:b/>
          <w:bCs/>
          <w:color w:val="222222"/>
          <w:sz w:val="21"/>
          <w:szCs w:val="21"/>
        </w:rPr>
        <w:t xml:space="preserve">Data-Grounding</w:t>
      </w:r>
    </w:p>
    <w:p>
      <w:pPr>
        <w:spacing w:after="120" w:line="300"/>
      </w:pPr>
      <w:r>
        <w:rPr>
          <w:color w:val="222222"/>
          <w:sz w:val="21"/>
          <w:szCs w:val="21"/>
        </w:rPr>
        <w:t xml:space="preserve">Layer in the 70%-manager-variance figure and the Nigerian quit-reason data, showing that management quality is the fixable input driving the cost output the audience just calculated for themselves.</w:t>
      </w:r>
    </w:p>
    <w:p>
      <w:pPr>
        <w:spacing w:after="60" w:before="220"/>
      </w:pPr>
      <w:r>
        <w:rPr>
          <w:b/>
          <w:bCs/>
          <w:color w:val="C77B3B"/>
          <w:sz w:val="21"/>
          <w:szCs w:val="21"/>
        </w:rPr>
        <w:t xml:space="preserve">50–60 min  </w:t>
      </w:r>
      <w:r>
        <w:rPr>
          <w:b/>
          <w:bCs/>
          <w:color w:val="222222"/>
          <w:sz w:val="21"/>
          <w:szCs w:val="21"/>
        </w:rPr>
        <w:t xml:space="preserve">Bridge to the Offer</w:t>
      </w:r>
    </w:p>
    <w:p>
      <w:pPr>
        <w:spacing w:after="120" w:line="300"/>
      </w:pPr>
      <w:r>
        <w:rPr>
          <w:color w:val="222222"/>
          <w:sz w:val="21"/>
          <w:szCs w:val="21"/>
        </w:rPr>
        <w:t xml:space="preserve">Frame the course as the highest-ROI intervention relative to the cost of inaction just demonstrated. This should land as a natural conclusion to the math already on screen, not a separate sales pivot.</w:t>
      </w:r>
    </w:p>
    <w:p>
      <w:pPr>
        <w:spacing w:after="60" w:before="220"/>
      </w:pPr>
      <w:r>
        <w:rPr>
          <w:b/>
          <w:bCs/>
          <w:color w:val="C77B3B"/>
          <w:sz w:val="21"/>
          <w:szCs w:val="21"/>
        </w:rPr>
        <w:t xml:space="preserve">60–75 min  </w:t>
      </w:r>
      <w:r>
        <w:rPr>
          <w:b/>
          <w:bCs/>
          <w:color w:val="222222"/>
          <w:sz w:val="21"/>
          <w:szCs w:val="21"/>
        </w:rPr>
        <w:t xml:space="preserve">Close &amp; Q&amp;A</w:t>
      </w:r>
    </w:p>
    <w:p>
      <w:pPr>
        <w:spacing w:after="120" w:line="300"/>
      </w:pPr>
      <w:r>
        <w:rPr>
          <w:color w:val="222222"/>
          <w:sz w:val="21"/>
          <w:szCs w:val="21"/>
        </w:rPr>
        <w:t xml:space="preserve">Offer presentation and open floor. Given the numbers-forward framing, expect more direct ROI/pricing questions than in Options 1 or 2 — prepare specific answers in advance.</w:t>
      </w:r>
    </w:p>
    <w:p>
      <w:r>
        <w:br w:type="page"/>
      </w:r>
    </w:p>
    <w:p>
      <w:pPr>
        <w:pStyle w:val="Heading1"/>
        <w:pBdr>
          <w:bottom w:val="single" w:color="1F4E5F" w:sz="6" w:space="4"/>
        </w:pBdr>
        <w:spacing w:after="160" w:before="360"/>
      </w:pPr>
      <w:r>
        <w:rPr>
          <w:b/>
          <w:bCs/>
          <w:color w:val="1F4E5F"/>
          <w:sz w:val="30"/>
          <w:szCs w:val="30"/>
        </w:rPr>
        <w:t xml:space="preserve">5. Comparison &amp; Recommendation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2600"/>
      </w:tblGrid>
      <w:tr>
        <w:trPr>
          <w:tblHeader/>
        </w:trPr>
        <w:tc>
          <w:tcPr>
            <w:tcW w:type="dxa" w:w="2200"/>
            <w:shd w:fill="1F4E5F" w:val="clear"/>
            <w:tcMar>
              <w:top w:type="dxa" w:w="80"/>
              <w:left w:type="dxa" w:w="100"/>
              <w:bottom w:type="dxa" w:w="80"/>
              <w:right w:type="dxa" w:w="100"/>
            </w:tcMar>
          </w:tcPr>
          <w:p>
            <w:r>
              <w:rPr>
                <w:b/>
                <w:bCs/>
                <w:sz w:val="20"/>
                <w:szCs w:val="20"/>
              </w:rPr>
              <w:t xml:space="preserve"/>
            </w:r>
          </w:p>
        </w:tc>
        <w:tc>
          <w:tcPr>
            <w:tcW w:type="dxa" w:w="2600"/>
            <w:shd w:fill="1F4E5F" w:val="clear"/>
            <w:tcMar>
              <w:top w:type="dxa" w:w="80"/>
              <w:left w:type="dxa" w:w="100"/>
              <w:bottom w:type="dxa" w:w="80"/>
              <w:right w:type="dxa" w:w="100"/>
            </w:tcMar>
          </w:tcPr>
          <w:p>
            <w:r>
              <w:rPr>
                <w:b/>
                <w:bCs/>
                <w:sz w:val="20"/>
                <w:szCs w:val="20"/>
              </w:rPr>
              <w:t xml:space="preserve">Option 1: The 70% Factor</w:t>
            </w:r>
          </w:p>
        </w:tc>
        <w:tc>
          <w:tcPr>
            <w:tcW w:type="dxa" w:w="2600"/>
            <w:shd w:fill="1F4E5F" w:val="clear"/>
            <w:tcMar>
              <w:top w:type="dxa" w:w="80"/>
              <w:left w:type="dxa" w:w="100"/>
              <w:bottom w:type="dxa" w:w="80"/>
              <w:right w:type="dxa" w:w="100"/>
            </w:tcMar>
          </w:tcPr>
          <w:p>
            <w:r>
              <w:rPr>
                <w:b/>
                <w:bCs/>
                <w:sz w:val="20"/>
                <w:szCs w:val="20"/>
              </w:rPr>
              <w:t xml:space="preserve">Option 2: The Consulting Talent Trap</w:t>
            </w:r>
          </w:p>
        </w:tc>
        <w:tc>
          <w:tcPr>
            <w:tcW w:type="dxa" w:w="2600"/>
            <w:shd w:fill="1F4E5F" w:val="clear"/>
            <w:tcMar>
              <w:top w:type="dxa" w:w="80"/>
              <w:left w:type="dxa" w:w="100"/>
              <w:bottom w:type="dxa" w:w="80"/>
              <w:right w:type="dxa" w:w="100"/>
            </w:tcMar>
          </w:tcPr>
          <w:p>
            <w:r>
              <w:rPr>
                <w:b/>
                <w:bCs/>
                <w:sz w:val="20"/>
                <w:szCs w:val="20"/>
              </w:rPr>
              <w:t xml:space="preserve">Option 3: The Cost of Inaction</w:t>
            </w:r>
          </w:p>
        </w:tc>
      </w:tr>
      <w:tr>
        <w:tc>
          <w:tcPr>
            <w:tcW w:type="dxa" w:w="2200"/>
            <w:shd w:fill="F2F5F6" w:val="clear"/>
            <w:tcMar>
              <w:top w:type="dxa" w:w="80"/>
              <w:left w:type="dxa" w:w="100"/>
              <w:bottom w:type="dxa" w:w="80"/>
              <w:right w:type="dxa" w:w="100"/>
            </w:tcMar>
          </w:tcPr>
          <w:p>
            <w:r>
              <w:rPr>
                <w:b/>
                <w:bCs/>
                <w:sz w:val="20"/>
                <w:szCs w:val="20"/>
              </w:rPr>
              <w:t xml:space="preserve">Best fit for</w:t>
            </w:r>
          </w:p>
        </w:tc>
        <w:tc>
          <w:tcPr>
            <w:tcW w:type="dxa" w:w="2600"/>
            <w:tcMar>
              <w:top w:type="dxa" w:w="80"/>
              <w:left w:type="dxa" w:w="100"/>
              <w:bottom w:type="dxa" w:w="80"/>
              <w:right w:type="dxa" w:w="100"/>
            </w:tcMar>
          </w:tcPr>
          <w:p>
            <w:r>
              <w:rPr>
                <w:b w:val="false"/>
                <w:bCs w:val="false"/>
                <w:sz w:val="20"/>
                <w:szCs w:val="20"/>
              </w:rPr>
              <w:t xml:space="preserve">Broad C-suite &amp; senior managers, any industry</w:t>
            </w:r>
          </w:p>
        </w:tc>
        <w:tc>
          <w:tcPr>
            <w:tcW w:type="dxa" w:w="2600"/>
            <w:tcMar>
              <w:top w:type="dxa" w:w="80"/>
              <w:left w:type="dxa" w:w="100"/>
              <w:bottom w:type="dxa" w:w="80"/>
              <w:right w:type="dxa" w:w="100"/>
            </w:tcMar>
          </w:tcPr>
          <w:p>
            <w:r>
              <w:rPr>
                <w:b w:val="false"/>
                <w:bCs w:val="false"/>
                <w:sz w:val="20"/>
                <w:szCs w:val="20"/>
              </w:rPr>
              <w:t xml:space="preserve">Consulting &amp; professional services leadership specifically</w:t>
            </w:r>
          </w:p>
        </w:tc>
        <w:tc>
          <w:tcPr>
            <w:tcW w:type="dxa" w:w="2600"/>
            <w:tcMar>
              <w:top w:type="dxa" w:w="80"/>
              <w:left w:type="dxa" w:w="100"/>
              <w:bottom w:type="dxa" w:w="80"/>
              <w:right w:type="dxa" w:w="100"/>
            </w:tcMar>
          </w:tcPr>
          <w:p>
            <w:r>
              <w:rPr>
                <w:b w:val="false"/>
                <w:bCs w:val="false"/>
                <w:sz w:val="20"/>
                <w:szCs w:val="20"/>
              </w:rPr>
              <w:t xml:space="preserve">CFOs, COOs, budget-holders who respond to numbers</w:t>
            </w:r>
          </w:p>
        </w:tc>
      </w:tr>
      <w:tr>
        <w:tc>
          <w:tcPr>
            <w:tcW w:type="dxa" w:w="2200"/>
            <w:shd w:fill="F2F5F6" w:val="clear"/>
            <w:tcMar>
              <w:top w:type="dxa" w:w="80"/>
              <w:left w:type="dxa" w:w="100"/>
              <w:bottom w:type="dxa" w:w="80"/>
              <w:right w:type="dxa" w:w="100"/>
            </w:tcMar>
          </w:tcPr>
          <w:p>
            <w:r>
              <w:rPr>
                <w:b/>
                <w:bCs/>
                <w:sz w:val="20"/>
                <w:szCs w:val="20"/>
              </w:rPr>
              <w:t xml:space="preserve">Audience width</w:t>
            </w:r>
          </w:p>
        </w:tc>
        <w:tc>
          <w:tcPr>
            <w:tcW w:type="dxa" w:w="2600"/>
            <w:tcMar>
              <w:top w:type="dxa" w:w="80"/>
              <w:left w:type="dxa" w:w="100"/>
              <w:bottom w:type="dxa" w:w="80"/>
              <w:right w:type="dxa" w:w="100"/>
            </w:tcMar>
          </w:tcPr>
          <w:p>
            <w:r>
              <w:rPr>
                <w:b w:val="false"/>
                <w:bCs w:val="false"/>
                <w:sz w:val="20"/>
                <w:szCs w:val="20"/>
              </w:rPr>
              <w:t xml:space="preserve">Widest — safest for ad targeting</w:t>
            </w:r>
          </w:p>
        </w:tc>
        <w:tc>
          <w:tcPr>
            <w:tcW w:type="dxa" w:w="2600"/>
            <w:tcMar>
              <w:top w:type="dxa" w:w="80"/>
              <w:left w:type="dxa" w:w="100"/>
              <w:bottom w:type="dxa" w:w="80"/>
              <w:right w:type="dxa" w:w="100"/>
            </w:tcMar>
          </w:tcPr>
          <w:p>
            <w:r>
              <w:rPr>
                <w:b w:val="false"/>
                <w:bCs w:val="false"/>
                <w:sz w:val="20"/>
                <w:szCs w:val="20"/>
              </w:rPr>
              <w:t xml:space="preserve">Narrowest — highest relevance, smaller pool</w:t>
            </w:r>
          </w:p>
        </w:tc>
        <w:tc>
          <w:tcPr>
            <w:tcW w:type="dxa" w:w="2600"/>
            <w:tcMar>
              <w:top w:type="dxa" w:w="80"/>
              <w:left w:type="dxa" w:w="100"/>
              <w:bottom w:type="dxa" w:w="80"/>
              <w:right w:type="dxa" w:w="100"/>
            </w:tcMar>
          </w:tcPr>
          <w:p>
            <w:r>
              <w:rPr>
                <w:b w:val="false"/>
                <w:bCs w:val="false"/>
                <w:sz w:val="20"/>
                <w:szCs w:val="20"/>
              </w:rPr>
              <w:t xml:space="preserve">Medium — skews toward finance-minded buyers</w:t>
            </w:r>
          </w:p>
        </w:tc>
      </w:tr>
      <w:tr>
        <w:tc>
          <w:tcPr>
            <w:tcW w:type="dxa" w:w="2200"/>
            <w:shd w:fill="F2F5F6" w:val="clear"/>
            <w:tcMar>
              <w:top w:type="dxa" w:w="80"/>
              <w:left w:type="dxa" w:w="100"/>
              <w:bottom w:type="dxa" w:w="80"/>
              <w:right w:type="dxa" w:w="100"/>
            </w:tcMar>
          </w:tcPr>
          <w:p>
            <w:r>
              <w:rPr>
                <w:b/>
                <w:bCs/>
                <w:sz w:val="20"/>
                <w:szCs w:val="20"/>
              </w:rPr>
              <w:t xml:space="preserve">Core data</w:t>
            </w:r>
          </w:p>
        </w:tc>
        <w:tc>
          <w:tcPr>
            <w:tcW w:type="dxa" w:w="2600"/>
            <w:tcMar>
              <w:top w:type="dxa" w:w="80"/>
              <w:left w:type="dxa" w:w="100"/>
              <w:bottom w:type="dxa" w:w="80"/>
              <w:right w:type="dxa" w:w="100"/>
            </w:tcMar>
          </w:tcPr>
          <w:p>
            <w:r>
              <w:rPr>
                <w:b w:val="false"/>
                <w:bCs w:val="false"/>
                <w:sz w:val="20"/>
                <w:szCs w:val="20"/>
              </w:rPr>
              <w:t xml:space="preserve">Gallup 70% engagement variance + Nigerian Workplace Report reasons-for-leaving</w:t>
            </w:r>
          </w:p>
        </w:tc>
        <w:tc>
          <w:tcPr>
            <w:tcW w:type="dxa" w:w="2600"/>
            <w:tcMar>
              <w:top w:type="dxa" w:w="80"/>
              <w:left w:type="dxa" w:w="100"/>
              <w:bottom w:type="dxa" w:w="80"/>
              <w:right w:type="dxa" w:w="100"/>
            </w:tcMar>
          </w:tcPr>
          <w:p>
            <w:r>
              <w:rPr>
                <w:b w:val="false"/>
                <w:bCs w:val="false"/>
                <w:sz w:val="20"/>
                <w:szCs w:val="20"/>
              </w:rPr>
              <w:t xml:space="preserve">Same data, reframed around utilization, bench strength &amp; client continuity</w:t>
            </w:r>
          </w:p>
        </w:tc>
        <w:tc>
          <w:tcPr>
            <w:tcW w:type="dxa" w:w="2600"/>
            <w:tcMar>
              <w:top w:type="dxa" w:w="80"/>
              <w:left w:type="dxa" w:w="100"/>
              <w:bottom w:type="dxa" w:w="80"/>
              <w:right w:type="dxa" w:w="100"/>
            </w:tcMar>
          </w:tcPr>
          <w:p>
            <w:r>
              <w:rPr>
                <w:b w:val="false"/>
                <w:bCs w:val="false"/>
                <w:sz w:val="20"/>
                <w:szCs w:val="20"/>
              </w:rPr>
              <w:t xml:space="preserve">Gallup $10T global cost of disengagement + 70% variance stat</w:t>
            </w:r>
          </w:p>
        </w:tc>
      </w:tr>
      <w:tr>
        <w:tc>
          <w:tcPr>
            <w:tcW w:type="dxa" w:w="2200"/>
            <w:shd w:fill="F2F5F6" w:val="clear"/>
            <w:tcMar>
              <w:top w:type="dxa" w:w="80"/>
              <w:left w:type="dxa" w:w="100"/>
              <w:bottom w:type="dxa" w:w="80"/>
              <w:right w:type="dxa" w:w="100"/>
            </w:tcMar>
          </w:tcPr>
          <w:p>
            <w:r>
              <w:rPr>
                <w:b/>
                <w:bCs/>
                <w:sz w:val="20"/>
                <w:szCs w:val="20"/>
              </w:rPr>
              <w:t xml:space="preserve">Prep effort</w:t>
            </w:r>
          </w:p>
        </w:tc>
        <w:tc>
          <w:tcPr>
            <w:tcW w:type="dxa" w:w="2600"/>
            <w:tcMar>
              <w:top w:type="dxa" w:w="80"/>
              <w:left w:type="dxa" w:w="100"/>
              <w:bottom w:type="dxa" w:w="80"/>
              <w:right w:type="dxa" w:w="100"/>
            </w:tcMar>
          </w:tcPr>
          <w:p>
            <w:r>
              <w:rPr>
                <w:b w:val="false"/>
                <w:bCs w:val="false"/>
                <w:sz w:val="20"/>
                <w:szCs w:val="20"/>
              </w:rPr>
              <w:t xml:space="preserve">Lowest — fastest to build for Aug 1</w:t>
            </w:r>
          </w:p>
        </w:tc>
        <w:tc>
          <w:tcPr>
            <w:tcW w:type="dxa" w:w="2600"/>
            <w:tcMar>
              <w:top w:type="dxa" w:w="80"/>
              <w:left w:type="dxa" w:w="100"/>
              <w:bottom w:type="dxa" w:w="80"/>
              <w:right w:type="dxa" w:w="100"/>
            </w:tcMar>
          </w:tcPr>
          <w:p>
            <w:r>
              <w:rPr>
                <w:b w:val="false"/>
                <w:bCs w:val="false"/>
                <w:sz w:val="20"/>
                <w:szCs w:val="20"/>
              </w:rPr>
              <w:t xml:space="preserve">Medium — needs consulting-specific framework</w:t>
            </w:r>
          </w:p>
        </w:tc>
        <w:tc>
          <w:tcPr>
            <w:tcW w:type="dxa" w:w="2600"/>
            <w:tcMar>
              <w:top w:type="dxa" w:w="80"/>
              <w:left w:type="dxa" w:w="100"/>
              <w:bottom w:type="dxa" w:w="80"/>
              <w:right w:type="dxa" w:w="100"/>
            </w:tcMar>
          </w:tcPr>
          <w:p>
            <w:r>
              <w:rPr>
                <w:b w:val="false"/>
                <w:bCs w:val="false"/>
                <w:sz w:val="20"/>
                <w:szCs w:val="20"/>
              </w:rPr>
              <w:t xml:space="preserve">Highest — needs a live cost calculator built and tested</w:t>
            </w:r>
          </w:p>
        </w:tc>
      </w:tr>
      <w:tr>
        <w:tc>
          <w:tcPr>
            <w:tcW w:type="dxa" w:w="2200"/>
            <w:shd w:fill="F2F5F6" w:val="clear"/>
            <w:tcMar>
              <w:top w:type="dxa" w:w="80"/>
              <w:left w:type="dxa" w:w="100"/>
              <w:bottom w:type="dxa" w:w="80"/>
              <w:right w:type="dxa" w:w="100"/>
            </w:tcMar>
          </w:tcPr>
          <w:p>
            <w:r>
              <w:rPr>
                <w:b/>
                <w:bCs/>
                <w:sz w:val="20"/>
                <w:szCs w:val="20"/>
              </w:rPr>
              <w:t xml:space="preserve">Closing strength</w:t>
            </w:r>
          </w:p>
        </w:tc>
        <w:tc>
          <w:tcPr>
            <w:tcW w:type="dxa" w:w="2600"/>
            <w:tcMar>
              <w:top w:type="dxa" w:w="80"/>
              <w:left w:type="dxa" w:w="100"/>
              <w:bottom w:type="dxa" w:w="80"/>
              <w:right w:type="dxa" w:w="100"/>
            </w:tcMar>
          </w:tcPr>
          <w:p>
            <w:r>
              <w:rPr>
                <w:b w:val="false"/>
                <w:bCs w:val="false"/>
                <w:sz w:val="20"/>
                <w:szCs w:val="20"/>
              </w:rPr>
              <w:t xml:space="preserve">Solid, broad</w:t>
            </w:r>
          </w:p>
        </w:tc>
        <w:tc>
          <w:tcPr>
            <w:tcW w:type="dxa" w:w="2600"/>
            <w:tcMar>
              <w:top w:type="dxa" w:w="80"/>
              <w:left w:type="dxa" w:w="100"/>
              <w:bottom w:type="dxa" w:w="80"/>
              <w:right w:type="dxa" w:w="100"/>
            </w:tcMar>
          </w:tcPr>
          <w:p>
            <w:r>
              <w:rPr>
                <w:b w:val="false"/>
                <w:bCs w:val="false"/>
                <w:sz w:val="20"/>
                <w:szCs w:val="20"/>
              </w:rPr>
              <w:t xml:space="preserve">Strongest IF audience is genuinely consulting firms</w:t>
            </w:r>
          </w:p>
        </w:tc>
        <w:tc>
          <w:tcPr>
            <w:tcW w:type="dxa" w:w="2600"/>
            <w:tcMar>
              <w:top w:type="dxa" w:w="80"/>
              <w:left w:type="dxa" w:w="100"/>
              <w:bottom w:type="dxa" w:w="80"/>
              <w:right w:type="dxa" w:w="100"/>
            </w:tcMar>
          </w:tcPr>
          <w:p>
            <w:r>
              <w:rPr>
                <w:b w:val="false"/>
                <w:bCs w:val="false"/>
                <w:sz w:val="20"/>
                <w:szCs w:val="20"/>
              </w:rPr>
              <w:t xml:space="preserve">Highest ceiling IF pacing is right — risks feeling sales-y early</w:t>
            </w:r>
          </w:p>
        </w:tc>
      </w:tr>
      <w:tr>
        <w:tc>
          <w:tcPr>
            <w:tcW w:type="dxa" w:w="2200"/>
            <w:shd w:fill="F2F5F6" w:val="clear"/>
            <w:tcMar>
              <w:top w:type="dxa" w:w="80"/>
              <w:left w:type="dxa" w:w="100"/>
              <w:bottom w:type="dxa" w:w="80"/>
              <w:right w:type="dxa" w:w="100"/>
            </w:tcMar>
          </w:tcPr>
          <w:p>
            <w:r>
              <w:rPr>
                <w:b/>
                <w:bCs/>
                <w:sz w:val="20"/>
                <w:szCs w:val="20"/>
              </w:rPr>
              <w:t xml:space="preserve">Risk</w:t>
            </w:r>
          </w:p>
        </w:tc>
        <w:tc>
          <w:tcPr>
            <w:tcW w:type="dxa" w:w="2600"/>
            <w:tcMar>
              <w:top w:type="dxa" w:w="80"/>
              <w:left w:type="dxa" w:w="100"/>
              <w:bottom w:type="dxa" w:w="80"/>
              <w:right w:type="dxa" w:w="100"/>
            </w:tcMar>
          </w:tcPr>
          <w:p>
            <w:r>
              <w:rPr>
                <w:b w:val="false"/>
                <w:bCs w:val="false"/>
                <w:sz w:val="20"/>
                <w:szCs w:val="20"/>
              </w:rPr>
              <w:t xml:space="preserve">Lowest</w:t>
            </w:r>
          </w:p>
        </w:tc>
        <w:tc>
          <w:tcPr>
            <w:tcW w:type="dxa" w:w="2600"/>
            <w:tcMar>
              <w:top w:type="dxa" w:w="80"/>
              <w:left w:type="dxa" w:w="100"/>
              <w:bottom w:type="dxa" w:w="80"/>
              <w:right w:type="dxa" w:w="100"/>
            </w:tcMar>
          </w:tcPr>
          <w:p>
            <w:r>
              <w:rPr>
                <w:b w:val="false"/>
                <w:bCs w:val="false"/>
                <w:sz w:val="20"/>
                <w:szCs w:val="20"/>
              </w:rPr>
              <w:t xml:space="preserve">Under-targets if list is mixed corporate, not consulting</w:t>
            </w:r>
          </w:p>
        </w:tc>
        <w:tc>
          <w:tcPr>
            <w:tcW w:type="dxa" w:w="2600"/>
            <w:tcMar>
              <w:top w:type="dxa" w:w="80"/>
              <w:left w:type="dxa" w:w="100"/>
              <w:bottom w:type="dxa" w:w="80"/>
              <w:right w:type="dxa" w:w="100"/>
            </w:tcMar>
          </w:tcPr>
          <w:p>
            <w:r>
              <w:rPr>
                <w:b w:val="false"/>
                <w:bCs w:val="false"/>
                <w:sz w:val="20"/>
                <w:szCs w:val="20"/>
              </w:rPr>
              <w:t xml:space="preserve">Needs tighter facilitation to not feel like a pitch too soon</w:t>
            </w:r>
          </w:p>
        </w:tc>
      </w:tr>
    </w:tbl>
    <w:p>
      <w:pPr>
        <w:spacing w:before="240"/>
      </w:pPr>
    </w:p>
    <w:p>
      <w:pPr>
        <w:pStyle w:val="Heading2"/>
        <w:spacing w:after="120" w:before="280"/>
      </w:pPr>
      <w:r>
        <w:rPr>
          <w:b/>
          <w:bCs/>
          <w:color w:val="C77B3B"/>
          <w:sz w:val="24"/>
          <w:szCs w:val="24"/>
        </w:rPr>
        <w:t xml:space="preserve">Recommendation</w:t>
      </w:r>
    </w:p>
    <w:p>
      <w:pPr>
        <w:spacing w:after="120" w:line="300"/>
      </w:pPr>
      <w:r>
        <w:rPr>
          <w:color w:val="222222"/>
          <w:sz w:val="21"/>
          <w:szCs w:val="21"/>
        </w:rPr>
        <w:t xml:space="preserve">Given the timeline (roughly two weeks from ad launch to the 1 August webinar) and the ₦100,000 ad budget, Option 1 (“The 70% Factor”) is the recommended starting point: it is the fastest to build, carries the lowest execution risk, and targets the widest addressable audience for ad delivery — which matters given the current campaign has struggled to spend its daily budget.</w:t>
      </w:r>
    </w:p>
    <w:p>
      <w:pPr>
        <w:pStyle w:val="ListParagraph"/>
        <w:numPr>
          <w:ilvl w:val="0"/>
          <w:numId w:val="1"/>
        </w:numPr>
        <w:spacing w:after="60" w:line="290"/>
      </w:pPr>
      <w:r>
        <w:rPr>
          <w:color w:val="222222"/>
          <w:sz w:val="21"/>
          <w:szCs w:val="21"/>
        </w:rPr>
        <w:t xml:space="preserve">Choose Option 2 instead if the registrant/target list is confirmed to be predominantly consulting-firm leadership rather than mixed corporate C-suite — it will out-convert Option 1 for that specific audience.</w:t>
      </w:r>
    </w:p>
    <w:p>
      <w:pPr>
        <w:pStyle w:val="ListParagraph"/>
        <w:numPr>
          <w:ilvl w:val="0"/>
          <w:numId w:val="1"/>
        </w:numPr>
        <w:spacing w:after="60" w:line="290"/>
      </w:pPr>
      <w:r>
        <w:rPr>
          <w:color w:val="222222"/>
          <w:sz w:val="21"/>
          <w:szCs w:val="21"/>
        </w:rPr>
        <w:t xml:space="preserve">Choose Option 3 instead if there is capacity to build and rehearse a live cost-calculator segment before August 1, and the target audience is confirmed to be genuinely budget-holding (CFO/COO-level) rather than general management.</w:t>
      </w:r>
    </w:p>
    <w:p>
      <w:pPr>
        <w:spacing w:after="120" w:line="300"/>
      </w:pPr>
      <w:r>
        <w:rPr>
          <w:color w:val="222222"/>
          <w:sz w:val="21"/>
          <w:szCs w:val="21"/>
        </w:rPr>
        <w:t xml:space="preserve">All three options can share the same registration funnel, reminder sequence, and ad infrastructure — the topic and mid-session framing are the only elements that change. This means a decision can be made without delaying ad-copy production for more than the time it takes to confirm the angle.</w:t>
      </w:r>
    </w:p>
    <w:p>
      <w:pPr>
        <w:pStyle w:val="Heading2"/>
        <w:spacing w:after="120" w:before="280"/>
      </w:pPr>
      <w:r>
        <w:rPr>
          <w:b/>
          <w:bCs/>
          <w:color w:val="C77B3B"/>
          <w:sz w:val="24"/>
          <w:szCs w:val="24"/>
        </w:rPr>
        <w:t xml:space="preserve">Next Steps</w:t>
      </w:r>
    </w:p>
    <w:p>
      <w:pPr>
        <w:pStyle w:val="ListParagraph"/>
        <w:numPr>
          <w:ilvl w:val="0"/>
          <w:numId w:val="1"/>
        </w:numPr>
        <w:spacing w:after="60" w:line="290"/>
      </w:pPr>
      <w:r>
        <w:rPr>
          <w:color w:val="222222"/>
          <w:sz w:val="21"/>
          <w:szCs w:val="21"/>
        </w:rPr>
        <w:t xml:space="preserve">Owners select one angle (or a hybrid) from the three above.</w:t>
      </w:r>
    </w:p>
    <w:p>
      <w:pPr>
        <w:pStyle w:val="ListParagraph"/>
        <w:numPr>
          <w:ilvl w:val="0"/>
          <w:numId w:val="1"/>
        </w:numPr>
        <w:spacing w:after="60" w:line="290"/>
      </w:pPr>
      <w:r>
        <w:rPr>
          <w:color w:val="222222"/>
          <w:sz w:val="21"/>
          <w:szCs w:val="21"/>
        </w:rPr>
        <w:t xml:space="preserve">Ad copy and Instant Form built around the confirmed angle.</w:t>
      </w:r>
    </w:p>
    <w:p>
      <w:pPr>
        <w:pStyle w:val="ListParagraph"/>
        <w:numPr>
          <w:ilvl w:val="0"/>
          <w:numId w:val="1"/>
        </w:numPr>
        <w:spacing w:after="60" w:line="290"/>
      </w:pPr>
      <w:r>
        <w:rPr>
          <w:color w:val="222222"/>
          <w:sz w:val="21"/>
          <w:szCs w:val="21"/>
        </w:rPr>
        <w:t xml:space="preserve">Registration page and Brevo reminder sequence built (reusing the existing Valoria-style 5-touch structure).</w:t>
      </w:r>
    </w:p>
    <w:p>
      <w:pPr>
        <w:pStyle w:val="ListParagraph"/>
        <w:numPr>
          <w:ilvl w:val="0"/>
          <w:numId w:val="1"/>
        </w:numPr>
        <w:spacing w:after="60" w:line="290"/>
      </w:pPr>
      <w:r>
        <w:rPr>
          <w:color w:val="222222"/>
          <w:sz w:val="21"/>
          <w:szCs w:val="21"/>
        </w:rPr>
        <w:t xml:space="preserve">Slide deck and any live-calculator tooling (Option 3 only) prepared and rehearsed.</w:t>
      </w:r>
    </w:p>
    <w:p>
      <w:pPr>
        <w:pStyle w:val="ListParagraph"/>
        <w:numPr>
          <w:ilvl w:val="0"/>
          <w:numId w:val="1"/>
        </w:numPr>
        <w:spacing w:after="60" w:line="290"/>
      </w:pPr>
      <w:r>
        <w:rPr>
          <w:color w:val="222222"/>
          <w:sz w:val="21"/>
          <w:szCs w:val="21"/>
        </w:rPr>
        <w:t xml:space="preserve">Post-webinar follow-up sequence drafted for attendees who don't convert live.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2026-07-17T19:18:12.540Z</dcterms:created>
  <dcterms:modified xsi:type="dcterms:W3CDTF">2026-07-17T19:18:12.564Z</dcterms:modified>
</cp:coreProperties>
</file>

<file path=docProps/custom.xml><?xml version="1.0" encoding="utf-8"?>
<Properties xmlns="http://schemas.openxmlformats.org/officeDocument/2006/custom-properties" xmlns:vt="http://schemas.openxmlformats.org/officeDocument/2006/docPropsVTypes"/>
</file>