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ejecución de la Tarea 2</w:t>
      </w:r>
    </w:p>
    <w:p>
      <w:pPr>
        <w:pStyle w:val="Subtitle"/>
      </w:pPr>
      <w:r>
        <w:t>Procesamiento de artículos Crossref con Apache Spark</w:t>
      </w:r>
    </w:p>
    <w:p>
      <w:r>
        <w:t>Adrian Rojas Rivera  |  Modalidad individual  |  11 de octubre de 2026</w:t>
      </w:r>
    </w:p>
    <w:p>
      <w:r>
        <w:t>Este manual explica cómo preparar los datos, ejecutar el programa y sus pruebas, y revisar las ocho salidas solicitadas. La cadena convierte JSON multilínea a Parquet y vuelve a leer ese Parquet antes de calcular las métricas. La ejecución comprobada procesó 31 458 documentos y las 23 pruebas incluidas pasaron.</w:t>
      </w:r>
    </w:p>
    <w:p>
      <w:r>
        <w:t>El programa, las pruebas y este manual se prepararon con ayuda de Codex. La declaración de procedencia se encuentra al final; los resultados de validación no acreditan autoría exclusiva del estudiante.</w:t>
      </w:r>
    </w:p>
    <w:p>
      <w:pPr>
        <w:pStyle w:val="Heading1"/>
      </w:pPr>
      <w:r>
        <w:t>1 Inicio rápido en el equipo preparado</w:t>
      </w:r>
    </w:p>
    <w:p>
      <w:r>
        <w:t>Con Docker Desktop abierto, usar una nueva Terminal del Mac. El contenedor existente se llama bigdata-t2 y comparte la carpeta del proyecto mediante /t2.</w:t>
      </w:r>
    </w:p>
    <w:p>
      <w:pPr>
        <w:keepNext w:val="0"/>
        <w:keepLines/>
        <w:spacing w:after="160" w:line="240" w:lineRule="auto"/>
      </w:pPr>
      <w:r>
        <w:rPr>
          <w:rFonts w:ascii="Courier New" w:hAnsi="Courier New"/>
          <w:sz w:val="19"/>
        </w:rPr>
        <w:t>docker exec -it bigdata-t2 /bin/bash</w:t>
      </w:r>
    </w:p>
    <w:p>
      <w:r>
        <w:t>Dentro del contenedor, ejecutar una línea a la vez. El último comando reemplaza las salidas anteriores de esta tarea.</w:t>
      </w:r>
    </w:p>
    <w:p>
      <w:pPr>
        <w:keepNext/>
        <w:keepLines/>
        <w:spacing w:after="40" w:line="240" w:lineRule="auto"/>
      </w:pPr>
      <w:r>
        <w:rPr>
          <w:rFonts w:ascii="Courier New" w:hAnsi="Courier New"/>
          <w:sz w:val="19"/>
        </w:rPr>
        <w:t>source /opt/venv/bin/activate</w:t>
      </w:r>
    </w:p>
    <w:p>
      <w:pPr>
        <w:keepNext/>
        <w:keepLines/>
        <w:spacing w:after="40" w:line="240" w:lineRule="auto"/>
      </w:pPr>
      <w:r>
        <w:rPr>
          <w:rFonts w:ascii="Courier New" w:hAnsi="Courier New"/>
          <w:sz w:val="19"/>
        </w:rPr>
        <w:t>cd /t2</w:t>
      </w:r>
    </w:p>
    <w:p>
      <w:pPr>
        <w:keepNext/>
        <w:keepLines/>
        <w:spacing w:after="40" w:line="240" w:lineRule="auto"/>
      </w:pPr>
      <w:r>
        <w:rPr>
          <w:rFonts w:ascii="Courier New" w:hAnsi="Courier New"/>
          <w:sz w:val="19"/>
        </w:rPr>
        <w:t>pytest</w:t>
      </w:r>
    </w:p>
    <w:p>
      <w:pPr>
        <w:keepNext w:val="0"/>
        <w:keepLines/>
        <w:spacing w:after="160" w:line="240" w:lineRule="auto"/>
      </w:pPr>
      <w:r>
        <w:rPr>
          <w:rFonts w:ascii="Courier New" w:hAnsi="Courier New"/>
          <w:sz w:val="19"/>
        </w:rPr>
        <w:t>spark-submit --master 'local[2]' programa.py data/crossref --overwrite</w:t>
      </w:r>
    </w:p>
    <w:p>
      <w:r>
        <w:t>Al finalizar debe aparecer “5/5 Finalizado” y la ubicación de output/resumen_ejecucion.json. Si el contenedor está detenido, ejecutar docker start bigdata-t2 desde el Mac antes de entrar. Jupyter puede permanecer abierto; el programa principal no depende del cuaderno.</w:t>
      </w:r>
    </w:p>
    <w:p>
      <w:pPr>
        <w:pStyle w:val="Heading2"/>
      </w:pPr>
      <w:r>
        <w:t>Entorno comprobado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880"/>
        <w:gridCol w:w="7200"/>
      </w:tblGrid>
      <w:tr>
        <w:trPr>
          <w:tblHeader/>
          <w:cantSplit/>
        </w:trPr>
        <w:tc>
          <w:tcPr>
            <w:tcW w:type="dxa" w:w="2880"/>
            <w:vAlign w:val="center"/>
            <w:shd w:fill="E7E7E7"/>
          </w:tcPr>
          <w:p>
            <w:pPr>
              <w:spacing w:after="20" w:line="252" w:lineRule="auto"/>
            </w:pPr>
            <w:r>
              <w:rPr>
                <w:b/>
                <w:sz w:val="20"/>
              </w:rPr>
              <w:t>Componente</w:t>
            </w:r>
          </w:p>
        </w:tc>
        <w:tc>
          <w:tcPr>
            <w:tcW w:type="dxa" w:w="7200"/>
            <w:vAlign w:val="center"/>
            <w:shd w:fill="E7E7E7"/>
          </w:tcPr>
          <w:p>
            <w:pPr>
              <w:spacing w:after="20" w:line="252" w:lineRule="auto"/>
            </w:pPr>
            <w:r>
              <w:rPr>
                <w:b/>
                <w:sz w:val="20"/>
              </w:rPr>
              <w:t>Versión o configuración</w:t>
            </w:r>
          </w:p>
        </w:tc>
      </w:tr>
      <w:tr>
        <w:trPr>
          <w:cantSplit/>
        </w:trPr>
        <w:tc>
          <w:tcPr>
            <w:tcW w:type="dxa" w:w="2880"/>
            <w:vAlign w:val="center"/>
          </w:tcPr>
          <w:p>
            <w:pPr>
              <w:spacing w:after="20" w:line="252" w:lineRule="auto"/>
            </w:pPr>
            <w:r>
              <w:rPr>
                <w:b w:val="0"/>
                <w:sz w:val="20"/>
              </w:rPr>
              <w:t>Sistema</w:t>
            </w:r>
          </w:p>
        </w:tc>
        <w:tc>
          <w:tcPr>
            <w:tcW w:type="dxa" w:w="7200"/>
            <w:vAlign w:val="center"/>
          </w:tcPr>
          <w:p>
            <w:pPr>
              <w:spacing w:after="20" w:line="252" w:lineRule="auto"/>
            </w:pPr>
            <w:r>
              <w:rPr>
                <w:b w:val="0"/>
                <w:sz w:val="20"/>
              </w:rPr>
              <w:t>Docker Desktop sobre macOS ARM64</w:t>
            </w:r>
          </w:p>
        </w:tc>
      </w:tr>
      <w:tr>
        <w:trPr>
          <w:cantSplit/>
        </w:trPr>
        <w:tc>
          <w:tcPr>
            <w:tcW w:type="dxa" w:w="2880"/>
            <w:vAlign w:val="center"/>
          </w:tcPr>
          <w:p>
            <w:pPr>
              <w:spacing w:after="20" w:line="252" w:lineRule="auto"/>
            </w:pPr>
            <w:r>
              <w:rPr>
                <w:b w:val="0"/>
                <w:sz w:val="20"/>
              </w:rPr>
              <w:t>Imagen y Java</w:t>
            </w:r>
          </w:p>
        </w:tc>
        <w:tc>
          <w:tcPr>
            <w:tcW w:type="dxa" w:w="7200"/>
            <w:vAlign w:val="center"/>
          </w:tcPr>
          <w:p>
            <w:pPr>
              <w:spacing w:after="20" w:line="252" w:lineRule="auto"/>
            </w:pPr>
            <w:r>
              <w:rPr>
                <w:b w:val="0"/>
                <w:sz w:val="20"/>
              </w:rPr>
              <w:t>bigdatafull y OpenJDK Temurin 17.0.20.1</w:t>
            </w:r>
          </w:p>
        </w:tc>
      </w:tr>
      <w:tr>
        <w:trPr>
          <w:cantSplit/>
        </w:trPr>
        <w:tc>
          <w:tcPr>
            <w:tcW w:type="dxa" w:w="2880"/>
            <w:vAlign w:val="center"/>
          </w:tcPr>
          <w:p>
            <w:pPr>
              <w:spacing w:after="20" w:line="252" w:lineRule="auto"/>
            </w:pPr>
            <w:r>
              <w:rPr>
                <w:b w:val="0"/>
                <w:sz w:val="20"/>
              </w:rPr>
              <w:t>Python y Spark</w:t>
            </w:r>
          </w:p>
        </w:tc>
        <w:tc>
          <w:tcPr>
            <w:tcW w:type="dxa" w:w="7200"/>
            <w:vAlign w:val="center"/>
          </w:tcPr>
          <w:p>
            <w:pPr>
              <w:spacing w:after="20" w:line="252" w:lineRule="auto"/>
            </w:pPr>
            <w:r>
              <w:rPr>
                <w:b w:val="0"/>
                <w:sz w:val="20"/>
              </w:rPr>
              <w:t>Python 3.10.12 y PySpark 4.2.0</w:t>
            </w:r>
          </w:p>
        </w:tc>
      </w:tr>
      <w:tr>
        <w:trPr>
          <w:cantSplit/>
        </w:trPr>
        <w:tc>
          <w:tcPr>
            <w:tcW w:type="dxa" w:w="2880"/>
            <w:vAlign w:val="center"/>
          </w:tcPr>
          <w:p>
            <w:pPr>
              <w:spacing w:after="20" w:line="252" w:lineRule="auto"/>
            </w:pPr>
            <w:r>
              <w:rPr>
                <w:b w:val="0"/>
                <w:sz w:val="20"/>
              </w:rPr>
              <w:t>Pruebas</w:t>
            </w:r>
          </w:p>
        </w:tc>
        <w:tc>
          <w:tcPr>
            <w:tcW w:type="dxa" w:w="7200"/>
            <w:vAlign w:val="center"/>
          </w:tcPr>
          <w:p>
            <w:pPr>
              <w:spacing w:after="20" w:line="252" w:lineRule="auto"/>
            </w:pPr>
            <w:r>
              <w:rPr>
                <w:b w:val="0"/>
                <w:sz w:val="20"/>
              </w:rPr>
              <w:t>pytest 9.1.1</w:t>
            </w:r>
          </w:p>
        </w:tc>
      </w:tr>
      <w:tr>
        <w:trPr>
          <w:cantSplit/>
        </w:trPr>
        <w:tc>
          <w:tcPr>
            <w:tcW w:type="dxa" w:w="2880"/>
            <w:vAlign w:val="center"/>
          </w:tcPr>
          <w:p>
            <w:pPr>
              <w:spacing w:after="20" w:line="252" w:lineRule="auto"/>
            </w:pPr>
            <w:r>
              <w:rPr>
                <w:b w:val="0"/>
                <w:sz w:val="20"/>
              </w:rPr>
              <w:t>Ejecución</w:t>
            </w:r>
          </w:p>
        </w:tc>
        <w:tc>
          <w:tcPr>
            <w:tcW w:type="dxa" w:w="7200"/>
            <w:vAlign w:val="center"/>
          </w:tcPr>
          <w:p>
            <w:pPr>
              <w:spacing w:after="20" w:line="252" w:lineRule="auto"/>
            </w:pPr>
            <w:r>
              <w:rPr>
                <w:b w:val="0"/>
                <w:sz w:val="20"/>
              </w:rPr>
              <w:t>local[2] y zona horaria UTC</w:t>
            </w:r>
          </w:p>
        </w:tc>
      </w:tr>
    </w:tbl>
    <w:p>
      <w:pPr>
        <w:spacing w:after="20"/>
      </w:pPr>
    </w:p>
    <w:p>
      <w:r>
        <w:t>La imagen ya preparada fue la utilizada en la validación. Las instrucciones para una instalación nueva aparecen en la página siguiente.</w:t>
      </w:r>
    </w:p>
    <w:p>
      <w:r>
        <w:br w:type="page"/>
      </w:r>
    </w:p>
    <w:p>
      <w:pPr>
        <w:pStyle w:val="Heading1"/>
      </w:pPr>
      <w:r>
        <w:t>2 Preparar una copia nueva del proyecto</w:t>
      </w:r>
    </w:p>
    <w:p>
      <w:pPr>
        <w:pStyle w:val="Heading2"/>
      </w:pPr>
      <w:r>
        <w:t>Obtener el código y los datos</w:t>
      </w:r>
    </w:p>
    <w:p>
      <w:r>
        <w:t>Descargar el repositorio https://github.com/riverxh/Projects con Code y Download ZIP, descomprimirlo y abrir una Terminal en su carpeta T2. El dataset completo no se publica en el repositorio; se obtiene de L2/crossref.zip, material del curso. Los tests crean sus propios datos pequeños y pueden ejecutarse sin ese ZIP.</w:t>
      </w:r>
    </w:p>
    <w:p>
      <w:r>
        <w:t>En el Mac utilizado, los datos ya están extraídos. Para otra copia, el siguiente comando extrae los JSON sin aplanar la carpeta crossref. Ajustar las rutas si el ZIP o el proyecto se guardan en otro lugar.</w:t>
      </w:r>
    </w:p>
    <w:p>
      <w:pPr>
        <w:keepNext/>
        <w:keepLines/>
        <w:spacing w:after="40" w:line="240" w:lineRule="auto"/>
      </w:pPr>
      <w:r>
        <w:rPr>
          <w:rFonts w:ascii="Courier New" w:hAnsi="Courier New"/>
          <w:sz w:val="19"/>
        </w:rPr>
        <w:t>cd "/Users/adrian/Downloads/Big Data/T2"</w:t>
      </w:r>
    </w:p>
    <w:p>
      <w:pPr>
        <w:keepNext/>
        <w:keepLines/>
        <w:spacing w:after="40" w:line="240" w:lineRule="auto"/>
      </w:pPr>
      <w:r>
        <w:rPr>
          <w:rFonts w:ascii="Courier New" w:hAnsi="Courier New"/>
          <w:sz w:val="19"/>
        </w:rPr>
        <w:t>mkdir -p data</w:t>
      </w:r>
    </w:p>
    <w:p>
      <w:pPr>
        <w:keepNext/>
        <w:keepLines/>
        <w:spacing w:after="40" w:line="240" w:lineRule="auto"/>
      </w:pPr>
      <w:r>
        <w:rPr>
          <w:rFonts w:ascii="Courier New" w:hAnsi="Courier New"/>
          <w:sz w:val="19"/>
        </w:rPr>
        <w:t>unzip -q "/Users/adrian/Downloads/L2/crossref.zip" \</w:t>
      </w:r>
    </w:p>
    <w:p>
      <w:pPr>
        <w:keepNext w:val="0"/>
        <w:keepLines/>
        <w:spacing w:after="160" w:line="240" w:lineRule="auto"/>
      </w:pPr>
      <w:r>
        <w:rPr>
          <w:rFonts w:ascii="Courier New" w:hAnsi="Courier New"/>
          <w:sz w:val="19"/>
        </w:rPr>
        <w:t xml:space="preserve">  'crossref/*.json' -d data</w:t>
      </w:r>
    </w:p>
    <w:p>
      <w:r>
        <w:t>No repetir la extracción sobre los mismos archivos sin necesidad. Para comprobar la cantidad de JSON en esta copia:</w:t>
      </w:r>
    </w:p>
    <w:p>
      <w:pPr>
        <w:keepNext/>
        <w:keepLines/>
        <w:spacing w:after="40" w:line="240" w:lineRule="auto"/>
      </w:pPr>
      <w:r>
        <w:rPr>
          <w:rFonts w:ascii="Courier New" w:hAnsi="Courier New"/>
          <w:sz w:val="19"/>
        </w:rPr>
        <w:t>python3 - &lt;&lt;'PY'</w:t>
      </w:r>
    </w:p>
    <w:p>
      <w:pPr>
        <w:keepNext/>
        <w:keepLines/>
        <w:spacing w:after="40" w:line="240" w:lineRule="auto"/>
      </w:pPr>
      <w:r>
        <w:rPr>
          <w:rFonts w:ascii="Courier New" w:hAnsi="Courier New"/>
          <w:sz w:val="19"/>
        </w:rPr>
        <w:t>from pathlib import Path</w:t>
      </w:r>
    </w:p>
    <w:p>
      <w:pPr>
        <w:keepNext/>
        <w:keepLines/>
        <w:spacing w:after="40" w:line="240" w:lineRule="auto"/>
      </w:pPr>
      <w:r>
        <w:rPr>
          <w:rFonts w:ascii="Courier New" w:hAnsi="Courier New"/>
          <w:sz w:val="19"/>
        </w:rPr>
        <w:t>print(len(list(Path("data/crossref").glob("*.json"))))</w:t>
      </w:r>
    </w:p>
    <w:p>
      <w:pPr>
        <w:keepNext w:val="0"/>
        <w:keepLines/>
        <w:spacing w:after="160" w:line="240" w:lineRule="auto"/>
      </w:pPr>
      <w:r>
        <w:rPr>
          <w:rFonts w:ascii="Courier New" w:hAnsi="Courier New"/>
          <w:sz w:val="19"/>
        </w:rPr>
        <w:t>PY</w:t>
      </w:r>
    </w:p>
    <w:p>
      <w:r>
        <w:t>El resultado observado fue 31458. Cada archivo contiene un objeto con message; no es una fila de una tabla CSV.</w:t>
      </w:r>
    </w:p>
    <w:p>
      <w:pPr>
        <w:pStyle w:val="Heading2"/>
      </w:pPr>
      <w:r>
        <w:t>Construir y abrir el contenedor</w:t>
      </w:r>
    </w:p>
    <w:p>
      <w:r>
        <w:t>El Dockerfile incluido procede del Full Container ARM64 del curso. Se fijaron PySpark y pytest a las versiones comprobadas. La construcción necesita Internet y puede tardar varios minutos. Esta construcción nueva no se ejecutó durante la validación; las pruebas se hicieron en la imagen bigdatafull existente.</w:t>
      </w:r>
    </w:p>
    <w:p>
      <w:pPr>
        <w:keepNext/>
        <w:keepLines/>
        <w:spacing w:after="40" w:line="240" w:lineRule="auto"/>
      </w:pPr>
      <w:r>
        <w:rPr>
          <w:rFonts w:ascii="Courier New" w:hAnsi="Courier New"/>
          <w:sz w:val="19"/>
        </w:rPr>
        <w:t>docker build -t tarea2-bigdata .</w:t>
      </w:r>
    </w:p>
    <w:p>
      <w:pPr>
        <w:keepNext/>
        <w:keepLines/>
        <w:spacing w:after="40" w:line="240" w:lineRule="auto"/>
      </w:pPr>
      <w:r>
        <w:rPr>
          <w:rFonts w:ascii="Courier New" w:hAnsi="Courier New"/>
          <w:sz w:val="19"/>
        </w:rPr>
        <w:t>docker run --rm -it -v "$PWD:/t2" -w /t2 \</w:t>
      </w:r>
    </w:p>
    <w:p>
      <w:pPr>
        <w:keepNext w:val="0"/>
        <w:keepLines/>
        <w:spacing w:after="160" w:line="240" w:lineRule="auto"/>
      </w:pPr>
      <w:r>
        <w:rPr>
          <w:rFonts w:ascii="Courier New" w:hAnsi="Courier New"/>
          <w:sz w:val="19"/>
        </w:rPr>
        <w:t xml:space="preserve">  tarea2-bigdata /bin/bash</w:t>
      </w:r>
    </w:p>
    <w:p>
      <w:r>
        <w:t>El montaje conserva los resultados en la carpeta del Mac. Dentro del contenedor:</w:t>
      </w:r>
    </w:p>
    <w:p>
      <w:pPr>
        <w:keepNext/>
        <w:keepLines/>
        <w:spacing w:after="40" w:line="240" w:lineRule="auto"/>
      </w:pPr>
      <w:r>
        <w:rPr>
          <w:rFonts w:ascii="Courier New" w:hAnsi="Courier New"/>
          <w:sz w:val="19"/>
        </w:rPr>
        <w:t>source /opt/venv/bin/activate</w:t>
      </w:r>
    </w:p>
    <w:p>
      <w:pPr>
        <w:keepNext/>
        <w:keepLines/>
        <w:spacing w:after="40" w:line="240" w:lineRule="auto"/>
      </w:pPr>
      <w:r>
        <w:rPr>
          <w:rFonts w:ascii="Courier New" w:hAnsi="Courier New"/>
          <w:sz w:val="19"/>
        </w:rPr>
        <w:t>cd /t2</w:t>
      </w:r>
    </w:p>
    <w:p>
      <w:pPr>
        <w:keepNext/>
        <w:keepLines/>
        <w:spacing w:after="40" w:line="240" w:lineRule="auto"/>
      </w:pPr>
      <w:r>
        <w:rPr>
          <w:rFonts w:ascii="Courier New" w:hAnsi="Courier New"/>
          <w:sz w:val="19"/>
        </w:rPr>
        <w:t>pytest</w:t>
      </w:r>
    </w:p>
    <w:p>
      <w:pPr>
        <w:keepNext w:val="0"/>
        <w:keepLines/>
        <w:spacing w:after="160" w:line="240" w:lineRule="auto"/>
      </w:pPr>
      <w:r>
        <w:rPr>
          <w:rFonts w:ascii="Courier New" w:hAnsi="Courier New"/>
          <w:sz w:val="19"/>
        </w:rPr>
        <w:t>spark-submit --master 'local[2]' programa.py data/crossref</w:t>
      </w:r>
    </w:p>
    <w:p>
      <w:r>
        <w:t>Si ya existe una de las ocho carpetas de salida, usar --overwrite solo cuando se quiera reemplazarla. En un equipo sin Docker, se requiere un entorno compatible con Python 3.10, Java 17 y las dependencias fijadas en requirements.txt; esa alternativa no fue validada aquí.</w:t>
      </w:r>
    </w:p>
    <w:p>
      <w:r>
        <w:br w:type="page"/>
      </w:r>
    </w:p>
    <w:p>
      <w:pPr>
        <w:pStyle w:val="Heading1"/>
      </w:pPr>
      <w:r>
        <w:t>3 Organización y transformación de los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384"/>
        <w:gridCol w:w="6696"/>
      </w:tblGrid>
      <w:tr>
        <w:trPr>
          <w:tblHeader/>
          <w:cantSplit/>
        </w:trPr>
        <w:tc>
          <w:tcPr>
            <w:tcW w:type="dxa" w:w="3384"/>
            <w:vAlign w:val="center"/>
            <w:shd w:fill="E7E7E7"/>
          </w:tcPr>
          <w:p>
            <w:pPr>
              <w:spacing w:after="20" w:line="252" w:lineRule="auto"/>
            </w:pPr>
            <w:r>
              <w:rPr>
                <w:b/>
                <w:sz w:val="20"/>
              </w:rPr>
              <w:t>Archivo</w:t>
            </w:r>
          </w:p>
        </w:tc>
        <w:tc>
          <w:tcPr>
            <w:tcW w:type="dxa" w:w="6696"/>
            <w:vAlign w:val="center"/>
            <w:shd w:fill="E7E7E7"/>
          </w:tcPr>
          <w:p>
            <w:pPr>
              <w:spacing w:after="20" w:line="252" w:lineRule="auto"/>
            </w:pPr>
            <w:r>
              <w:rPr>
                <w:b/>
                <w:sz w:val="20"/>
              </w:rPr>
              <w:t>Responsabilidad</w:t>
            </w:r>
          </w:p>
        </w:tc>
      </w:tr>
      <w:tr>
        <w:trPr>
          <w:cantSplit/>
        </w:trPr>
        <w:tc>
          <w:tcPr>
            <w:tcW w:type="dxa" w:w="3384"/>
            <w:vAlign w:val="center"/>
          </w:tcPr>
          <w:p>
            <w:pPr>
              <w:spacing w:after="20" w:line="252" w:lineRule="auto"/>
            </w:pPr>
            <w:r>
              <w:rPr>
                <w:b w:val="0"/>
                <w:sz w:val="20"/>
              </w:rPr>
              <w:t>programa.py</w:t>
            </w:r>
          </w:p>
        </w:tc>
        <w:tc>
          <w:tcPr>
            <w:tcW w:type="dxa" w:w="6696"/>
            <w:vAlign w:val="center"/>
          </w:tcPr>
          <w:p>
            <w:pPr>
              <w:spacing w:after="20" w:line="252" w:lineRule="auto"/>
            </w:pPr>
            <w:r>
              <w:rPr>
                <w:b w:val="0"/>
                <w:sz w:val="20"/>
              </w:rPr>
              <w:t>Argumentos, sesión Spark, escritura Parquet, relectura y coordinación de métricas.</w:t>
            </w:r>
          </w:p>
        </w:tc>
      </w:tr>
      <w:tr>
        <w:trPr>
          <w:cantSplit/>
        </w:trPr>
        <w:tc>
          <w:tcPr>
            <w:tcW w:type="dxa" w:w="3384"/>
            <w:vAlign w:val="center"/>
          </w:tcPr>
          <w:p>
            <w:pPr>
              <w:spacing w:after="20" w:line="252" w:lineRule="auto"/>
            </w:pPr>
            <w:r>
              <w:rPr>
                <w:b w:val="0"/>
                <w:sz w:val="20"/>
              </w:rPr>
              <w:t>functions/esquemas.py</w:t>
            </w:r>
          </w:p>
        </w:tc>
        <w:tc>
          <w:tcPr>
            <w:tcW w:type="dxa" w:w="6696"/>
            <w:vAlign w:val="center"/>
          </w:tcPr>
          <w:p>
            <w:pPr>
              <w:spacing w:after="20" w:line="252" w:lineRule="auto"/>
            </w:pPr>
            <w:r>
              <w:rPr>
                <w:b w:val="0"/>
                <w:sz w:val="20"/>
              </w:rPr>
              <w:t>Tipos explícitos de entrada y salida, incluidas las estructuras anidadas.</w:t>
            </w:r>
          </w:p>
        </w:tc>
      </w:tr>
      <w:tr>
        <w:trPr>
          <w:cantSplit/>
        </w:trPr>
        <w:tc>
          <w:tcPr>
            <w:tcW w:type="dxa" w:w="3384"/>
            <w:vAlign w:val="center"/>
          </w:tcPr>
          <w:p>
            <w:pPr>
              <w:spacing w:after="20" w:line="252" w:lineRule="auto"/>
            </w:pPr>
            <w:r>
              <w:rPr>
                <w:b w:val="0"/>
                <w:sz w:val="20"/>
              </w:rPr>
              <w:t>functions/procesamiento.py</w:t>
            </w:r>
          </w:p>
        </w:tc>
        <w:tc>
          <w:tcPr>
            <w:tcW w:type="dxa" w:w="6696"/>
            <w:vAlign w:val="center"/>
          </w:tcPr>
          <w:p>
            <w:pPr>
              <w:spacing w:after="20" w:line="252" w:lineRule="auto"/>
            </w:pPr>
            <w:r>
              <w:rPr>
                <w:b w:val="0"/>
                <w:sz w:val="20"/>
              </w:rPr>
              <w:t>Lectura, proyección, agrupaciones, referencias, percentiles y escritura.</w:t>
            </w:r>
          </w:p>
        </w:tc>
      </w:tr>
      <w:tr>
        <w:trPr>
          <w:cantSplit/>
        </w:trPr>
        <w:tc>
          <w:tcPr>
            <w:tcW w:type="dxa" w:w="3384"/>
            <w:vAlign w:val="center"/>
          </w:tcPr>
          <w:p>
            <w:pPr>
              <w:spacing w:after="20" w:line="252" w:lineRule="auto"/>
            </w:pPr>
            <w:r>
              <w:rPr>
                <w:b w:val="0"/>
                <w:sz w:val="20"/>
              </w:rPr>
              <w:t>tests/ y pytest.ini</w:t>
            </w:r>
          </w:p>
        </w:tc>
        <w:tc>
          <w:tcPr>
            <w:tcW w:type="dxa" w:w="6696"/>
            <w:vAlign w:val="center"/>
          </w:tcPr>
          <w:p>
            <w:pPr>
              <w:spacing w:after="20" w:line="252" w:lineRule="auto"/>
            </w:pPr>
            <w:r>
              <w:rPr>
                <w:b w:val="0"/>
                <w:sz w:val="20"/>
              </w:rPr>
              <w:t>Pruebas funcionales, excepciones e integración desde la raíz de T2.</w:t>
            </w:r>
          </w:p>
        </w:tc>
      </w:tr>
      <w:tr>
        <w:trPr>
          <w:cantSplit/>
        </w:trPr>
        <w:tc>
          <w:tcPr>
            <w:tcW w:type="dxa" w:w="3384"/>
            <w:vAlign w:val="center"/>
          </w:tcPr>
          <w:p>
            <w:pPr>
              <w:spacing w:after="20" w:line="252" w:lineRule="auto"/>
            </w:pPr>
            <w:r>
              <w:rPr>
                <w:b w:val="0"/>
                <w:sz w:val="20"/>
              </w:rPr>
              <w:t>Dockerfile y requirements.txt</w:t>
            </w:r>
          </w:p>
        </w:tc>
        <w:tc>
          <w:tcPr>
            <w:tcW w:type="dxa" w:w="6696"/>
            <w:vAlign w:val="center"/>
          </w:tcPr>
          <w:p>
            <w:pPr>
              <w:spacing w:after="20" w:line="252" w:lineRule="auto"/>
            </w:pPr>
            <w:r>
              <w:rPr>
                <w:b w:val="0"/>
                <w:sz w:val="20"/>
              </w:rPr>
              <w:t>Preparación del entorno y versiones de PySpark y pytest.</w:t>
            </w:r>
          </w:p>
        </w:tc>
      </w:tr>
      <w:tr>
        <w:trPr>
          <w:cantSplit/>
        </w:trPr>
        <w:tc>
          <w:tcPr>
            <w:tcW w:type="dxa" w:w="3384"/>
            <w:vAlign w:val="center"/>
          </w:tcPr>
          <w:p>
            <w:pPr>
              <w:spacing w:after="20" w:line="252" w:lineRule="auto"/>
            </w:pPr>
            <w:r>
              <w:rPr>
                <w:b w:val="0"/>
                <w:sz w:val="20"/>
              </w:rPr>
              <w:t>doc/</w:t>
            </w:r>
          </w:p>
        </w:tc>
        <w:tc>
          <w:tcPr>
            <w:tcW w:type="dxa" w:w="6696"/>
            <w:vAlign w:val="center"/>
          </w:tcPr>
          <w:p>
            <w:pPr>
              <w:spacing w:after="20" w:line="252" w:lineRule="auto"/>
            </w:pPr>
            <w:r>
              <w:rPr>
                <w:b w:val="0"/>
                <w:sz w:val="20"/>
              </w:rPr>
              <w:t>Manual Word, guion y evidencias de validación.</w:t>
            </w:r>
          </w:p>
        </w:tc>
      </w:tr>
    </w:tbl>
    <w:p>
      <w:pPr>
        <w:spacing w:after="20"/>
      </w:pPr>
    </w:p>
    <w:p>
      <w:r>
        <w:t>El flujo es JSON → proyección de nueve columnas → escritura Parquet → nueva lectura Parquet → agregaciones → CSV y JSON. El programa comprueba que la cantidad de filas leídas del Parquet sea igual a la cantidad inicial. No aplana los autores ni las referencias en el archivo Parquet.</w:t>
      </w:r>
    </w:p>
    <w:p>
      <w:pPr>
        <w:pStyle w:val="Heading2"/>
      </w:pPr>
      <w:r>
        <w:t>Correspondencia de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744"/>
        <w:gridCol w:w="2304"/>
        <w:gridCol w:w="4032"/>
      </w:tblGrid>
      <w:tr>
        <w:trPr>
          <w:tblHeader/>
          <w:cantSplit/>
        </w:trPr>
        <w:tc>
          <w:tcPr>
            <w:tcW w:type="dxa" w:w="3744"/>
            <w:vAlign w:val="center"/>
            <w:shd w:fill="E7E7E7"/>
          </w:tcPr>
          <w:p>
            <w:pPr>
              <w:spacing w:after="20" w:line="252" w:lineRule="auto"/>
            </w:pPr>
            <w:r>
              <w:rPr>
                <w:b/>
                <w:sz w:val="20"/>
              </w:rPr>
              <w:t>Origen dentro de message</w:t>
            </w:r>
          </w:p>
        </w:tc>
        <w:tc>
          <w:tcPr>
            <w:tcW w:type="dxa" w:w="2304"/>
            <w:vAlign w:val="center"/>
            <w:shd w:fill="E7E7E7"/>
          </w:tcPr>
          <w:p>
            <w:pPr>
              <w:spacing w:after="20" w:line="252" w:lineRule="auto"/>
            </w:pPr>
            <w:r>
              <w:rPr>
                <w:b/>
                <w:sz w:val="20"/>
              </w:rPr>
              <w:t>Columna Parquet</w:t>
            </w:r>
          </w:p>
        </w:tc>
        <w:tc>
          <w:tcPr>
            <w:tcW w:type="dxa" w:w="4032"/>
            <w:vAlign w:val="center"/>
            <w:shd w:fill="E7E7E7"/>
          </w:tcPr>
          <w:p>
            <w:pPr>
              <w:spacing w:after="20" w:line="252" w:lineRule="auto"/>
            </w:pPr>
            <w:r>
              <w:rPr>
                <w:b/>
                <w:sz w:val="20"/>
              </w:rPr>
              <w:t>Tipo</w:t>
            </w:r>
          </w:p>
        </w:tc>
      </w:tr>
      <w:tr>
        <w:trPr>
          <w:cantSplit/>
        </w:trPr>
        <w:tc>
          <w:tcPr>
            <w:tcW w:type="dxa" w:w="3744"/>
            <w:vAlign w:val="center"/>
          </w:tcPr>
          <w:p>
            <w:pPr>
              <w:spacing w:after="20" w:line="252" w:lineRule="auto"/>
            </w:pPr>
            <w:r>
              <w:rPr>
                <w:b w:val="0"/>
                <w:sz w:val="20"/>
              </w:rPr>
              <w:t>DOI</w:t>
            </w:r>
          </w:p>
        </w:tc>
        <w:tc>
          <w:tcPr>
            <w:tcW w:type="dxa" w:w="2304"/>
            <w:vAlign w:val="center"/>
          </w:tcPr>
          <w:p>
            <w:pPr>
              <w:spacing w:after="20" w:line="252" w:lineRule="auto"/>
            </w:pPr>
            <w:r>
              <w:rPr>
                <w:b w:val="0"/>
                <w:sz w:val="20"/>
              </w:rPr>
              <w:t>doi</w:t>
            </w:r>
          </w:p>
        </w:tc>
        <w:tc>
          <w:tcPr>
            <w:tcW w:type="dxa" w:w="4032"/>
            <w:vAlign w:val="center"/>
          </w:tcPr>
          <w:p>
            <w:pPr>
              <w:spacing w:after="20" w:line="252" w:lineRule="auto"/>
            </w:pPr>
            <w:r>
              <w:rPr>
                <w:b w:val="0"/>
                <w:sz w:val="20"/>
              </w:rPr>
              <w:t>string</w:t>
            </w:r>
          </w:p>
        </w:tc>
      </w:tr>
      <w:tr>
        <w:trPr>
          <w:cantSplit/>
        </w:trPr>
        <w:tc>
          <w:tcPr>
            <w:tcW w:type="dxa" w:w="3744"/>
            <w:vAlign w:val="center"/>
          </w:tcPr>
          <w:p>
            <w:pPr>
              <w:spacing w:after="20" w:line="252" w:lineRule="auto"/>
            </w:pPr>
            <w:r>
              <w:rPr>
                <w:b w:val="0"/>
                <w:sz w:val="20"/>
              </w:rPr>
              <w:t>author</w:t>
            </w:r>
          </w:p>
        </w:tc>
        <w:tc>
          <w:tcPr>
            <w:tcW w:type="dxa" w:w="2304"/>
            <w:vAlign w:val="center"/>
          </w:tcPr>
          <w:p>
            <w:pPr>
              <w:spacing w:after="20" w:line="252" w:lineRule="auto"/>
            </w:pPr>
            <w:r>
              <w:rPr>
                <w:b w:val="0"/>
                <w:sz w:val="20"/>
              </w:rPr>
              <w:t>author</w:t>
            </w:r>
          </w:p>
        </w:tc>
        <w:tc>
          <w:tcPr>
            <w:tcW w:type="dxa" w:w="4032"/>
            <w:vAlign w:val="center"/>
          </w:tcPr>
          <w:p>
            <w:pPr>
              <w:spacing w:after="20" w:line="252" w:lineRule="auto"/>
            </w:pPr>
            <w:r>
              <w:rPr>
                <w:b w:val="0"/>
                <w:sz w:val="20"/>
              </w:rPr>
              <w:t>array de struct</w:t>
            </w:r>
          </w:p>
        </w:tc>
      </w:tr>
      <w:tr>
        <w:trPr>
          <w:cantSplit/>
        </w:trPr>
        <w:tc>
          <w:tcPr>
            <w:tcW w:type="dxa" w:w="3744"/>
            <w:vAlign w:val="center"/>
          </w:tcPr>
          <w:p>
            <w:pPr>
              <w:spacing w:after="20" w:line="252" w:lineRule="auto"/>
            </w:pPr>
            <w:r>
              <w:rPr>
                <w:b w:val="0"/>
                <w:sz w:val="20"/>
              </w:rPr>
              <w:t>institution</w:t>
            </w:r>
          </w:p>
        </w:tc>
        <w:tc>
          <w:tcPr>
            <w:tcW w:type="dxa" w:w="2304"/>
            <w:vAlign w:val="center"/>
          </w:tcPr>
          <w:p>
            <w:pPr>
              <w:spacing w:after="20" w:line="252" w:lineRule="auto"/>
            </w:pPr>
            <w:r>
              <w:rPr>
                <w:b w:val="0"/>
                <w:sz w:val="20"/>
              </w:rPr>
              <w:t>inst</w:t>
            </w:r>
          </w:p>
        </w:tc>
        <w:tc>
          <w:tcPr>
            <w:tcW w:type="dxa" w:w="4032"/>
            <w:vAlign w:val="center"/>
          </w:tcPr>
          <w:p>
            <w:pPr>
              <w:spacing w:after="20" w:line="252" w:lineRule="auto"/>
            </w:pPr>
            <w:r>
              <w:rPr>
                <w:b w:val="0"/>
                <w:sz w:val="20"/>
              </w:rPr>
              <w:t>array de struct</w:t>
            </w:r>
          </w:p>
        </w:tc>
      </w:tr>
      <w:tr>
        <w:trPr>
          <w:cantSplit/>
        </w:trPr>
        <w:tc>
          <w:tcPr>
            <w:tcW w:type="dxa" w:w="3744"/>
            <w:vAlign w:val="center"/>
          </w:tcPr>
          <w:p>
            <w:pPr>
              <w:spacing w:after="20" w:line="252" w:lineRule="auto"/>
            </w:pPr>
            <w:r>
              <w:rPr>
                <w:b w:val="0"/>
                <w:sz w:val="20"/>
              </w:rPr>
              <w:t>group-title</w:t>
            </w:r>
          </w:p>
        </w:tc>
        <w:tc>
          <w:tcPr>
            <w:tcW w:type="dxa" w:w="2304"/>
            <w:vAlign w:val="center"/>
          </w:tcPr>
          <w:p>
            <w:pPr>
              <w:spacing w:after="20" w:line="252" w:lineRule="auto"/>
            </w:pPr>
            <w:r>
              <w:rPr>
                <w:b w:val="0"/>
                <w:sz w:val="20"/>
              </w:rPr>
              <w:t>groupTitle</w:t>
            </w:r>
          </w:p>
        </w:tc>
        <w:tc>
          <w:tcPr>
            <w:tcW w:type="dxa" w:w="4032"/>
            <w:vAlign w:val="center"/>
          </w:tcPr>
          <w:p>
            <w:pPr>
              <w:spacing w:after="20" w:line="252" w:lineRule="auto"/>
            </w:pPr>
            <w:r>
              <w:rPr>
                <w:b w:val="0"/>
                <w:sz w:val="20"/>
              </w:rPr>
              <w:t>string</w:t>
            </w:r>
          </w:p>
        </w:tc>
      </w:tr>
      <w:tr>
        <w:trPr>
          <w:cantSplit/>
        </w:trPr>
        <w:tc>
          <w:tcPr>
            <w:tcW w:type="dxa" w:w="3744"/>
            <w:vAlign w:val="center"/>
          </w:tcPr>
          <w:p>
            <w:pPr>
              <w:spacing w:after="20" w:line="252" w:lineRule="auto"/>
            </w:pPr>
            <w:r>
              <w:rPr>
                <w:b w:val="0"/>
                <w:sz w:val="20"/>
              </w:rPr>
              <w:t>created.date-time</w:t>
            </w:r>
          </w:p>
        </w:tc>
        <w:tc>
          <w:tcPr>
            <w:tcW w:type="dxa" w:w="2304"/>
            <w:vAlign w:val="center"/>
          </w:tcPr>
          <w:p>
            <w:pPr>
              <w:spacing w:after="20" w:line="252" w:lineRule="auto"/>
            </w:pPr>
            <w:r>
              <w:rPr>
                <w:b w:val="0"/>
                <w:sz w:val="20"/>
              </w:rPr>
              <w:t>createdDate</w:t>
            </w:r>
          </w:p>
        </w:tc>
        <w:tc>
          <w:tcPr>
            <w:tcW w:type="dxa" w:w="4032"/>
            <w:vAlign w:val="center"/>
          </w:tcPr>
          <w:p>
            <w:pPr>
              <w:spacing w:after="20" w:line="252" w:lineRule="auto"/>
            </w:pPr>
            <w:r>
              <w:rPr>
                <w:b w:val="0"/>
                <w:sz w:val="20"/>
              </w:rPr>
              <w:t>string</w:t>
            </w:r>
          </w:p>
        </w:tc>
      </w:tr>
      <w:tr>
        <w:trPr>
          <w:cantSplit/>
        </w:trPr>
        <w:tc>
          <w:tcPr>
            <w:tcW w:type="dxa" w:w="3744"/>
            <w:vAlign w:val="center"/>
          </w:tcPr>
          <w:p>
            <w:pPr>
              <w:spacing w:after="20" w:line="252" w:lineRule="auto"/>
            </w:pPr>
            <w:r>
              <w:rPr>
                <w:b w:val="0"/>
                <w:sz w:val="20"/>
              </w:rPr>
              <w:t>prefix</w:t>
            </w:r>
          </w:p>
        </w:tc>
        <w:tc>
          <w:tcPr>
            <w:tcW w:type="dxa" w:w="2304"/>
            <w:vAlign w:val="center"/>
          </w:tcPr>
          <w:p>
            <w:pPr>
              <w:spacing w:after="20" w:line="252" w:lineRule="auto"/>
            </w:pPr>
            <w:r>
              <w:rPr>
                <w:b w:val="0"/>
                <w:sz w:val="20"/>
              </w:rPr>
              <w:t>prefix</w:t>
            </w:r>
          </w:p>
        </w:tc>
        <w:tc>
          <w:tcPr>
            <w:tcW w:type="dxa" w:w="4032"/>
            <w:vAlign w:val="center"/>
          </w:tcPr>
          <w:p>
            <w:pPr>
              <w:spacing w:after="20" w:line="252" w:lineRule="auto"/>
            </w:pPr>
            <w:r>
              <w:rPr>
                <w:b w:val="0"/>
                <w:sz w:val="20"/>
              </w:rPr>
              <w:t>string</w:t>
            </w:r>
          </w:p>
        </w:tc>
      </w:tr>
      <w:tr>
        <w:trPr>
          <w:cantSplit/>
        </w:trPr>
        <w:tc>
          <w:tcPr>
            <w:tcW w:type="dxa" w:w="3744"/>
            <w:vAlign w:val="center"/>
          </w:tcPr>
          <w:p>
            <w:pPr>
              <w:spacing w:after="20" w:line="252" w:lineRule="auto"/>
            </w:pPr>
            <w:r>
              <w:rPr>
                <w:b w:val="0"/>
                <w:sz w:val="20"/>
              </w:rPr>
              <w:t>reference</w:t>
            </w:r>
          </w:p>
        </w:tc>
        <w:tc>
          <w:tcPr>
            <w:tcW w:type="dxa" w:w="2304"/>
            <w:vAlign w:val="center"/>
          </w:tcPr>
          <w:p>
            <w:pPr>
              <w:spacing w:after="20" w:line="252" w:lineRule="auto"/>
            </w:pPr>
            <w:r>
              <w:rPr>
                <w:b w:val="0"/>
                <w:sz w:val="20"/>
              </w:rPr>
              <w:t>reference</w:t>
            </w:r>
          </w:p>
        </w:tc>
        <w:tc>
          <w:tcPr>
            <w:tcW w:type="dxa" w:w="4032"/>
            <w:vAlign w:val="center"/>
          </w:tcPr>
          <w:p>
            <w:pPr>
              <w:spacing w:after="20" w:line="252" w:lineRule="auto"/>
            </w:pPr>
            <w:r>
              <w:rPr>
                <w:b w:val="0"/>
                <w:sz w:val="20"/>
              </w:rPr>
              <w:t>array de struct</w:t>
            </w:r>
          </w:p>
        </w:tc>
      </w:tr>
      <w:tr>
        <w:trPr>
          <w:cantSplit/>
        </w:trPr>
        <w:tc>
          <w:tcPr>
            <w:tcW w:type="dxa" w:w="3744"/>
            <w:vAlign w:val="center"/>
          </w:tcPr>
          <w:p>
            <w:pPr>
              <w:spacing w:after="20" w:line="252" w:lineRule="auto"/>
            </w:pPr>
            <w:r>
              <w:rPr>
                <w:b w:val="0"/>
                <w:sz w:val="20"/>
              </w:rPr>
              <w:t>link</w:t>
            </w:r>
          </w:p>
        </w:tc>
        <w:tc>
          <w:tcPr>
            <w:tcW w:type="dxa" w:w="2304"/>
            <w:vAlign w:val="center"/>
          </w:tcPr>
          <w:p>
            <w:pPr>
              <w:spacing w:after="20" w:line="252" w:lineRule="auto"/>
            </w:pPr>
            <w:r>
              <w:rPr>
                <w:b w:val="0"/>
                <w:sz w:val="20"/>
              </w:rPr>
              <w:t>link</w:t>
            </w:r>
          </w:p>
        </w:tc>
        <w:tc>
          <w:tcPr>
            <w:tcW w:type="dxa" w:w="4032"/>
            <w:vAlign w:val="center"/>
          </w:tcPr>
          <w:p>
            <w:pPr>
              <w:spacing w:after="20" w:line="252" w:lineRule="auto"/>
            </w:pPr>
            <w:r>
              <w:rPr>
                <w:b w:val="0"/>
                <w:sz w:val="20"/>
              </w:rPr>
              <w:t>array de struct</w:t>
            </w:r>
          </w:p>
        </w:tc>
      </w:tr>
      <w:tr>
        <w:trPr>
          <w:cantSplit/>
        </w:trPr>
        <w:tc>
          <w:tcPr>
            <w:tcW w:type="dxa" w:w="3744"/>
            <w:vAlign w:val="center"/>
          </w:tcPr>
          <w:p>
            <w:pPr>
              <w:spacing w:after="20" w:line="252" w:lineRule="auto"/>
            </w:pPr>
            <w:r>
              <w:rPr>
                <w:b w:val="0"/>
                <w:sz w:val="20"/>
              </w:rPr>
              <w:t>subtype</w:t>
            </w:r>
          </w:p>
        </w:tc>
        <w:tc>
          <w:tcPr>
            <w:tcW w:type="dxa" w:w="2304"/>
            <w:vAlign w:val="center"/>
          </w:tcPr>
          <w:p>
            <w:pPr>
              <w:spacing w:after="20" w:line="252" w:lineRule="auto"/>
            </w:pPr>
            <w:r>
              <w:rPr>
                <w:b w:val="0"/>
                <w:sz w:val="20"/>
              </w:rPr>
              <w:t>subtype</w:t>
            </w:r>
          </w:p>
        </w:tc>
        <w:tc>
          <w:tcPr>
            <w:tcW w:type="dxa" w:w="4032"/>
            <w:vAlign w:val="center"/>
          </w:tcPr>
          <w:p>
            <w:pPr>
              <w:spacing w:after="20" w:line="252" w:lineRule="auto"/>
            </w:pPr>
            <w:r>
              <w:rPr>
                <w:b w:val="0"/>
                <w:sz w:val="20"/>
              </w:rPr>
              <w:t>string</w:t>
            </w:r>
          </w:p>
        </w:tc>
      </w:tr>
    </w:tbl>
    <w:p>
      <w:pPr>
        <w:spacing w:after="20"/>
      </w:pPr>
    </w:p>
    <w:p>
      <w:r>
        <w:t>author conserva ORCID, affiliation, authenticated-orcid, family, given, name, sequence y suffix. affiliation e inst contienen objetos con name; authenticated-orcid es booleano y los demás campos simples son texto.</w:t>
      </w:r>
    </w:p>
    <w:p>
      <w:r>
        <w:t>reference conserva los 14 campos del esquema: DOI, ISSN, article-title, author, doi-asserted-by, first-page, issn-type, issue, journal-title, key, unstructured, volume, volume-title y year. link conserva URL, content-type, content-version e intended-application. Los campos opcionales ausentes permanecen nulos con su tipo definido.</w:t>
      </w:r>
    </w:p>
    <w:p>
      <w:r>
        <w:br w:type="page"/>
      </w:r>
    </w:p>
    <w:p>
      <w:pPr>
        <w:pStyle w:val="Heading1"/>
      </w:pPr>
      <w:r>
        <w:t>4 Ejecutar y revisar las ocho salidas</w:t>
      </w:r>
    </w:p>
    <w:p>
      <w:r>
        <w:t>Desde /t2 se admite una carpeta, varios archivos o un patrón. El directorio evita los límites de longitud de argumentos al trabajar con miles de archivos.</w:t>
      </w:r>
    </w:p>
    <w:p>
      <w:pPr>
        <w:keepNext/>
        <w:keepLines/>
        <w:spacing w:after="40" w:line="240" w:lineRule="auto"/>
      </w:pPr>
      <w:r>
        <w:rPr>
          <w:rFonts w:ascii="Courier New" w:hAnsi="Courier New"/>
          <w:sz w:val="19"/>
        </w:rPr>
        <w:t>spark-submit --master 'local[2]' programa.py data/crossref</w:t>
      </w:r>
    </w:p>
    <w:p>
      <w:pPr>
        <w:keepNext w:val="0"/>
        <w:keepLines/>
        <w:spacing w:after="160" w:line="240" w:lineRule="auto"/>
      </w:pPr>
      <w:r>
        <w:rPr>
          <w:rFonts w:ascii="Courier New" w:hAnsi="Courier New"/>
          <w:sz w:val="19"/>
        </w:rPr>
        <w:t>spark-submit --master 'local[2]' programa.py data/crossref/*.json</w:t>
      </w:r>
    </w:p>
    <w:p>
      <w:r>
        <w:t>Son dos formas alternativas de ejecutar la misma tarea; no es necesario ejecutar ambas. Las rutas relativas parten del directorio actual. Se puede separar una demostración pequeña con --output output_muestra.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032"/>
        <w:gridCol w:w="6048"/>
      </w:tblGrid>
      <w:tr>
        <w:trPr>
          <w:tblHeader/>
          <w:cantSplit/>
        </w:trPr>
        <w:tc>
          <w:tcPr>
            <w:tcW w:type="dxa" w:w="4032"/>
            <w:vAlign w:val="center"/>
            <w:shd w:fill="E7E7E7"/>
          </w:tcPr>
          <w:p>
            <w:pPr>
              <w:spacing w:after="20" w:line="252" w:lineRule="auto"/>
            </w:pPr>
            <w:r>
              <w:rPr>
                <w:b/>
                <w:sz w:val="20"/>
              </w:rPr>
              <w:t>Carpeta dentro de output</w:t>
            </w:r>
          </w:p>
        </w:tc>
        <w:tc>
          <w:tcPr>
            <w:tcW w:type="dxa" w:w="6048"/>
            <w:vAlign w:val="center"/>
            <w:shd w:fill="E7E7E7"/>
          </w:tcPr>
          <w:p>
            <w:pPr>
              <w:spacing w:after="20" w:line="252" w:lineRule="auto"/>
            </w:pPr>
            <w:r>
              <w:rPr>
                <w:b/>
                <w:sz w:val="20"/>
              </w:rPr>
              <w:t>Formato y columnas</w:t>
            </w:r>
          </w:p>
        </w:tc>
      </w:tr>
      <w:tr>
        <w:trPr>
          <w:cantSplit/>
        </w:trPr>
        <w:tc>
          <w:tcPr>
            <w:tcW w:type="dxa" w:w="4032"/>
            <w:vAlign w:val="center"/>
          </w:tcPr>
          <w:p>
            <w:pPr>
              <w:spacing w:after="20" w:line="252" w:lineRule="auto"/>
            </w:pPr>
            <w:r>
              <w:rPr>
                <w:b w:val="0"/>
                <w:sz w:val="20"/>
              </w:rPr>
              <w:t>crossref-parquet</w:t>
            </w:r>
          </w:p>
        </w:tc>
        <w:tc>
          <w:tcPr>
            <w:tcW w:type="dxa" w:w="6048"/>
            <w:vAlign w:val="center"/>
          </w:tcPr>
          <w:p>
            <w:pPr>
              <w:spacing w:after="20" w:line="252" w:lineRule="auto"/>
            </w:pPr>
            <w:r>
              <w:rPr>
                <w:b w:val="0"/>
                <w:sz w:val="20"/>
              </w:rPr>
              <w:t>Parquet con las nueve columnas de la sección anterior.</w:t>
            </w:r>
          </w:p>
        </w:tc>
      </w:tr>
      <w:tr>
        <w:trPr>
          <w:cantSplit/>
        </w:trPr>
        <w:tc>
          <w:tcPr>
            <w:tcW w:type="dxa" w:w="4032"/>
            <w:vAlign w:val="center"/>
          </w:tcPr>
          <w:p>
            <w:pPr>
              <w:spacing w:after="20" w:line="252" w:lineRule="auto"/>
            </w:pPr>
            <w:r>
              <w:rPr>
                <w:b w:val="0"/>
                <w:sz w:val="20"/>
              </w:rPr>
              <w:t>articles_month_year</w:t>
            </w:r>
          </w:p>
        </w:tc>
        <w:tc>
          <w:tcPr>
            <w:tcW w:type="dxa" w:w="6048"/>
            <w:vAlign w:val="center"/>
          </w:tcPr>
          <w:p>
            <w:pPr>
              <w:spacing w:after="20" w:line="252" w:lineRule="auto"/>
            </w:pPr>
            <w:r>
              <w:rPr>
                <w:b w:val="0"/>
                <w:sz w:val="20"/>
              </w:rPr>
              <w:t>CSV: created_year, created_month, total_articles.</w:t>
            </w:r>
          </w:p>
        </w:tc>
      </w:tr>
      <w:tr>
        <w:trPr>
          <w:cantSplit/>
        </w:trPr>
        <w:tc>
          <w:tcPr>
            <w:tcW w:type="dxa" w:w="4032"/>
            <w:vAlign w:val="center"/>
          </w:tcPr>
          <w:p>
            <w:pPr>
              <w:spacing w:after="20" w:line="252" w:lineRule="auto"/>
            </w:pPr>
            <w:r>
              <w:rPr>
                <w:b w:val="0"/>
                <w:sz w:val="20"/>
              </w:rPr>
              <w:t>research_group</w:t>
            </w:r>
          </w:p>
        </w:tc>
        <w:tc>
          <w:tcPr>
            <w:tcW w:type="dxa" w:w="6048"/>
            <w:vAlign w:val="center"/>
          </w:tcPr>
          <w:p>
            <w:pPr>
              <w:spacing w:after="20" w:line="252" w:lineRule="auto"/>
            </w:pPr>
            <w:r>
              <w:rPr>
                <w:b w:val="0"/>
                <w:sz w:val="20"/>
              </w:rPr>
              <w:t>CSV: group_title, total.</w:t>
            </w:r>
          </w:p>
        </w:tc>
      </w:tr>
      <w:tr>
        <w:trPr>
          <w:cantSplit/>
        </w:trPr>
        <w:tc>
          <w:tcPr>
            <w:tcW w:type="dxa" w:w="4032"/>
            <w:vAlign w:val="center"/>
          </w:tcPr>
          <w:p>
            <w:pPr>
              <w:spacing w:after="20" w:line="252" w:lineRule="auto"/>
            </w:pPr>
            <w:r>
              <w:rPr>
                <w:b w:val="0"/>
                <w:sz w:val="20"/>
              </w:rPr>
              <w:t>research_areas_per_person</w:t>
            </w:r>
          </w:p>
        </w:tc>
        <w:tc>
          <w:tcPr>
            <w:tcW w:type="dxa" w:w="6048"/>
            <w:vAlign w:val="center"/>
          </w:tcPr>
          <w:p>
            <w:pPr>
              <w:spacing w:after="20" w:line="252" w:lineRule="auto"/>
            </w:pPr>
            <w:r>
              <w:rPr>
                <w:b w:val="0"/>
                <w:sz w:val="20"/>
              </w:rPr>
              <w:t>JSON: full_name, research_areas, total.</w:t>
            </w:r>
          </w:p>
        </w:tc>
      </w:tr>
      <w:tr>
        <w:trPr>
          <w:cantSplit/>
        </w:trPr>
        <w:tc>
          <w:tcPr>
            <w:tcW w:type="dxa" w:w="4032"/>
            <w:vAlign w:val="center"/>
          </w:tcPr>
          <w:p>
            <w:pPr>
              <w:spacing w:after="20" w:line="252" w:lineRule="auto"/>
            </w:pPr>
            <w:r>
              <w:rPr>
                <w:b w:val="0"/>
                <w:sz w:val="20"/>
              </w:rPr>
              <w:t>person_most_references</w:t>
            </w:r>
          </w:p>
        </w:tc>
        <w:tc>
          <w:tcPr>
            <w:tcW w:type="dxa" w:w="6048"/>
            <w:vAlign w:val="center"/>
          </w:tcPr>
          <w:p>
            <w:pPr>
              <w:spacing w:after="20" w:line="252" w:lineRule="auto"/>
            </w:pPr>
            <w:r>
              <w:rPr>
                <w:b w:val="0"/>
                <w:sz w:val="20"/>
              </w:rPr>
              <w:t>JSON: full_name, total_references; máximo de una persona.</w:t>
            </w:r>
          </w:p>
        </w:tc>
      </w:tr>
      <w:tr>
        <w:trPr>
          <w:cantSplit/>
        </w:trPr>
        <w:tc>
          <w:tcPr>
            <w:tcW w:type="dxa" w:w="4032"/>
            <w:vAlign w:val="center"/>
          </w:tcPr>
          <w:p>
            <w:pPr>
              <w:spacing w:after="20" w:line="252" w:lineRule="auto"/>
            </w:pPr>
            <w:r>
              <w:rPr>
                <w:b w:val="0"/>
                <w:sz w:val="20"/>
              </w:rPr>
              <w:t>percentil_25</w:t>
            </w:r>
          </w:p>
        </w:tc>
        <w:tc>
          <w:tcPr>
            <w:tcW w:type="dxa" w:w="6048"/>
            <w:vAlign w:val="center"/>
          </w:tcPr>
          <w:p>
            <w:pPr>
              <w:spacing w:after="20" w:line="252" w:lineRule="auto"/>
            </w:pPr>
            <w:r>
              <w:rPr>
                <w:b w:val="0"/>
                <w:sz w:val="20"/>
              </w:rPr>
              <w:t>CSV: total_references; una fila con P25.</w:t>
            </w:r>
          </w:p>
        </w:tc>
      </w:tr>
      <w:tr>
        <w:trPr>
          <w:cantSplit/>
        </w:trPr>
        <w:tc>
          <w:tcPr>
            <w:tcW w:type="dxa" w:w="4032"/>
            <w:vAlign w:val="center"/>
          </w:tcPr>
          <w:p>
            <w:pPr>
              <w:spacing w:after="20" w:line="252" w:lineRule="auto"/>
            </w:pPr>
            <w:r>
              <w:rPr>
                <w:b w:val="0"/>
                <w:sz w:val="20"/>
              </w:rPr>
              <w:t>percentil_50</w:t>
            </w:r>
          </w:p>
        </w:tc>
        <w:tc>
          <w:tcPr>
            <w:tcW w:type="dxa" w:w="6048"/>
            <w:vAlign w:val="center"/>
          </w:tcPr>
          <w:p>
            <w:pPr>
              <w:spacing w:after="20" w:line="252" w:lineRule="auto"/>
            </w:pPr>
            <w:r>
              <w:rPr>
                <w:b w:val="0"/>
                <w:sz w:val="20"/>
              </w:rPr>
              <w:t>CSV: total_references; una fila con P50.</w:t>
            </w:r>
          </w:p>
        </w:tc>
      </w:tr>
      <w:tr>
        <w:trPr>
          <w:cantSplit/>
        </w:trPr>
        <w:tc>
          <w:tcPr>
            <w:tcW w:type="dxa" w:w="4032"/>
            <w:vAlign w:val="center"/>
          </w:tcPr>
          <w:p>
            <w:pPr>
              <w:spacing w:after="20" w:line="252" w:lineRule="auto"/>
            </w:pPr>
            <w:r>
              <w:rPr>
                <w:b w:val="0"/>
                <w:sz w:val="20"/>
              </w:rPr>
              <w:t>percentil_75</w:t>
            </w:r>
          </w:p>
        </w:tc>
        <w:tc>
          <w:tcPr>
            <w:tcW w:type="dxa" w:w="6048"/>
            <w:vAlign w:val="center"/>
          </w:tcPr>
          <w:p>
            <w:pPr>
              <w:spacing w:after="20" w:line="252" w:lineRule="auto"/>
            </w:pPr>
            <w:r>
              <w:rPr>
                <w:b w:val="0"/>
                <w:sz w:val="20"/>
              </w:rPr>
              <w:t>CSV: total_references; una fila con P75.</w:t>
            </w:r>
          </w:p>
        </w:tc>
      </w:tr>
    </w:tbl>
    <w:p>
      <w:pPr>
        <w:spacing w:after="20"/>
      </w:pPr>
    </w:p>
    <w:p>
      <w:r>
        <w:t>Cada carpeta CSV o JSON contiene un único archivo de datos part-*; _SUCCESS y los archivos ocultos son metadatos. Parquet puede contener varios archivos. El JSON de Spark contiene un objeto por línea, sin envolver el conjunto en un arreglo. Los CSV llevan encabezado y representan los nulos como null.</w:t>
      </w:r>
    </w:p>
    <w:p>
      <w:pPr>
        <w:pStyle w:val="Heading2"/>
      </w:pPr>
      <w:r>
        <w:t>Comprobación de resultados</w:t>
      </w:r>
    </w:p>
    <w:p>
      <w:pPr>
        <w:keepNext/>
        <w:keepLines/>
        <w:spacing w:after="40" w:line="240" w:lineRule="auto"/>
      </w:pPr>
      <w:r>
        <w:rPr>
          <w:rFonts w:ascii="Courier New" w:hAnsi="Courier New"/>
          <w:sz w:val="19"/>
        </w:rPr>
        <w:t>cat output/resumen_ejecucion.json</w:t>
      </w:r>
    </w:p>
    <w:p>
      <w:pPr>
        <w:keepNext/>
        <w:keepLines/>
        <w:spacing w:after="40" w:line="240" w:lineRule="auto"/>
      </w:pPr>
      <w:r>
        <w:rPr>
          <w:rFonts w:ascii="Courier New" w:hAnsi="Courier New"/>
          <w:sz w:val="19"/>
        </w:rPr>
        <w:t>cat output/person_most_references/part-*.json</w:t>
      </w:r>
    </w:p>
    <w:p>
      <w:pPr>
        <w:keepNext/>
        <w:keepLines/>
        <w:spacing w:after="40" w:line="240" w:lineRule="auto"/>
      </w:pPr>
      <w:r>
        <w:rPr>
          <w:rFonts w:ascii="Courier New" w:hAnsi="Courier New"/>
          <w:sz w:val="19"/>
        </w:rPr>
        <w:t>cat output/percentil_25/part-*.csv</w:t>
      </w:r>
    </w:p>
    <w:p>
      <w:pPr>
        <w:keepNext/>
        <w:keepLines/>
        <w:spacing w:after="40" w:line="240" w:lineRule="auto"/>
      </w:pPr>
      <w:r>
        <w:rPr>
          <w:rFonts w:ascii="Courier New" w:hAnsi="Courier New"/>
          <w:sz w:val="19"/>
        </w:rPr>
        <w:t>cat output/percentil_50/part-*.csv</w:t>
      </w:r>
    </w:p>
    <w:p>
      <w:pPr>
        <w:keepNext/>
        <w:keepLines/>
        <w:spacing w:after="40" w:line="240" w:lineRule="auto"/>
      </w:pPr>
      <w:r>
        <w:rPr>
          <w:rFonts w:ascii="Courier New" w:hAnsi="Courier New"/>
          <w:sz w:val="19"/>
        </w:rPr>
        <w:t>cat output/percentil_75/part-*.csv</w:t>
      </w:r>
    </w:p>
    <w:p>
      <w:pPr>
        <w:keepNext w:val="0"/>
        <w:keepLines/>
        <w:spacing w:after="160" w:line="240" w:lineRule="auto"/>
      </w:pPr>
      <w:r>
        <w:rPr>
          <w:rFonts w:ascii="Courier New" w:hAnsi="Courier New"/>
          <w:sz w:val="19"/>
        </w:rPr>
        <w:t>head -n 8 output/articles_month_year/part-*.csv</w:t>
      </w:r>
    </w:p>
    <w:p>
      <w:r>
        <w:t>En Finder, abrir /Users/adrian/Downloads/Big Data/T2/output. Esta ubicación corresponde a /t2/output dentro del contenedor. No buscar /t2 directamente en la Terminal del Mac: esa ruta existe dentro de Docker.</w:t>
      </w:r>
    </w:p>
    <w:p>
      <w:r>
        <w:br w:type="page"/>
      </w:r>
    </w:p>
    <w:p>
      <w:pPr>
        <w:pStyle w:val="Heading1"/>
      </w:pPr>
      <w:r>
        <w:t>5 Reglas de cálculo e interpretación</w:t>
      </w:r>
    </w:p>
    <w:p>
      <w:pPr>
        <w:pStyle w:val="Heading2"/>
      </w:pPr>
      <w:r>
        <w:t>Artículos por mes y por grupo</w:t>
      </w:r>
    </w:p>
    <w:p>
      <w:r>
        <w:t>El mes y el año se extraen de createdDate en UTC. Se cuenta una fila por documento, sin multiplicar por autores. Una fecha ausente o inválida se conserva en el grupo con año y mes nulos. La salida mensual se ordena por año y mes ascendentes.</w:t>
      </w:r>
    </w:p>
    <w:p>
      <w:r>
        <w:t>Por grupo se cuentan DOI distintos no nulos y no vacíos. Un DOI repetido dentro del mismo grupo contribuye una sola vez. El grupo nulo se conserva; no se deduplican globalmente los documentos para otras métricas. La salida se ordena por total descendente y nombre de grupo ascendente.</w:t>
      </w:r>
    </w:p>
    <w:p>
      <w:pPr>
        <w:pStyle w:val="Heading2"/>
      </w:pPr>
      <w:r>
        <w:t>Nombres y áreas de investigación</w:t>
      </w:r>
    </w:p>
    <w:p>
      <w:r>
        <w:t>El nombre se forma concatenando given y family con un espacio y aplicando trim al resultado. Si queda vacío se usa unknown. Un autor nulo se omite; un arreglo de autores vacío o ausente no crea una persona. Un nombre repetido en el mismo artículo contribuye una vez.</w:t>
      </w:r>
    </w:p>
    <w:p>
      <w:r>
        <w:t>Cada persona recibe el conjunto de groupTitle válidos de sus artículos. Se excluyen grupos nulos o en blanco; la lista se ordena alfabéticamente y total es su tamaño. La salida se ordena por total descendente y nombre ascendente. Una persona sin grupos válidos puede tener una lista vacía y total cero. Los homónimos se agrupan por el nombre; no se aplica identificación por ORCID.</w:t>
      </w:r>
    </w:p>
    <w:p>
      <w:pPr>
        <w:pStyle w:val="Heading2"/>
      </w:pPr>
      <w:r>
        <w:t>Referencias por persona y máximo</w:t>
      </w:r>
    </w:p>
    <w:p>
      <w:r>
        <w:t>Se usan los objetos de reference cuyo DOI existe y no queda vacío al aplicar trim. El modo predeterminado cuenta DOI distintos por persona entre todos sus artículos. No cuenta citas recibidas ni sustituye el cálculo por reference-count. Cada referencia puede contribuir a cada coautor; no se divide entre ellos.</w:t>
      </w:r>
    </w:p>
    <w:p>
      <w:r>
        <w:t>La decisión de usar referencias distintas se apoya en el ejemplo del enunciado. El conteo independiente de Florian Krammer encontró 100 artículos, 3869 entradas con DOI y 2701 DOI distintos. Se conservan las mayúsculas originales del DOI. El texto no exige explícitamente deduplicar estas referencias, por lo que esta interpretación debe confirmarse con el profesor.</w:t>
      </w:r>
    </w:p>
    <w:p>
      <w:r>
        <w:t>Por defecto se excluyen de referencias las personas sin DOI válidos y el nombre sintético unknown, que puede reunir autores diferentes. unknown sí permanece en las áreas de investigación. En empate del máximo se elige el nombre ascendente. Las opciones permiten contar todas las entradas o incluir los casos excluidos; no son aclaraciones confirmadas del docente.</w:t>
      </w:r>
    </w:p>
    <w:p>
      <w:r>
        <w:br w:type="page"/>
      </w:r>
    </w:p>
    <w:p>
      <w:pPr>
        <w:pStyle w:val="Heading1"/>
      </w:pPr>
      <w:r>
        <w:t>6 Percentiles y opciones de ejecución</w:t>
      </w:r>
    </w:p>
    <w:p>
      <w:r>
        <w:t>Los percentiles se calculan sobre todos los totales de referencias por persona, antes de seleccionar el máximo. La población predeterminada comprende 194 981 nombres identificados con al menos una referencia válida en el dataset comprobado. Los puntos 6 a 8 mencionan el punto 4, pero hablan de referencias; esta implementación toma como base los totales de referencias del punto 5.</w:t>
      </w:r>
    </w:p>
    <w:p>
      <w:r>
        <w:t>El método continuous usa el percentil exacto interpolado de Spark: para los valores ordenados se toma la posición (n−1) × p y se interpola entre vecinos cuando corresponde. La alternativa nearest-rank selecciona el valor observado en el rango ceil(n × p), contando desde uno. Por ejemplo, para 1, 2, 3 y 4, P25 continuo es 1.75 y nearest-rank es 1. El método y la población no quedan definidos completamente en el enunciado.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392"/>
        <w:gridCol w:w="5688"/>
      </w:tblGrid>
      <w:tr>
        <w:trPr>
          <w:tblHeader/>
          <w:cantSplit/>
        </w:trPr>
        <w:tc>
          <w:tcPr>
            <w:tcW w:type="dxa" w:w="4392"/>
            <w:vAlign w:val="center"/>
            <w:shd w:fill="E7E7E7"/>
          </w:tcPr>
          <w:p>
            <w:pPr>
              <w:spacing w:after="20" w:line="252" w:lineRule="auto"/>
            </w:pPr>
            <w:r>
              <w:rPr>
                <w:b/>
                <w:sz w:val="20"/>
              </w:rPr>
              <w:t>Opción</w:t>
            </w:r>
          </w:p>
        </w:tc>
        <w:tc>
          <w:tcPr>
            <w:tcW w:type="dxa" w:w="5688"/>
            <w:vAlign w:val="center"/>
            <w:shd w:fill="E7E7E7"/>
          </w:tcPr>
          <w:p>
            <w:pPr>
              <w:spacing w:after="20" w:line="252" w:lineRule="auto"/>
            </w:pPr>
            <w:r>
              <w:rPr>
                <w:b/>
                <w:sz w:val="20"/>
              </w:rPr>
              <w:t>Efecto</w:t>
            </w:r>
          </w:p>
        </w:tc>
      </w:tr>
      <w:tr>
        <w:trPr>
          <w:cantSplit/>
        </w:trPr>
        <w:tc>
          <w:tcPr>
            <w:tcW w:type="dxa" w:w="4392"/>
            <w:vAlign w:val="center"/>
          </w:tcPr>
          <w:p>
            <w:pPr>
              <w:spacing w:after="20" w:line="252" w:lineRule="auto"/>
            </w:pPr>
            <w:r>
              <w:rPr>
                <w:b w:val="0"/>
                <w:sz w:val="20"/>
              </w:rPr>
              <w:t>--output RUTA</w:t>
            </w:r>
          </w:p>
        </w:tc>
        <w:tc>
          <w:tcPr>
            <w:tcW w:type="dxa" w:w="5688"/>
            <w:vAlign w:val="center"/>
          </w:tcPr>
          <w:p>
            <w:pPr>
              <w:spacing w:after="20" w:line="252" w:lineRule="auto"/>
            </w:pPr>
            <w:r>
              <w:rPr>
                <w:b w:val="0"/>
                <w:sz w:val="20"/>
              </w:rPr>
              <w:t>Cambia output por otra carpeta.</w:t>
            </w:r>
          </w:p>
        </w:tc>
      </w:tr>
      <w:tr>
        <w:trPr>
          <w:cantSplit/>
        </w:trPr>
        <w:tc>
          <w:tcPr>
            <w:tcW w:type="dxa" w:w="4392"/>
            <w:vAlign w:val="center"/>
          </w:tcPr>
          <w:p>
            <w:pPr>
              <w:spacing w:after="20" w:line="252" w:lineRule="auto"/>
            </w:pPr>
            <w:r>
              <w:rPr>
                <w:b w:val="0"/>
                <w:sz w:val="20"/>
              </w:rPr>
              <w:t>--overwrite</w:t>
            </w:r>
          </w:p>
        </w:tc>
        <w:tc>
          <w:tcPr>
            <w:tcW w:type="dxa" w:w="5688"/>
            <w:vAlign w:val="center"/>
          </w:tcPr>
          <w:p>
            <w:pPr>
              <w:spacing w:after="20" w:line="252" w:lineRule="auto"/>
            </w:pPr>
            <w:r>
              <w:rPr>
                <w:b w:val="0"/>
                <w:sz w:val="20"/>
              </w:rPr>
              <w:t>Reemplaza las ocho salidas y actualiza el resumen.</w:t>
            </w:r>
          </w:p>
        </w:tc>
      </w:tr>
      <w:tr>
        <w:trPr>
          <w:cantSplit/>
        </w:trPr>
        <w:tc>
          <w:tcPr>
            <w:tcW w:type="dxa" w:w="4392"/>
            <w:vAlign w:val="center"/>
          </w:tcPr>
          <w:p>
            <w:pPr>
              <w:spacing w:after="20" w:line="252" w:lineRule="auto"/>
            </w:pPr>
            <w:r>
              <w:rPr>
                <w:b w:val="0"/>
                <w:sz w:val="20"/>
              </w:rPr>
              <w:t>--reference-count-mode entries</w:t>
            </w:r>
          </w:p>
        </w:tc>
        <w:tc>
          <w:tcPr>
            <w:tcW w:type="dxa" w:w="5688"/>
            <w:vAlign w:val="center"/>
          </w:tcPr>
          <w:p>
            <w:pPr>
              <w:spacing w:after="20" w:line="252" w:lineRule="auto"/>
            </w:pPr>
            <w:r>
              <w:rPr>
                <w:b w:val="0"/>
                <w:sz w:val="20"/>
              </w:rPr>
              <w:t>Cuenta todas las entradas válidas; el valor por defecto es distinct-doi.</w:t>
            </w:r>
          </w:p>
        </w:tc>
      </w:tr>
      <w:tr>
        <w:trPr>
          <w:cantSplit/>
        </w:trPr>
        <w:tc>
          <w:tcPr>
            <w:tcW w:type="dxa" w:w="4392"/>
            <w:vAlign w:val="center"/>
          </w:tcPr>
          <w:p>
            <w:pPr>
              <w:spacing w:after="20" w:line="252" w:lineRule="auto"/>
            </w:pPr>
            <w:r>
              <w:rPr>
                <w:b w:val="0"/>
                <w:sz w:val="20"/>
              </w:rPr>
              <w:t>--include-zero-references</w:t>
            </w:r>
          </w:p>
        </w:tc>
        <w:tc>
          <w:tcPr>
            <w:tcW w:type="dxa" w:w="5688"/>
            <w:vAlign w:val="center"/>
          </w:tcPr>
          <w:p>
            <w:pPr>
              <w:spacing w:after="20" w:line="252" w:lineRule="auto"/>
            </w:pPr>
            <w:r>
              <w:rPr>
                <w:b w:val="0"/>
                <w:sz w:val="20"/>
              </w:rPr>
              <w:t>Incluye nombres con cero referencias válidas.</w:t>
            </w:r>
          </w:p>
        </w:tc>
      </w:tr>
      <w:tr>
        <w:trPr>
          <w:cantSplit/>
        </w:trPr>
        <w:tc>
          <w:tcPr>
            <w:tcW w:type="dxa" w:w="4392"/>
            <w:vAlign w:val="center"/>
          </w:tcPr>
          <w:p>
            <w:pPr>
              <w:spacing w:after="20" w:line="252" w:lineRule="auto"/>
            </w:pPr>
            <w:r>
              <w:rPr>
                <w:b w:val="0"/>
                <w:sz w:val="20"/>
              </w:rPr>
              <w:t>--include-unknown-references</w:t>
            </w:r>
          </w:p>
        </w:tc>
        <w:tc>
          <w:tcPr>
            <w:tcW w:type="dxa" w:w="5688"/>
            <w:vAlign w:val="center"/>
          </w:tcPr>
          <w:p>
            <w:pPr>
              <w:spacing w:after="20" w:line="252" w:lineRule="auto"/>
            </w:pPr>
            <w:r>
              <w:rPr>
                <w:b w:val="0"/>
                <w:sz w:val="20"/>
              </w:rPr>
              <w:t>Incluye el grupo sintético unknown en referencias.</w:t>
            </w:r>
          </w:p>
        </w:tc>
      </w:tr>
      <w:tr>
        <w:trPr>
          <w:cantSplit/>
        </w:trPr>
        <w:tc>
          <w:tcPr>
            <w:tcW w:type="dxa" w:w="4392"/>
            <w:vAlign w:val="center"/>
          </w:tcPr>
          <w:p>
            <w:pPr>
              <w:spacing w:after="20" w:line="252" w:lineRule="auto"/>
            </w:pPr>
            <w:r>
              <w:rPr>
                <w:b w:val="0"/>
                <w:sz w:val="20"/>
              </w:rPr>
              <w:t>--percentile-method nearest-rank</w:t>
            </w:r>
          </w:p>
        </w:tc>
        <w:tc>
          <w:tcPr>
            <w:tcW w:type="dxa" w:w="5688"/>
            <w:vAlign w:val="center"/>
          </w:tcPr>
          <w:p>
            <w:pPr>
              <w:spacing w:after="20" w:line="252" w:lineRule="auto"/>
            </w:pPr>
            <w:r>
              <w:rPr>
                <w:b w:val="0"/>
                <w:sz w:val="20"/>
              </w:rPr>
              <w:t>Cambia continuous por el método de rango observado.</w:t>
            </w:r>
          </w:p>
        </w:tc>
      </w:tr>
      <w:tr>
        <w:trPr>
          <w:cantSplit/>
        </w:trPr>
        <w:tc>
          <w:tcPr>
            <w:tcW w:type="dxa" w:w="4392"/>
            <w:vAlign w:val="center"/>
          </w:tcPr>
          <w:p>
            <w:pPr>
              <w:spacing w:after="20" w:line="252" w:lineRule="auto"/>
            </w:pPr>
            <w:r>
              <w:rPr>
                <w:b w:val="0"/>
                <w:sz w:val="20"/>
              </w:rPr>
              <w:t>--no-csv-header</w:t>
            </w:r>
          </w:p>
        </w:tc>
        <w:tc>
          <w:tcPr>
            <w:tcW w:type="dxa" w:w="5688"/>
            <w:vAlign w:val="center"/>
          </w:tcPr>
          <w:p>
            <w:pPr>
              <w:spacing w:after="20" w:line="252" w:lineRule="auto"/>
            </w:pPr>
            <w:r>
              <w:rPr>
                <w:b w:val="0"/>
                <w:sz w:val="20"/>
              </w:rPr>
              <w:t>Escribe los CSV sin encabezado.</w:t>
            </w:r>
          </w:p>
        </w:tc>
      </w:tr>
      <w:tr>
        <w:trPr>
          <w:cantSplit/>
        </w:trPr>
        <w:tc>
          <w:tcPr>
            <w:tcW w:type="dxa" w:w="4392"/>
            <w:vAlign w:val="center"/>
          </w:tcPr>
          <w:p>
            <w:pPr>
              <w:spacing w:after="20" w:line="252" w:lineRule="auto"/>
            </w:pPr>
            <w:r>
              <w:rPr>
                <w:b w:val="0"/>
                <w:sz w:val="20"/>
              </w:rPr>
              <w:t>--parquet-partitions N</w:t>
            </w:r>
          </w:p>
        </w:tc>
        <w:tc>
          <w:tcPr>
            <w:tcW w:type="dxa" w:w="5688"/>
            <w:vAlign w:val="center"/>
          </w:tcPr>
          <w:p>
            <w:pPr>
              <w:spacing w:after="20" w:line="252" w:lineRule="auto"/>
            </w:pPr>
            <w:r>
              <w:rPr>
                <w:b w:val="0"/>
                <w:sz w:val="20"/>
              </w:rPr>
              <w:t>Solicita hasta N archivos Parquet; por defecto 8. Debe ser positivo.</w:t>
            </w:r>
          </w:p>
        </w:tc>
      </w:tr>
    </w:tbl>
    <w:p>
      <w:pPr>
        <w:spacing w:after="20"/>
      </w:pPr>
    </w:p>
    <w:p>
      <w:pPr>
        <w:pStyle w:val="Heading2"/>
      </w:pPr>
      <w:r>
        <w:t>Ejemplo de configuración alternativa</w:t>
      </w:r>
    </w:p>
    <w:p>
      <w:pPr>
        <w:keepNext/>
        <w:keepLines/>
        <w:spacing w:after="40" w:line="240" w:lineRule="auto"/>
      </w:pPr>
      <w:r>
        <w:rPr>
          <w:rFonts w:ascii="Courier New" w:hAnsi="Courier New"/>
          <w:sz w:val="19"/>
        </w:rPr>
        <w:t>spark-submit --master 'local[2]' programa.py data/crossref \</w:t>
      </w:r>
    </w:p>
    <w:p>
      <w:pPr>
        <w:keepNext/>
        <w:keepLines/>
        <w:spacing w:after="40" w:line="240" w:lineRule="auto"/>
      </w:pPr>
      <w:r>
        <w:rPr>
          <w:rFonts w:ascii="Courier New" w:hAnsi="Courier New"/>
          <w:sz w:val="19"/>
        </w:rPr>
        <w:t xml:space="preserve">  --output output_alternativo --reference-count-mode entries \</w:t>
      </w:r>
    </w:p>
    <w:p>
      <w:pPr>
        <w:keepNext w:val="0"/>
        <w:keepLines/>
        <w:spacing w:after="160" w:line="240" w:lineRule="auto"/>
      </w:pPr>
      <w:r>
        <w:rPr>
          <w:rFonts w:ascii="Courier New" w:hAnsi="Courier New"/>
          <w:sz w:val="19"/>
        </w:rPr>
        <w:t xml:space="preserve">  --include-zero-references --percentile-method nearest-rank</w:t>
      </w:r>
    </w:p>
    <w:p>
      <w:r>
        <w:t>Esta alternativa puede cambiar el máximo y los percentiles. No compararla con los valores predeterminados sin revisar la configuración guardada en resumen_ejecucion.json. Para consultar todas las opciones:</w:t>
      </w:r>
    </w:p>
    <w:p>
      <w:pPr>
        <w:keepNext w:val="0"/>
        <w:keepLines/>
        <w:spacing w:after="160" w:line="240" w:lineRule="auto"/>
      </w:pPr>
      <w:r>
        <w:rPr>
          <w:rFonts w:ascii="Courier New" w:hAnsi="Courier New"/>
          <w:sz w:val="19"/>
        </w:rPr>
        <w:t>spark-submit programa.py --help</w:t>
      </w:r>
    </w:p>
    <w:p>
      <w:r>
        <w:t>Si la población está vacía, el máximo tiene cero registros y los percentiles son nulos. JSON malformado, ausencia de message o entrada sin artículos producen error. La escritura no es transaccional: un fallo puede dejar salidas parciales; corregir la causa y repetir con --overwrite.</w:t>
      </w:r>
    </w:p>
    <w:p>
      <w:r>
        <w:br w:type="page"/>
      </w:r>
    </w:p>
    <w:p>
      <w:pPr>
        <w:pStyle w:val="Heading1"/>
      </w:pPr>
      <w:r>
        <w:t>7 Pruebas y validación observada</w:t>
      </w:r>
    </w:p>
    <w:p>
      <w:r>
        <w:t>Las pruebas se ejecutan desde la raíz de T2 con pytest. La fixture de sesión prepara Spark local[2] y lo cierra al terminar. Los casos usan datos pequeños con valores esperados definidos por separado, sin requerir el dataset completo.</w:t>
      </w:r>
    </w:p>
    <w:p>
      <w:pPr>
        <w:keepNext w:val="0"/>
        <w:keepLines/>
        <w:spacing w:after="160" w:line="240" w:lineRule="auto"/>
      </w:pPr>
      <w:r>
        <w:rPr>
          <w:rFonts w:ascii="Courier New" w:hAnsi="Courier New"/>
          <w:sz w:val="19"/>
        </w:rPr>
        <w:t>pytest</w:t>
      </w:r>
    </w:p>
    <w:p>
      <w:r>
        <w:t>El 11 de octubre de 2026 se observaron 23 passed in 14.26s. La ejecución completa terminó con código de salida 0. Estas comprobaciones fueron realizadas por el asistente en el entorno indicado; no implican que el estudiante ya haya repetido o revisado personalmente todas las pruebas.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968"/>
        <w:gridCol w:w="5112"/>
      </w:tblGrid>
      <w:tr>
        <w:trPr>
          <w:tblHeader/>
          <w:cantSplit/>
        </w:trPr>
        <w:tc>
          <w:tcPr>
            <w:tcW w:type="dxa" w:w="4968"/>
            <w:vAlign w:val="center"/>
            <w:shd w:fill="E7E7E7"/>
          </w:tcPr>
          <w:p>
            <w:pPr>
              <w:spacing w:after="20" w:line="252" w:lineRule="auto"/>
            </w:pPr>
            <w:r>
              <w:rPr>
                <w:b/>
                <w:sz w:val="20"/>
              </w:rPr>
              <w:t>Comprobación</w:t>
            </w:r>
          </w:p>
        </w:tc>
        <w:tc>
          <w:tcPr>
            <w:tcW w:type="dxa" w:w="5112"/>
            <w:vAlign w:val="center"/>
            <w:shd w:fill="E7E7E7"/>
          </w:tcPr>
          <w:p>
            <w:pPr>
              <w:spacing w:after="20" w:line="252" w:lineRule="auto"/>
            </w:pPr>
            <w:r>
              <w:rPr>
                <w:b/>
                <w:sz w:val="20"/>
              </w:rPr>
              <w:t>Resultado observado</w:t>
            </w:r>
          </w:p>
        </w:tc>
      </w:tr>
      <w:tr>
        <w:trPr>
          <w:cantSplit/>
        </w:trPr>
        <w:tc>
          <w:tcPr>
            <w:tcW w:type="dxa" w:w="4968"/>
            <w:vAlign w:val="center"/>
          </w:tcPr>
          <w:p>
            <w:pPr>
              <w:spacing w:after="20" w:line="252" w:lineRule="auto"/>
            </w:pPr>
            <w:r>
              <w:rPr>
                <w:b w:val="0"/>
                <w:sz w:val="20"/>
              </w:rPr>
              <w:t>JSON leídos y filas Parquet releídas</w:t>
            </w:r>
          </w:p>
        </w:tc>
        <w:tc>
          <w:tcPr>
            <w:tcW w:type="dxa" w:w="5112"/>
            <w:vAlign w:val="center"/>
          </w:tcPr>
          <w:p>
            <w:pPr>
              <w:spacing w:after="20" w:line="252" w:lineRule="auto"/>
            </w:pPr>
            <w:r>
              <w:rPr>
                <w:b w:val="0"/>
                <w:sz w:val="20"/>
              </w:rPr>
              <w:t>31 458 en ambas etapas</w:t>
            </w:r>
          </w:p>
        </w:tc>
      </w:tr>
      <w:tr>
        <w:trPr>
          <w:cantSplit/>
        </w:trPr>
        <w:tc>
          <w:tcPr>
            <w:tcW w:type="dxa" w:w="4968"/>
            <w:vAlign w:val="center"/>
          </w:tcPr>
          <w:p>
            <w:pPr>
              <w:spacing w:after="20" w:line="252" w:lineRule="auto"/>
            </w:pPr>
            <w:r>
              <w:rPr>
                <w:b w:val="0"/>
                <w:sz w:val="20"/>
              </w:rPr>
              <w:t>Archivos de datos Parquet</w:t>
            </w:r>
          </w:p>
        </w:tc>
        <w:tc>
          <w:tcPr>
            <w:tcW w:type="dxa" w:w="5112"/>
            <w:vAlign w:val="center"/>
          </w:tcPr>
          <w:p>
            <w:pPr>
              <w:spacing w:after="20" w:line="252" w:lineRule="auto"/>
            </w:pPr>
            <w:r>
              <w:rPr>
                <w:b w:val="0"/>
                <w:sz w:val="20"/>
              </w:rPr>
              <w:t>8</w:t>
            </w:r>
          </w:p>
        </w:tc>
      </w:tr>
      <w:tr>
        <w:trPr>
          <w:cantSplit/>
        </w:trPr>
        <w:tc>
          <w:tcPr>
            <w:tcW w:type="dxa" w:w="4968"/>
            <w:vAlign w:val="center"/>
          </w:tcPr>
          <w:p>
            <w:pPr>
              <w:spacing w:after="20" w:line="252" w:lineRule="auto"/>
            </w:pPr>
            <w:r>
              <w:rPr>
                <w:b w:val="0"/>
                <w:sz w:val="20"/>
              </w:rPr>
              <w:t>Archivos de datos por CSV y JSON</w:t>
            </w:r>
          </w:p>
        </w:tc>
        <w:tc>
          <w:tcPr>
            <w:tcW w:type="dxa" w:w="5112"/>
            <w:vAlign w:val="center"/>
          </w:tcPr>
          <w:p>
            <w:pPr>
              <w:spacing w:after="20" w:line="252" w:lineRule="auto"/>
            </w:pPr>
            <w:r>
              <w:rPr>
                <w:b w:val="0"/>
                <w:sz w:val="20"/>
              </w:rPr>
              <w:t>1 por salida</w:t>
            </w:r>
          </w:p>
        </w:tc>
      </w:tr>
      <w:tr>
        <w:trPr>
          <w:cantSplit/>
        </w:trPr>
        <w:tc>
          <w:tcPr>
            <w:tcW w:type="dxa" w:w="4968"/>
            <w:vAlign w:val="center"/>
          </w:tcPr>
          <w:p>
            <w:pPr>
              <w:spacing w:after="20" w:line="252" w:lineRule="auto"/>
            </w:pPr>
            <w:r>
              <w:rPr>
                <w:b w:val="0"/>
                <w:sz w:val="20"/>
              </w:rPr>
              <w:t>Mayor total de referencias distintas</w:t>
            </w:r>
          </w:p>
        </w:tc>
        <w:tc>
          <w:tcPr>
            <w:tcW w:type="dxa" w:w="5112"/>
            <w:vAlign w:val="center"/>
          </w:tcPr>
          <w:p>
            <w:pPr>
              <w:spacing w:after="20" w:line="252" w:lineRule="auto"/>
            </w:pPr>
            <w:r>
              <w:rPr>
                <w:b w:val="0"/>
                <w:sz w:val="20"/>
              </w:rPr>
              <w:t>Florian Krammer con 2701</w:t>
            </w:r>
          </w:p>
        </w:tc>
      </w:tr>
      <w:tr>
        <w:trPr>
          <w:cantSplit/>
        </w:trPr>
        <w:tc>
          <w:tcPr>
            <w:tcW w:type="dxa" w:w="4968"/>
            <w:vAlign w:val="center"/>
          </w:tcPr>
          <w:p>
            <w:pPr>
              <w:spacing w:after="20" w:line="252" w:lineRule="auto"/>
            </w:pPr>
            <w:r>
              <w:rPr>
                <w:b w:val="0"/>
                <w:sz w:val="20"/>
              </w:rPr>
              <w:t>Percentiles continuos P25 P50 P75</w:t>
            </w:r>
          </w:p>
        </w:tc>
        <w:tc>
          <w:tcPr>
            <w:tcW w:type="dxa" w:w="5112"/>
            <w:vAlign w:val="center"/>
          </w:tcPr>
          <w:p>
            <w:pPr>
              <w:spacing w:after="20" w:line="252" w:lineRule="auto"/>
            </w:pPr>
            <w:r>
              <w:rPr>
                <w:b w:val="0"/>
                <w:sz w:val="20"/>
              </w:rPr>
              <w:t>21.0, 36.0 y 64.0</w:t>
            </w:r>
          </w:p>
        </w:tc>
      </w:tr>
      <w:tr>
        <w:trPr>
          <w:cantSplit/>
        </w:trPr>
        <w:tc>
          <w:tcPr>
            <w:tcW w:type="dxa" w:w="4968"/>
            <w:vAlign w:val="center"/>
          </w:tcPr>
          <w:p>
            <w:pPr>
              <w:spacing w:after="20" w:line="252" w:lineRule="auto"/>
            </w:pPr>
            <w:r>
              <w:rPr>
                <w:b w:val="0"/>
                <w:sz w:val="20"/>
              </w:rPr>
              <w:t>Contraste independiente con el ZIP original</w:t>
            </w:r>
          </w:p>
        </w:tc>
        <w:tc>
          <w:tcPr>
            <w:tcW w:type="dxa" w:w="5112"/>
            <w:vAlign w:val="center"/>
          </w:tcPr>
          <w:p>
            <w:pPr>
              <w:spacing w:after="20" w:line="252" w:lineRule="auto"/>
            </w:pPr>
            <w:r>
              <w:rPr>
                <w:b w:val="0"/>
                <w:sz w:val="20"/>
              </w:rPr>
              <w:t>Meses, grupos, áreas y orden, máximo y percentiles coinciden</w:t>
            </w:r>
          </w:p>
        </w:tc>
      </w:tr>
    </w:tbl>
    <w:p>
      <w:pPr>
        <w:spacing w:after="20"/>
      </w:pPr>
    </w:p>
    <w:p>
      <w:r>
        <w:t>Los tests cubren lectura multilínea y múltiples rutas, esquema anidado, campos ausentes, rutas y JSON inválidos, fechas, duplicados, coautores, nombres vacíos, grupos, referencias, ceros, empates, población vacía, ambos métodos de percentiles, archivo único, relectura y reemplazo. La evidencia queda en doc/Validacion.md, doc/Validacion_dataset.json y doc/Comprobacion_referencias.json.</w:t>
      </w:r>
    </w:p>
    <w:p>
      <w:pPr>
        <w:pStyle w:val="Heading2"/>
      </w:pPr>
      <w:r>
        <w:t>Resolver problemas frecuentes</w:t>
      </w:r>
    </w:p>
    <w:p>
      <w:r>
        <w:t>PATH_NOT_FOUND: comprobar la ruta y el directorio actual con pwd. Dentro de /t2 usar data/crossref o /t2/data/crossref; ./t2/data desde /t2 buscaría /t2/t2/data. command not found: activar /opt/venv/bin/activate. Contenedor detenido: iniciarlo desde el Mac. Salidas existentes: elegir una carpeta nueva o usar --overwrite intencionalmente.</w:t>
      </w:r>
    </w:p>
    <w:p>
      <w:r>
        <w:t>Memoria: el programa reduce a 128 filas los lotes Parquet, conserva temporalmente la proyección JSON en disco y evita cachear todas las columnas. La ejecución comprobada usó el heap Java predeterminado de 1 GiB. Los avisos de biblioteca nativa de Hadoop no equivalen por sí solos a un fallo; revisar si terminó el programa y se generó el resumen actual.</w:t>
      </w:r>
    </w:p>
    <w:p>
      <w:r>
        <w:t>Las 23 pruebas locales y el contraste del dataset no garantizan las pruebas adicionales del profesor, especialmente ante las interpretaciones pendientes de confirmar.</w:t>
      </w:r>
    </w:p>
    <w:p>
      <w:r>
        <w:br w:type="page"/>
      </w:r>
    </w:p>
    <w:p>
      <w:pPr>
        <w:pStyle w:val="Heading1"/>
      </w:pPr>
      <w:r>
        <w:t>8 Fuentes y procedencia del trabajo</w:t>
      </w:r>
    </w:p>
    <w:p>
      <w:pPr>
        <w:pStyle w:val="Heading2"/>
      </w:pPr>
      <w:r>
        <w:t>Materiales utilizados</w:t>
      </w:r>
    </w:p>
    <w:p>
      <w:r>
        <w:t>1. Enunciado 2026-02-M4-T2.md de L3. Fuente de las ocho salidas, esquema, pruebas, manual, video y reglas de entrega.</w:t>
      </w:r>
    </w:p>
    <w:p>
      <w:r>
        <w:t>2. Notebook biorxiv.ipynb de L2. Referencia del curso para lectura multilínea, message, selección de columnas, autores, agrupaciones y escrituras. La implementación nueva no se atribuye al profesor.</w:t>
      </w:r>
    </w:p>
    <w:p>
      <w:r>
        <w:t>3. Video de L3 video1745679371.mp4. Explicación de T2 aproximadamente entre 01:02 y 01:10; relectura obligatoria de Parquet entre 01:14:16 y 01:14:30, según el índice local de las clases.</w:t>
      </w:r>
    </w:p>
    <w:p>
      <w:r>
        <w:t>4. Full Container de L1, Dockerfile.arm64. Base de la configuración Docker incluida; se fijaron PySpark 4.2.0 y pytest 9.1.1. Las demás dependencias siguen la configuración del material de clase.</w:t>
      </w:r>
    </w:p>
    <w:p>
      <w:r>
        <w:t>5. Apache Spark 4.2.0. JSON Files y pyspark.sql.functions.percentile, documentación oficial consultada el 11 de octubre de 2026. La lectura multilínea y el percentil exacto se documentan en estas referencias.</w:t>
      </w:r>
    </w:p>
    <w:p>
      <w:r>
        <w:t>https://spark.apache.org/docs/4.2.0/sql-data-sources-json.html</w:t>
      </w:r>
    </w:p>
    <w:p>
      <w:r>
        <w:t>https://spark.apache.org/docs/4.2.0/api/python/reference/pyspark.sql/api/pyspark.sql.functions.percentile.html</w:t>
      </w:r>
    </w:p>
    <w:p>
      <w:r>
        <w:t>6. Política para el Uso de Inteligencia Artificial Generativa, versión 1.0, septiembre de 2026, proporcionada con el curso.</w:t>
      </w:r>
    </w:p>
    <w:p>
      <w:pPr>
        <w:pStyle w:val="Heading2"/>
      </w:pPr>
      <w:r>
        <w:t>Declaración del apoyo de inteligencia artificial</w:t>
      </w:r>
    </w:p>
    <w:p>
      <w:r>
        <w:t>Codex se utilizó para explicar la preparación del entorno y los errores, y posteriormente para generar el programa, los esquemas, las funciones, las pruebas, el README, este manual y el guion del video. El asistente ejecutó pruebas y contrastó las métricas con cálculos independientes sobre el ZIP del curso. No se presenta ese código como desarrollado exclusivamente por el estudiante.</w:t>
      </w:r>
    </w:p>
    <w:p>
      <w:r>
        <w:t>La revisión personal y las modificaciones posteriores del estudiante deben declararse según lo que realmente realice. La generación de este documento no demuestra por sí misma comprensión de la solución. El enunciado exige que el código entregado sea desarrollado por integrantes del grupo; reconocer el uso de IA no elimina esa condición de autoría.</w:t>
      </w:r>
    </w:p>
    <w:p>
      <w:pPr>
        <w:pStyle w:val="Heading2"/>
      </w:pPr>
      <w:r>
        <w:t>Repositorio y entrega</w:t>
      </w:r>
    </w:p>
    <w:p>
      <w:r>
        <w:t>Repositorio de trabajo: https://github.com/riverxh/Projects, carpeta T2. La copia publicable incluye código, pruebas, configuración, manual Word, guion y evidencias; excluye el dataset completo y las salidas voluminosas. Los resultados se regeneran siguiendo este manual.</w:t>
      </w:r>
    </w:p>
    <w:p>
      <w:r>
        <w:t>Antes del envío, revisar personalmente la solución y la declaración de IA, grabar el video de hasta siete minutos y comprobar los permisos del repositorio, del ZIP y del video. El manual se entrega aquí en Word por solicitud del estudiante; el enunciado exige PDF para la entrega académica, por lo que debe exportarse y revisarse antes de enviarlo. No se ha enviado ningún correo ni grabado un video mediante este documento.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Tarea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ejecución de la Tarea 2</dc:title>
  <dc:subject>Big Data Tarea 2 Procesamiento de datos Crossref</dc:subject>
  <dc:creator>Codex con información de Adrian Rojas Rivera</dc:creator>
  <cp:keywords/>
  <dc:description>Documento preparado con ayuda de IA. Ver declaración de procedencia.</dc:description>
  <cp:lastModifiedBy/>
  <cp:revision>1</cp:revision>
  <dcterms:created xsi:type="dcterms:W3CDTF">2013-12-23T23:15:00Z</dcterms:created>
  <dcterms:modified xsi:type="dcterms:W3CDTF">2013-12-23T23:15:00Z</dcterms:modified>
  <cp:category/>
</cp:coreProperties>
</file>