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BB55" w14:textId="3968D240" w:rsidR="00101F16" w:rsidRPr="000D4BAA" w:rsidRDefault="000D4BAA" w:rsidP="000D4BAA">
      <w:pPr>
        <w:spacing w:after="60"/>
        <w:jc w:val="center"/>
        <w:rPr>
          <w:sz w:val="20"/>
          <w:szCs w:val="20"/>
        </w:rPr>
      </w:pPr>
      <w:r w:rsidRPr="000D4BAA">
        <w:rPr>
          <w:b/>
          <w:bCs/>
          <w:color w:val="1F3864"/>
          <w:sz w:val="36"/>
          <w:szCs w:val="36"/>
        </w:rPr>
        <w:t>DIVERSIFICACIÓN, REGIÓN FACTIBLE Y FRONTERA EFICIENTE</w:t>
      </w:r>
    </w:p>
    <w:p w14:paraId="1DA88DD0" w14:textId="742D9CF9" w:rsidR="00101F16" w:rsidRDefault="00000000" w:rsidP="000D4BAA">
      <w:pPr>
        <w:pBdr>
          <w:bottom w:val="single" w:sz="8" w:space="6" w:color="2E75B6"/>
        </w:pBdr>
        <w:spacing w:after="240"/>
        <w:jc w:val="center"/>
      </w:pPr>
      <w:r>
        <w:rPr>
          <w:color w:val="595959"/>
        </w:rPr>
        <w:t>Proyecto de optimización de portafolios (DUK, LQD, KIMBERA.MX, AC.MX)</w:t>
      </w:r>
    </w:p>
    <w:p w14:paraId="6655278C" w14:textId="77777777" w:rsidR="00101F16" w:rsidRDefault="00000000">
      <w:pPr>
        <w:pStyle w:val="Ttulo1"/>
        <w:spacing w:before="320" w:after="140"/>
      </w:pPr>
      <w:r>
        <w:rPr>
          <w:b/>
          <w:bCs/>
          <w:color w:val="1F3864"/>
          <w:sz w:val="30"/>
          <w:szCs w:val="30"/>
        </w:rPr>
        <w:t>1. Qué se hizo y por qué</w:t>
      </w:r>
    </w:p>
    <w:p w14:paraId="6BDB0E88" w14:textId="70D35B93" w:rsidR="00101F16" w:rsidRDefault="000D4BAA">
      <w:pPr>
        <w:spacing w:after="140" w:line="288" w:lineRule="auto"/>
      </w:pPr>
      <w:r>
        <w:t xml:space="preserve">Encontramos </w:t>
      </w:r>
      <w:r w:rsidR="00000000">
        <w:t xml:space="preserve">el portafolio de mínima varianza global (GMVP). </w:t>
      </w:r>
      <w:r>
        <w:t xml:space="preserve">Ya con esto respondimos </w:t>
      </w:r>
      <w:r w:rsidR="00000000">
        <w:t>una pregunta que viene después: ¿ese portafolio es realmente alcanzable con nuestros cuatro activos, y dónde queda frente a todos los demás repartos posibles? Para eso se construyó la región factible, la frontera eficiente y la Línea del Mercado de Capitales (CAL), y se comprobó si el portafolio</w:t>
      </w:r>
      <w:r>
        <w:t xml:space="preserve"> </w:t>
      </w:r>
      <w:r w:rsidR="00000000">
        <w:t>cae dentro de la región.</w:t>
      </w:r>
    </w:p>
    <w:p w14:paraId="4DC96E18" w14:textId="77777777" w:rsidR="00101F16" w:rsidRDefault="00000000">
      <w:pPr>
        <w:spacing w:after="140" w:line="288" w:lineRule="auto"/>
      </w:pPr>
      <w:r>
        <w:t>En lugar de simular portafolios al azar (Monte Carlo), la región se calculó de forma exacta con optimización. Así se obtiene el borde real de la región y no una aproximación que depende de cuántos puntos se sorteen.</w:t>
      </w:r>
    </w:p>
    <w:p w14:paraId="43915DC5" w14:textId="77777777" w:rsidR="00101F16" w:rsidRDefault="00000000">
      <w:pPr>
        <w:pStyle w:val="Ttulo1"/>
        <w:spacing w:before="320" w:after="140"/>
      </w:pPr>
      <w:r>
        <w:rPr>
          <w:b/>
          <w:bCs/>
          <w:color w:val="1F3864"/>
          <w:sz w:val="30"/>
          <w:szCs w:val="30"/>
        </w:rPr>
        <w:t>2. Diversificación</w:t>
      </w:r>
    </w:p>
    <w:p w14:paraId="3AC71A3F" w14:textId="77777777" w:rsidR="00101F16" w:rsidRDefault="00000000">
      <w:pPr>
        <w:spacing w:after="140" w:line="288" w:lineRule="auto"/>
      </w:pPr>
      <w:r>
        <w:t xml:space="preserve">El riesgo de un activo tiene dos partes. El </w:t>
      </w:r>
      <w:r>
        <w:rPr>
          <w:b/>
          <w:bCs/>
        </w:rPr>
        <w:t>riesgo sistemático</w:t>
      </w:r>
      <w:r>
        <w:t xml:space="preserve"> viene del mercado completo (tasas, ciclo económico, tipo de cambio), afecta a todos a la vez y no se elimina combinando acciones. El </w:t>
      </w:r>
      <w:r>
        <w:rPr>
          <w:b/>
          <w:bCs/>
        </w:rPr>
        <w:t>riesgo no sistemático</w:t>
      </w:r>
      <w:r>
        <w:t xml:space="preserve"> es propio de cada empresa o sector, y sí se diluye al mezclar activos que no se mueven igual.</w:t>
      </w:r>
    </w:p>
    <w:p w14:paraId="0346A7E6" w14:textId="77777777" w:rsidR="00101F16" w:rsidRDefault="00000000">
      <w:pPr>
        <w:spacing w:after="140" w:line="288" w:lineRule="auto"/>
      </w:pPr>
      <w:r>
        <w:t>La varianza de un portafolio con pesos w es:</w:t>
      </w:r>
    </w:p>
    <w:p w14:paraId="48A3E132" w14:textId="77777777" w:rsidR="00101F16" w:rsidRDefault="00000000">
      <w:pPr>
        <w:spacing w:before="60" w:after="160"/>
        <w:jc w:val="center"/>
      </w:pPr>
      <w:r>
        <w:rPr>
          <w:rFonts w:ascii="Cambria Math" w:eastAsia="Cambria Math" w:hAnsi="Cambria Math" w:cs="Cambria Math"/>
          <w:i/>
          <w:iCs/>
          <w:sz w:val="23"/>
          <w:szCs w:val="23"/>
        </w:rPr>
        <w:t xml:space="preserve">σp² = </w:t>
      </w:r>
      <w:proofErr w:type="spellStart"/>
      <w:r>
        <w:rPr>
          <w:rFonts w:ascii="Cambria Math" w:eastAsia="Cambria Math" w:hAnsi="Cambria Math" w:cs="Cambria Math"/>
          <w:i/>
          <w:iCs/>
          <w:sz w:val="23"/>
          <w:szCs w:val="23"/>
        </w:rPr>
        <w:t>wᵀΣw</w:t>
      </w:r>
      <w:proofErr w:type="spellEnd"/>
      <w:r>
        <w:rPr>
          <w:rFonts w:ascii="Cambria Math" w:eastAsia="Cambria Math" w:hAnsi="Cambria Math" w:cs="Cambria Math"/>
          <w:i/>
          <w:iCs/>
          <w:sz w:val="23"/>
          <w:szCs w:val="23"/>
        </w:rPr>
        <w:t xml:space="preserve"> = Σ wi² σi</w:t>
      </w:r>
      <w:proofErr w:type="gramStart"/>
      <w:r>
        <w:rPr>
          <w:rFonts w:ascii="Cambria Math" w:eastAsia="Cambria Math" w:hAnsi="Cambria Math" w:cs="Cambria Math"/>
          <w:i/>
          <w:iCs/>
          <w:sz w:val="23"/>
          <w:szCs w:val="23"/>
        </w:rPr>
        <w:t>²  +</w:t>
      </w:r>
      <w:proofErr w:type="gramEnd"/>
      <w:r>
        <w:rPr>
          <w:rFonts w:ascii="Cambria Math" w:eastAsia="Cambria Math" w:hAnsi="Cambria Math" w:cs="Cambria Math"/>
          <w:i/>
          <w:iCs/>
          <w:sz w:val="23"/>
          <w:szCs w:val="23"/>
        </w:rPr>
        <w:t xml:space="preserve">  2 Σ(i&lt;j) </w:t>
      </w:r>
      <w:proofErr w:type="spellStart"/>
      <w:r>
        <w:rPr>
          <w:rFonts w:ascii="Cambria Math" w:eastAsia="Cambria Math" w:hAnsi="Cambria Math" w:cs="Cambria Math"/>
          <w:i/>
          <w:iCs/>
          <w:sz w:val="23"/>
          <w:szCs w:val="23"/>
        </w:rPr>
        <w:t>wi</w:t>
      </w:r>
      <w:proofErr w:type="spellEnd"/>
      <w:r>
        <w:rPr>
          <w:rFonts w:ascii="Cambria Math" w:eastAsia="Cambria Math" w:hAnsi="Cambria Math" w:cs="Cambria Math"/>
          <w:i/>
          <w:iCs/>
          <w:sz w:val="23"/>
          <w:szCs w:val="23"/>
        </w:rPr>
        <w:t xml:space="preserve"> </w:t>
      </w:r>
      <w:proofErr w:type="spellStart"/>
      <w:r>
        <w:rPr>
          <w:rFonts w:ascii="Cambria Math" w:eastAsia="Cambria Math" w:hAnsi="Cambria Math" w:cs="Cambria Math"/>
          <w:i/>
          <w:iCs/>
          <w:sz w:val="23"/>
          <w:szCs w:val="23"/>
        </w:rPr>
        <w:t>wj</w:t>
      </w:r>
      <w:proofErr w:type="spellEnd"/>
      <w:r>
        <w:rPr>
          <w:rFonts w:ascii="Cambria Math" w:eastAsia="Cambria Math" w:hAnsi="Cambria Math" w:cs="Cambria Math"/>
          <w:i/>
          <w:iCs/>
          <w:sz w:val="23"/>
          <w:szCs w:val="23"/>
        </w:rPr>
        <w:t xml:space="preserve"> </w:t>
      </w:r>
      <w:proofErr w:type="spellStart"/>
      <w:r>
        <w:rPr>
          <w:rFonts w:ascii="Cambria Math" w:eastAsia="Cambria Math" w:hAnsi="Cambria Math" w:cs="Cambria Math"/>
          <w:i/>
          <w:iCs/>
          <w:sz w:val="23"/>
          <w:szCs w:val="23"/>
        </w:rPr>
        <w:t>σij</w:t>
      </w:r>
      <w:proofErr w:type="spellEnd"/>
    </w:p>
    <w:p w14:paraId="52030F4F" w14:textId="77777777" w:rsidR="00101F16" w:rsidRDefault="00000000">
      <w:pPr>
        <w:spacing w:after="140" w:line="288" w:lineRule="auto"/>
      </w:pPr>
      <w:r>
        <w:t>El efecto de diversificar está en el segundo término: mientras menor sea la covarianza entre dos activos (</w:t>
      </w:r>
      <w:proofErr w:type="spellStart"/>
      <w:r>
        <w:t>σij</w:t>
      </w:r>
      <w:proofErr w:type="spellEnd"/>
      <w:r>
        <w:t xml:space="preserve"> = </w:t>
      </w:r>
      <w:proofErr w:type="spellStart"/>
      <w:r>
        <w:t>ρij</w:t>
      </w:r>
      <w:proofErr w:type="spellEnd"/>
      <w:r>
        <w:t xml:space="preserve"> · </w:t>
      </w:r>
      <w:proofErr w:type="spellStart"/>
      <w:r>
        <w:t>σi</w:t>
      </w:r>
      <w:proofErr w:type="spellEnd"/>
      <w:r>
        <w:t xml:space="preserve"> · </w:t>
      </w:r>
      <w:proofErr w:type="spellStart"/>
      <w:r>
        <w:t>σj</w:t>
      </w:r>
      <w:proofErr w:type="spellEnd"/>
      <w:r>
        <w:t>), menos riesgo suma esa pareja. Si todos los activos fueran idénticos (ρ = 1), el riesgo del portafolio sería solo el promedio ponderado de los riesgos individuales y no habría ganancia.</w:t>
      </w:r>
    </w:p>
    <w:p w14:paraId="5A6F39DE" w14:textId="77777777" w:rsidR="00101F16" w:rsidRDefault="00000000">
      <w:pPr>
        <w:spacing w:after="140" w:line="288" w:lineRule="auto"/>
      </w:pPr>
      <w:r>
        <w:t>La matriz de correlación de nuestros activos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101F16" w14:paraId="73FA08D7"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0BD043" w14:textId="77777777" w:rsidR="00101F16" w:rsidRDefault="00101F16"/>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4199A4" w14:textId="77777777" w:rsidR="00101F16" w:rsidRDefault="00000000">
            <w:pPr>
              <w:jc w:val="center"/>
            </w:pPr>
            <w:r>
              <w:rPr>
                <w:b/>
                <w:bCs/>
                <w:color w:val="FFFFFF"/>
                <w:sz w:val="20"/>
                <w:szCs w:val="20"/>
              </w:rPr>
              <w:t>DUK</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7B019CC" w14:textId="77777777" w:rsidR="00101F16" w:rsidRDefault="00000000">
            <w:pPr>
              <w:jc w:val="center"/>
            </w:pPr>
            <w:r>
              <w:rPr>
                <w:b/>
                <w:bCs/>
                <w:color w:val="FFFFFF"/>
                <w:sz w:val="20"/>
                <w:szCs w:val="20"/>
              </w:rPr>
              <w:t>LQD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9DA6C46" w14:textId="77777777" w:rsidR="00101F16" w:rsidRDefault="00000000">
            <w:pPr>
              <w:jc w:val="center"/>
            </w:pPr>
            <w:r>
              <w:rPr>
                <w:b/>
                <w:bCs/>
                <w:color w:val="FFFFFF"/>
                <w:sz w:val="20"/>
                <w:szCs w:val="20"/>
              </w:rPr>
              <w:t>KIMBERA.MX</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B785FA5" w14:textId="77777777" w:rsidR="00101F16" w:rsidRDefault="00000000">
            <w:pPr>
              <w:jc w:val="center"/>
            </w:pPr>
            <w:r>
              <w:rPr>
                <w:b/>
                <w:bCs/>
                <w:color w:val="FFFFFF"/>
                <w:sz w:val="20"/>
                <w:szCs w:val="20"/>
              </w:rPr>
              <w:t>AC.MX</w:t>
            </w:r>
          </w:p>
        </w:tc>
      </w:tr>
      <w:tr w:rsidR="00101F16" w14:paraId="7A96250B"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322062" w14:textId="77777777" w:rsidR="00101F16" w:rsidRDefault="00000000">
            <w:r>
              <w:rPr>
                <w:color w:val="000000"/>
                <w:sz w:val="20"/>
                <w:szCs w:val="20"/>
              </w:rPr>
              <w:t>DUK</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11283E" w14:textId="77777777" w:rsidR="00101F16" w:rsidRDefault="00000000">
            <w:pPr>
              <w:jc w:val="center"/>
            </w:pPr>
            <w:r>
              <w:rPr>
                <w:color w:val="000000"/>
                <w:sz w:val="20"/>
                <w:szCs w:val="20"/>
              </w:rPr>
              <w:t>1.000</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41A7CB" w14:textId="77777777" w:rsidR="00101F16" w:rsidRDefault="00000000">
            <w:pPr>
              <w:jc w:val="center"/>
            </w:pPr>
            <w:r>
              <w:rPr>
                <w:color w:val="000000"/>
                <w:sz w:val="20"/>
                <w:szCs w:val="20"/>
              </w:rPr>
              <w:t>0.271</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CEE559" w14:textId="77777777" w:rsidR="00101F16" w:rsidRDefault="00000000">
            <w:pPr>
              <w:jc w:val="center"/>
            </w:pPr>
            <w:r>
              <w:rPr>
                <w:color w:val="000000"/>
                <w:sz w:val="20"/>
                <w:szCs w:val="20"/>
              </w:rPr>
              <w:t>0.071</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414F91" w14:textId="77777777" w:rsidR="00101F16" w:rsidRDefault="00000000">
            <w:pPr>
              <w:jc w:val="center"/>
            </w:pPr>
            <w:r>
              <w:rPr>
                <w:color w:val="000000"/>
                <w:sz w:val="20"/>
                <w:szCs w:val="20"/>
              </w:rPr>
              <w:t>0.080</w:t>
            </w:r>
          </w:p>
        </w:tc>
      </w:tr>
      <w:tr w:rsidR="00101F16" w14:paraId="7D73FC06"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18201D" w14:textId="77777777" w:rsidR="00101F16" w:rsidRDefault="00000000">
            <w:r>
              <w:rPr>
                <w:color w:val="000000"/>
                <w:sz w:val="20"/>
                <w:szCs w:val="20"/>
              </w:rPr>
              <w:t>LQD</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94E1F5" w14:textId="77777777" w:rsidR="00101F16" w:rsidRDefault="00000000">
            <w:pPr>
              <w:jc w:val="center"/>
            </w:pPr>
            <w:r>
              <w:rPr>
                <w:color w:val="000000"/>
                <w:sz w:val="20"/>
                <w:szCs w:val="20"/>
              </w:rPr>
              <w:t>0.271</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AD63B9" w14:textId="77777777" w:rsidR="00101F16" w:rsidRDefault="00000000">
            <w:pPr>
              <w:jc w:val="center"/>
            </w:pPr>
            <w:r>
              <w:rPr>
                <w:color w:val="000000"/>
                <w:sz w:val="20"/>
                <w:szCs w:val="20"/>
              </w:rPr>
              <w:t>1.000</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D78361" w14:textId="77777777" w:rsidR="00101F16" w:rsidRDefault="00000000">
            <w:pPr>
              <w:jc w:val="center"/>
            </w:pPr>
            <w:r>
              <w:rPr>
                <w:color w:val="000000"/>
                <w:sz w:val="20"/>
                <w:szCs w:val="20"/>
              </w:rPr>
              <w:t>0.155</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D7EB8B" w14:textId="77777777" w:rsidR="00101F16" w:rsidRDefault="00000000">
            <w:pPr>
              <w:jc w:val="center"/>
            </w:pPr>
            <w:r>
              <w:rPr>
                <w:color w:val="000000"/>
                <w:sz w:val="20"/>
                <w:szCs w:val="20"/>
              </w:rPr>
              <w:t>0.129</w:t>
            </w:r>
          </w:p>
        </w:tc>
      </w:tr>
      <w:tr w:rsidR="00101F16" w14:paraId="23968935"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986BC9" w14:textId="77777777" w:rsidR="00101F16" w:rsidRDefault="00000000">
            <w:r>
              <w:rPr>
                <w:color w:val="000000"/>
                <w:sz w:val="20"/>
                <w:szCs w:val="20"/>
              </w:rPr>
              <w:t>KIMBERA.MX</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6BF6BB" w14:textId="77777777" w:rsidR="00101F16" w:rsidRDefault="00000000">
            <w:pPr>
              <w:jc w:val="center"/>
            </w:pPr>
            <w:r>
              <w:rPr>
                <w:color w:val="000000"/>
                <w:sz w:val="20"/>
                <w:szCs w:val="20"/>
              </w:rPr>
              <w:t>0.071</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E52F4F" w14:textId="77777777" w:rsidR="00101F16" w:rsidRDefault="00000000">
            <w:pPr>
              <w:jc w:val="center"/>
            </w:pPr>
            <w:r>
              <w:rPr>
                <w:color w:val="000000"/>
                <w:sz w:val="20"/>
                <w:szCs w:val="20"/>
              </w:rPr>
              <w:t>0.155</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54DF90" w14:textId="77777777" w:rsidR="00101F16" w:rsidRDefault="00000000">
            <w:pPr>
              <w:jc w:val="center"/>
            </w:pPr>
            <w:r>
              <w:rPr>
                <w:color w:val="000000"/>
                <w:sz w:val="20"/>
                <w:szCs w:val="20"/>
              </w:rPr>
              <w:t>1.000</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116683" w14:textId="77777777" w:rsidR="00101F16" w:rsidRDefault="00000000">
            <w:pPr>
              <w:jc w:val="center"/>
            </w:pPr>
            <w:r>
              <w:rPr>
                <w:color w:val="000000"/>
                <w:sz w:val="20"/>
                <w:szCs w:val="20"/>
              </w:rPr>
              <w:t>0.308</w:t>
            </w:r>
          </w:p>
        </w:tc>
      </w:tr>
      <w:tr w:rsidR="00101F16" w14:paraId="1217938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1A7305" w14:textId="77777777" w:rsidR="00101F16" w:rsidRDefault="00000000">
            <w:r>
              <w:rPr>
                <w:color w:val="000000"/>
                <w:sz w:val="20"/>
                <w:szCs w:val="20"/>
              </w:rPr>
              <w:t>AC.MX</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BB6C92" w14:textId="77777777" w:rsidR="00101F16" w:rsidRDefault="00000000">
            <w:pPr>
              <w:jc w:val="center"/>
            </w:pPr>
            <w:r>
              <w:rPr>
                <w:color w:val="000000"/>
                <w:sz w:val="20"/>
                <w:szCs w:val="20"/>
              </w:rPr>
              <w:t>0.080</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40EA25" w14:textId="77777777" w:rsidR="00101F16" w:rsidRDefault="00000000">
            <w:pPr>
              <w:jc w:val="center"/>
            </w:pPr>
            <w:r>
              <w:rPr>
                <w:color w:val="000000"/>
                <w:sz w:val="20"/>
                <w:szCs w:val="20"/>
              </w:rPr>
              <w:t>0.129</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633D65" w14:textId="77777777" w:rsidR="00101F16" w:rsidRDefault="00000000">
            <w:pPr>
              <w:jc w:val="center"/>
            </w:pPr>
            <w:r>
              <w:rPr>
                <w:color w:val="000000"/>
                <w:sz w:val="20"/>
                <w:szCs w:val="20"/>
              </w:rPr>
              <w:t>0.308</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372F1F" w14:textId="77777777" w:rsidR="00101F16" w:rsidRDefault="00000000">
            <w:pPr>
              <w:jc w:val="center"/>
            </w:pPr>
            <w:r>
              <w:rPr>
                <w:color w:val="000000"/>
                <w:sz w:val="20"/>
                <w:szCs w:val="20"/>
              </w:rPr>
              <w:t>1.000</w:t>
            </w:r>
          </w:p>
        </w:tc>
      </w:tr>
    </w:tbl>
    <w:p w14:paraId="2D835EA9" w14:textId="77777777" w:rsidR="00101F16" w:rsidRDefault="00101F16">
      <w:pPr>
        <w:spacing w:after="120"/>
      </w:pPr>
    </w:p>
    <w:p w14:paraId="23D35136" w14:textId="77777777" w:rsidR="00101F16" w:rsidRDefault="00000000">
      <w:pPr>
        <w:spacing w:after="140" w:line="288" w:lineRule="auto"/>
      </w:pPr>
      <w:r>
        <w:t>Todas las correlaciones son positivas pero bajas; la más alta (0.308) es entre las dos acciones mexicanas. Hay un componente común del mercado, pero queda mucho margen para diversificar. Con los pesos del GMVP, el riesgo sin diversificar (promedio ponderado) sería 9.10 %, y el riesgo real del portafolio es 7.07 %. Esa diferencia, cercana a 2 puntos porcentuales, es riesgo no sistemático que se eliminó por combinar los activos.</w:t>
      </w:r>
    </w:p>
    <w:p w14:paraId="7CDF59F5" w14:textId="77777777" w:rsidR="00101F16" w:rsidRDefault="00000000">
      <w:pPr>
        <w:pStyle w:val="Ttulo1"/>
        <w:spacing w:before="320" w:after="140"/>
      </w:pPr>
      <w:r>
        <w:rPr>
          <w:b/>
          <w:bCs/>
          <w:color w:val="1F3864"/>
          <w:sz w:val="30"/>
          <w:szCs w:val="30"/>
        </w:rPr>
        <w:lastRenderedPageBreak/>
        <w:t>3. Región factible</w:t>
      </w:r>
    </w:p>
    <w:p w14:paraId="1F8B07F0" w14:textId="77777777" w:rsidR="00101F16" w:rsidRDefault="00000000">
      <w:pPr>
        <w:pStyle w:val="Ttulo2"/>
        <w:spacing w:before="220" w:after="100"/>
      </w:pPr>
      <w:r>
        <w:rPr>
          <w:b/>
          <w:bCs/>
          <w:color w:val="2E75B6"/>
          <w:sz w:val="25"/>
          <w:szCs w:val="25"/>
        </w:rPr>
        <w:t>3.1 Qué es</w:t>
      </w:r>
    </w:p>
    <w:p w14:paraId="33BC4673" w14:textId="77777777" w:rsidR="00101F16" w:rsidRDefault="00000000">
      <w:pPr>
        <w:spacing w:after="140" w:line="288" w:lineRule="auto"/>
      </w:pPr>
      <w:r>
        <w:t>Cada reparto posible del dinero (pesos que suman 100 % y no son negativos) da un par de números: el rendimiento esperado y el riesgo del portafolio. Si se marcan todos esos pares en una gráfica de riesgo contra rendimiento, se forma una zona. Esa zona es la región factible. Un punto fuera de ella no se puede lograr con estos cuatro activos y estas restricciones; un punto dentro sí.</w:t>
      </w:r>
    </w:p>
    <w:p w14:paraId="58E76F76" w14:textId="77777777" w:rsidR="00101F16" w:rsidRDefault="00000000">
      <w:pPr>
        <w:pStyle w:val="Ttulo2"/>
        <w:spacing w:before="220" w:after="100"/>
      </w:pPr>
      <w:r>
        <w:rPr>
          <w:b/>
          <w:bCs/>
          <w:color w:val="2E75B6"/>
          <w:sz w:val="25"/>
          <w:szCs w:val="25"/>
        </w:rPr>
        <w:t>3.2 Cómo se construyó sin Monte Carlo</w:t>
      </w:r>
    </w:p>
    <w:p w14:paraId="41ABD8DC" w14:textId="3B4C4766" w:rsidR="00101F16" w:rsidRDefault="00000000">
      <w:pPr>
        <w:pStyle w:val="Prrafodelista"/>
        <w:numPr>
          <w:ilvl w:val="0"/>
          <w:numId w:val="2"/>
        </w:numPr>
        <w:spacing w:after="80" w:line="276" w:lineRule="auto"/>
      </w:pPr>
      <w:r>
        <w:rPr>
          <w:b/>
          <w:bCs/>
        </w:rPr>
        <w:t xml:space="preserve">Borde izquierdo. </w:t>
      </w:r>
      <w:r>
        <w:t>Para cada rendimiento objetivo se resuelve el mismo problema cuadrático de</w:t>
      </w:r>
      <w:r w:rsidR="000D4BAA">
        <w:t xml:space="preserve"> la </w:t>
      </w:r>
      <w:r>
        <w:t>mínima varianza, agregando la condición de ganar justo ese rendimiento. Da el menor riesgo posible para cada rendimiento.</w:t>
      </w:r>
    </w:p>
    <w:p w14:paraId="78AB4556" w14:textId="77777777" w:rsidR="00101F16" w:rsidRDefault="00000000">
      <w:pPr>
        <w:pStyle w:val="Prrafodelista"/>
        <w:numPr>
          <w:ilvl w:val="0"/>
          <w:numId w:val="2"/>
        </w:numPr>
        <w:spacing w:after="80" w:line="276" w:lineRule="auto"/>
      </w:pPr>
      <w:r>
        <w:rPr>
          <w:b/>
          <w:bCs/>
        </w:rPr>
        <w:t xml:space="preserve">Borde derecho. </w:t>
      </w:r>
      <w:r>
        <w:t>Para cada rendimiento se busca el mayor riesgo posible. Como la varianza es una función convexa y los repartos con un rendimiento dado forman un poliedro, el máximo se alcanza en un vértice, y esos vértices son mezclas de a lo más dos activos. Basta revisar las seis parejas de activos.</w:t>
      </w:r>
    </w:p>
    <w:p w14:paraId="5D8FF724" w14:textId="77777777" w:rsidR="00101F16" w:rsidRDefault="00000000">
      <w:pPr>
        <w:pStyle w:val="Prrafodelista"/>
        <w:numPr>
          <w:ilvl w:val="0"/>
          <w:numId w:val="2"/>
        </w:numPr>
        <w:spacing w:after="80" w:line="276" w:lineRule="auto"/>
      </w:pPr>
      <w:r>
        <w:rPr>
          <w:b/>
          <w:bCs/>
        </w:rPr>
        <w:t xml:space="preserve">La región </w:t>
      </w:r>
      <w:r>
        <w:t>es todo lo que queda entre ambos bordes, con rendimientos entre 4.84 % (LQD) y 15.17 % (AC.MX). Sin ventas en corto, ningún portafolio puede salirse de ese intervalo.</w:t>
      </w:r>
    </w:p>
    <w:p w14:paraId="77090681" w14:textId="77777777" w:rsidR="00101F16" w:rsidRDefault="00000000">
      <w:pPr>
        <w:pStyle w:val="Ttulo1"/>
        <w:spacing w:before="320" w:after="140"/>
      </w:pPr>
      <w:r>
        <w:rPr>
          <w:b/>
          <w:bCs/>
          <w:color w:val="1F3864"/>
          <w:sz w:val="30"/>
          <w:szCs w:val="30"/>
        </w:rPr>
        <w:t>4. Frontera eficiente y CAL</w:t>
      </w:r>
    </w:p>
    <w:p w14:paraId="304B6851" w14:textId="77777777" w:rsidR="00101F16" w:rsidRDefault="00000000">
      <w:pPr>
        <w:spacing w:after="140" w:line="288" w:lineRule="auto"/>
      </w:pPr>
      <w:r>
        <w:t xml:space="preserve">La frontera eficiente es la parte del borde izquierdo que va del GMVP hacia arriba: para cada nivel de riesgo, el reparto con mayor rendimiento. La parte de abajo del mismo borde es la rama ineficiente (mismo riesgo, menos rendimiento). Cualquier portafolio dentro de la </w:t>
      </w:r>
      <w:proofErr w:type="gramStart"/>
      <w:r>
        <w:t>región</w:t>
      </w:r>
      <w:proofErr w:type="gramEnd"/>
      <w:r>
        <w:t xml:space="preserve"> pero debajo de la frontera está dominado, porque existe otro con el mismo riesgo y más rendimiento.</w:t>
      </w:r>
    </w:p>
    <w:p w14:paraId="57EDC32A" w14:textId="77777777" w:rsidR="00101F16" w:rsidRDefault="00000000">
      <w:pPr>
        <w:spacing w:after="140" w:line="288" w:lineRule="auto"/>
      </w:pPr>
      <w:r>
        <w:t xml:space="preserve">Con una tasa libre de riesgo </w:t>
      </w:r>
      <w:proofErr w:type="spellStart"/>
      <w:r>
        <w:t>rf</w:t>
      </w:r>
      <w:proofErr w:type="spellEnd"/>
      <w:r>
        <w:t xml:space="preserve"> se traza la CAL, la recta que parte de </w:t>
      </w:r>
      <w:proofErr w:type="spellStart"/>
      <w:r>
        <w:t>rf</w:t>
      </w:r>
      <w:proofErr w:type="spellEnd"/>
      <w:r>
        <w:t xml:space="preserve"> y toca la frontera en el portafolio tangente, que es el de mayor ratio de Sharpe:</w:t>
      </w:r>
    </w:p>
    <w:p w14:paraId="576516FF" w14:textId="77777777" w:rsidR="00101F16" w:rsidRDefault="00000000">
      <w:pPr>
        <w:spacing w:before="60" w:after="160"/>
        <w:jc w:val="center"/>
      </w:pPr>
      <w:r>
        <w:rPr>
          <w:rFonts w:ascii="Cambria Math" w:eastAsia="Cambria Math" w:hAnsi="Cambria Math" w:cs="Cambria Math"/>
          <w:i/>
          <w:iCs/>
          <w:sz w:val="23"/>
          <w:szCs w:val="23"/>
        </w:rPr>
        <w:t>S = (</w:t>
      </w:r>
      <w:proofErr w:type="spellStart"/>
      <w:r>
        <w:rPr>
          <w:rFonts w:ascii="Cambria Math" w:eastAsia="Cambria Math" w:hAnsi="Cambria Math" w:cs="Cambria Math"/>
          <w:i/>
          <w:iCs/>
          <w:sz w:val="23"/>
          <w:szCs w:val="23"/>
        </w:rPr>
        <w:t>μp</w:t>
      </w:r>
      <w:proofErr w:type="spellEnd"/>
      <w:r>
        <w:rPr>
          <w:rFonts w:ascii="Cambria Math" w:eastAsia="Cambria Math" w:hAnsi="Cambria Math" w:cs="Cambria Math"/>
          <w:i/>
          <w:iCs/>
          <w:sz w:val="23"/>
          <w:szCs w:val="23"/>
        </w:rPr>
        <w:t xml:space="preserve"> − </w:t>
      </w:r>
      <w:proofErr w:type="spellStart"/>
      <w:r>
        <w:rPr>
          <w:rFonts w:ascii="Cambria Math" w:eastAsia="Cambria Math" w:hAnsi="Cambria Math" w:cs="Cambria Math"/>
          <w:i/>
          <w:iCs/>
          <w:sz w:val="23"/>
          <w:szCs w:val="23"/>
        </w:rPr>
        <w:t>rf</w:t>
      </w:r>
      <w:proofErr w:type="spellEnd"/>
      <w:r>
        <w:rPr>
          <w:rFonts w:ascii="Cambria Math" w:eastAsia="Cambria Math" w:hAnsi="Cambria Math" w:cs="Cambria Math"/>
          <w:i/>
          <w:iCs/>
          <w:sz w:val="23"/>
          <w:szCs w:val="23"/>
        </w:rPr>
        <w:t xml:space="preserve">) / </w:t>
      </w:r>
      <w:proofErr w:type="spellStart"/>
      <w:r>
        <w:rPr>
          <w:rFonts w:ascii="Cambria Math" w:eastAsia="Cambria Math" w:hAnsi="Cambria Math" w:cs="Cambria Math"/>
          <w:i/>
          <w:iCs/>
          <w:sz w:val="23"/>
          <w:szCs w:val="23"/>
        </w:rPr>
        <w:t>σp</w:t>
      </w:r>
      <w:proofErr w:type="spellEnd"/>
    </w:p>
    <w:p w14:paraId="25752692" w14:textId="77777777" w:rsidR="000D4BAA" w:rsidRDefault="00000000">
      <w:pPr>
        <w:spacing w:after="140" w:line="288" w:lineRule="auto"/>
      </w:pPr>
      <w:r>
        <w:t xml:space="preserve">Se usó </w:t>
      </w:r>
      <w:proofErr w:type="spellStart"/>
      <w:r>
        <w:rPr>
          <w:b/>
          <w:bCs/>
        </w:rPr>
        <w:t>rf</w:t>
      </w:r>
      <w:proofErr w:type="spellEnd"/>
      <w:r>
        <w:rPr>
          <w:b/>
          <w:bCs/>
        </w:rPr>
        <w:t xml:space="preserve"> = 4 %</w:t>
      </w:r>
      <w:r>
        <w:t xml:space="preserve"> como supuesto de trabajo</w:t>
      </w:r>
      <w:r w:rsidR="000D4BAA">
        <w:t>.</w:t>
      </w:r>
    </w:p>
    <w:p w14:paraId="5C300E53" w14:textId="7877C2B2" w:rsidR="00101F16" w:rsidRDefault="00000000">
      <w:pPr>
        <w:spacing w:after="140" w:line="288" w:lineRule="auto"/>
      </w:pPr>
      <w:r>
        <w:t>Cambiarla modifica el Sharpe, el portafolio tangente y la CAL, pero no la región ni el GMVP.</w:t>
      </w:r>
    </w:p>
    <w:p w14:paraId="3AA27040" w14:textId="77777777" w:rsidR="00101F16" w:rsidRDefault="00000000">
      <w:pPr>
        <w:pStyle w:val="Ttulo1"/>
        <w:spacing w:before="320" w:after="140"/>
      </w:pPr>
      <w:r>
        <w:rPr>
          <w:b/>
          <w:bCs/>
          <w:color w:val="1F3864"/>
          <w:sz w:val="30"/>
          <w:szCs w:val="30"/>
        </w:rPr>
        <w:t>5. Resultados</w:t>
      </w:r>
    </w:p>
    <w:p w14:paraId="04B928E3" w14:textId="77777777" w:rsidR="00101F16" w:rsidRDefault="00000000">
      <w:pPr>
        <w:pStyle w:val="Ttulo2"/>
        <w:spacing w:before="220" w:after="100"/>
      </w:pPr>
      <w:r>
        <w:rPr>
          <w:b/>
          <w:bCs/>
          <w:color w:val="2E75B6"/>
          <w:sz w:val="25"/>
          <w:szCs w:val="25"/>
        </w:rPr>
        <w:t>5.1 Activos individuales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01F16" w14:paraId="7F8011D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E623394" w14:textId="77777777" w:rsidR="00101F16" w:rsidRDefault="00000000">
            <w:r>
              <w:rPr>
                <w:b/>
                <w:bCs/>
                <w:color w:val="FFFFFF"/>
                <w:sz w:val="20"/>
                <w:szCs w:val="20"/>
              </w:rPr>
              <w:t>Activo</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618790" w14:textId="77777777" w:rsidR="00101F16" w:rsidRDefault="00000000">
            <w:pPr>
              <w:jc w:val="center"/>
            </w:pPr>
            <w:r>
              <w:rPr>
                <w:b/>
                <w:bCs/>
                <w:color w:val="FFFFFF"/>
                <w:sz w:val="20"/>
                <w:szCs w:val="20"/>
              </w:rPr>
              <w:t>Rendimiento esperado anual</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09A6E23" w14:textId="77777777" w:rsidR="00101F16" w:rsidRDefault="00000000">
            <w:pPr>
              <w:jc w:val="center"/>
            </w:pPr>
            <w:r>
              <w:rPr>
                <w:b/>
                <w:bCs/>
                <w:color w:val="FFFFFF"/>
                <w:sz w:val="20"/>
                <w:szCs w:val="20"/>
              </w:rPr>
              <w:t>Riesgo (volatilidad anual)</w:t>
            </w:r>
          </w:p>
        </w:tc>
      </w:tr>
      <w:tr w:rsidR="00101F16" w14:paraId="26B00A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39A991" w14:textId="77777777" w:rsidR="00101F16" w:rsidRDefault="00000000">
            <w:r>
              <w:rPr>
                <w:color w:val="000000"/>
                <w:sz w:val="20"/>
                <w:szCs w:val="20"/>
              </w:rPr>
              <w:t>DUK</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2B03B5" w14:textId="77777777" w:rsidR="00101F16" w:rsidRDefault="00000000">
            <w:pPr>
              <w:jc w:val="center"/>
            </w:pPr>
            <w:r>
              <w:rPr>
                <w:color w:val="000000"/>
                <w:sz w:val="20"/>
                <w:szCs w:val="20"/>
              </w:rPr>
              <w:t>12.80 %</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39FD1D" w14:textId="77777777" w:rsidR="00101F16" w:rsidRDefault="00000000">
            <w:pPr>
              <w:jc w:val="center"/>
            </w:pPr>
            <w:r>
              <w:rPr>
                <w:color w:val="000000"/>
                <w:sz w:val="20"/>
                <w:szCs w:val="20"/>
              </w:rPr>
              <w:t>16.84 %</w:t>
            </w:r>
          </w:p>
        </w:tc>
      </w:tr>
      <w:tr w:rsidR="00101F16" w14:paraId="59C0FE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9040A5" w14:textId="77777777" w:rsidR="00101F16" w:rsidRDefault="00000000">
            <w:r>
              <w:rPr>
                <w:color w:val="000000"/>
                <w:sz w:val="20"/>
                <w:szCs w:val="20"/>
              </w:rPr>
              <w:t>LQD</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0CD9DA" w14:textId="77777777" w:rsidR="00101F16" w:rsidRDefault="00000000">
            <w:pPr>
              <w:jc w:val="center"/>
            </w:pPr>
            <w:r>
              <w:rPr>
                <w:color w:val="000000"/>
                <w:sz w:val="20"/>
                <w:szCs w:val="20"/>
              </w:rPr>
              <w:t>4.84 %</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0E46DA" w14:textId="77777777" w:rsidR="00101F16" w:rsidRDefault="00000000">
            <w:pPr>
              <w:jc w:val="center"/>
            </w:pPr>
            <w:r>
              <w:rPr>
                <w:color w:val="000000"/>
                <w:sz w:val="20"/>
                <w:szCs w:val="20"/>
              </w:rPr>
              <w:t>7.30 %</w:t>
            </w:r>
          </w:p>
        </w:tc>
      </w:tr>
      <w:tr w:rsidR="00101F16" w14:paraId="149F03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EFEEE" w14:textId="77777777" w:rsidR="00101F16" w:rsidRDefault="00000000">
            <w:r>
              <w:rPr>
                <w:color w:val="000000"/>
                <w:sz w:val="20"/>
                <w:szCs w:val="20"/>
              </w:rPr>
              <w:t>KIMBERA.MX</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E6D1DF" w14:textId="77777777" w:rsidR="00101F16" w:rsidRDefault="00000000">
            <w:pPr>
              <w:jc w:val="center"/>
            </w:pPr>
            <w:r>
              <w:rPr>
                <w:color w:val="000000"/>
                <w:sz w:val="20"/>
                <w:szCs w:val="20"/>
              </w:rPr>
              <w:t>8.40 %</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0E1094" w14:textId="77777777" w:rsidR="00101F16" w:rsidRDefault="00000000">
            <w:pPr>
              <w:jc w:val="center"/>
            </w:pPr>
            <w:r>
              <w:rPr>
                <w:color w:val="000000"/>
                <w:sz w:val="20"/>
                <w:szCs w:val="20"/>
              </w:rPr>
              <w:t>24.44 %</w:t>
            </w:r>
          </w:p>
        </w:tc>
      </w:tr>
      <w:tr w:rsidR="00101F16" w14:paraId="4684C9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DFBBC" w14:textId="77777777" w:rsidR="00101F16" w:rsidRDefault="00000000">
            <w:r>
              <w:rPr>
                <w:color w:val="000000"/>
                <w:sz w:val="20"/>
                <w:szCs w:val="20"/>
              </w:rPr>
              <w:lastRenderedPageBreak/>
              <w:t>AC.MX</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BF2A92" w14:textId="77777777" w:rsidR="00101F16" w:rsidRDefault="00000000">
            <w:pPr>
              <w:jc w:val="center"/>
            </w:pPr>
            <w:r>
              <w:rPr>
                <w:color w:val="000000"/>
                <w:sz w:val="20"/>
                <w:szCs w:val="20"/>
              </w:rPr>
              <w:t>15.17 %</w:t>
            </w:r>
          </w:p>
        </w:tc>
        <w:tc>
          <w:tcPr>
            <w:tcW w:w="34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D103A0" w14:textId="77777777" w:rsidR="00101F16" w:rsidRDefault="00000000">
            <w:pPr>
              <w:jc w:val="center"/>
            </w:pPr>
            <w:r>
              <w:rPr>
                <w:color w:val="000000"/>
                <w:sz w:val="20"/>
                <w:szCs w:val="20"/>
              </w:rPr>
              <w:t>24.08 %</w:t>
            </w:r>
          </w:p>
        </w:tc>
      </w:tr>
    </w:tbl>
    <w:p w14:paraId="6F3D70B1" w14:textId="77777777" w:rsidR="00101F16" w:rsidRDefault="00101F16">
      <w:pPr>
        <w:spacing w:after="120"/>
      </w:pPr>
    </w:p>
    <w:p w14:paraId="2319263F" w14:textId="77777777" w:rsidR="00101F16" w:rsidRDefault="00000000">
      <w:pPr>
        <w:pStyle w:val="Ttulo2"/>
        <w:spacing w:before="220" w:after="100"/>
      </w:pPr>
      <w:r>
        <w:rPr>
          <w:b/>
          <w:bCs/>
          <w:color w:val="2E75B6"/>
          <w:sz w:val="25"/>
          <w:szCs w:val="25"/>
        </w:rPr>
        <w:t>5.2 Portafolios comparados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101F16" w14:paraId="6ECCCF3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6DD00C0" w14:textId="77777777" w:rsidR="00101F16" w:rsidRDefault="00000000">
            <w:r>
              <w:rPr>
                <w:b/>
                <w:bCs/>
                <w:color w:val="FFFFFF"/>
                <w:sz w:val="20"/>
                <w:szCs w:val="20"/>
              </w:rPr>
              <w:t>Portafolio</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77292A1" w14:textId="77777777" w:rsidR="00101F16" w:rsidRDefault="00000000">
            <w:pPr>
              <w:jc w:val="center"/>
            </w:pPr>
            <w:r>
              <w:rPr>
                <w:b/>
                <w:bCs/>
                <w:color w:val="FFFFFF"/>
                <w:sz w:val="20"/>
                <w:szCs w:val="20"/>
              </w:rPr>
              <w:t>Rendimiento</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16FEBE7" w14:textId="77777777" w:rsidR="00101F16" w:rsidRDefault="00000000">
            <w:pPr>
              <w:jc w:val="center"/>
            </w:pPr>
            <w:r>
              <w:rPr>
                <w:b/>
                <w:bCs/>
                <w:color w:val="FFFFFF"/>
                <w:sz w:val="20"/>
                <w:szCs w:val="20"/>
              </w:rPr>
              <w:t>Riesgo</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B9C658" w14:textId="77777777" w:rsidR="00101F16" w:rsidRDefault="00000000">
            <w:pPr>
              <w:jc w:val="center"/>
            </w:pPr>
            <w:r>
              <w:rPr>
                <w:b/>
                <w:bCs/>
                <w:color w:val="FFFFFF"/>
                <w:sz w:val="20"/>
                <w:szCs w:val="20"/>
              </w:rPr>
              <w:t>Sharpe</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AFB1E78" w14:textId="77777777" w:rsidR="00101F16" w:rsidRDefault="00000000">
            <w:pPr>
              <w:jc w:val="center"/>
            </w:pPr>
            <w:r>
              <w:rPr>
                <w:b/>
                <w:bCs/>
                <w:color w:val="FFFFFF"/>
                <w:sz w:val="20"/>
                <w:szCs w:val="20"/>
              </w:rPr>
              <w:t>¿En la región?</w:t>
            </w:r>
          </w:p>
        </w:tc>
      </w:tr>
      <w:tr w:rsidR="00101F16" w14:paraId="256E5D9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423640DB" w14:textId="5F60EC14" w:rsidR="00101F16" w:rsidRDefault="00000000">
            <w:r>
              <w:rPr>
                <w:b/>
                <w:bCs/>
                <w:color w:val="000000"/>
                <w:sz w:val="20"/>
                <w:szCs w:val="20"/>
              </w:rPr>
              <w:t xml:space="preserve">GMVP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3662DD50" w14:textId="77777777" w:rsidR="00101F16" w:rsidRDefault="00000000">
            <w:pPr>
              <w:jc w:val="center"/>
            </w:pPr>
            <w:r>
              <w:rPr>
                <w:b/>
                <w:bCs/>
                <w:color w:val="000000"/>
                <w:sz w:val="20"/>
                <w:szCs w:val="20"/>
              </w:rPr>
              <w:t>5.89 %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09D1120B" w14:textId="77777777" w:rsidR="00101F16" w:rsidRDefault="00000000">
            <w:pPr>
              <w:jc w:val="center"/>
            </w:pPr>
            <w:r>
              <w:rPr>
                <w:b/>
                <w:bCs/>
                <w:color w:val="000000"/>
                <w:sz w:val="20"/>
                <w:szCs w:val="20"/>
              </w:rPr>
              <w:t>7.07 %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34ADEA84" w14:textId="77777777" w:rsidR="00101F16" w:rsidRDefault="00000000">
            <w:pPr>
              <w:jc w:val="center"/>
            </w:pPr>
            <w:r>
              <w:rPr>
                <w:b/>
                <w:bCs/>
                <w:color w:val="000000"/>
                <w:sz w:val="20"/>
                <w:szCs w:val="20"/>
              </w:rPr>
              <w:t>0.267</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0F0A9E7A" w14:textId="77777777" w:rsidR="00101F16" w:rsidRDefault="00000000">
            <w:pPr>
              <w:jc w:val="center"/>
            </w:pPr>
            <w:r>
              <w:rPr>
                <w:b/>
                <w:bCs/>
                <w:color w:val="000000"/>
                <w:sz w:val="20"/>
                <w:szCs w:val="20"/>
              </w:rPr>
              <w:t>Sí (frontera)</w:t>
            </w:r>
          </w:p>
        </w:tc>
      </w:tr>
      <w:tr w:rsidR="00101F16" w14:paraId="75824C8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09A807" w14:textId="77777777" w:rsidR="00101F16" w:rsidRDefault="00000000">
            <w:r>
              <w:rPr>
                <w:color w:val="000000"/>
                <w:sz w:val="20"/>
                <w:szCs w:val="20"/>
              </w:rPr>
              <w:t>Reparto parejo</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7FC82C" w14:textId="77777777" w:rsidR="00101F16" w:rsidRDefault="00000000">
            <w:pPr>
              <w:jc w:val="center"/>
            </w:pPr>
            <w:r>
              <w:rPr>
                <w:color w:val="000000"/>
                <w:sz w:val="20"/>
                <w:szCs w:val="20"/>
              </w:rPr>
              <w:t>10.30 %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2EF93B" w14:textId="77777777" w:rsidR="00101F16" w:rsidRDefault="00000000">
            <w:pPr>
              <w:jc w:val="center"/>
            </w:pPr>
            <w:r>
              <w:rPr>
                <w:color w:val="000000"/>
                <w:sz w:val="20"/>
                <w:szCs w:val="20"/>
              </w:rPr>
              <w:t>11.64 %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C1D94" w14:textId="77777777" w:rsidR="00101F16" w:rsidRDefault="00000000">
            <w:pPr>
              <w:jc w:val="center"/>
            </w:pPr>
            <w:r>
              <w:rPr>
                <w:color w:val="000000"/>
                <w:sz w:val="20"/>
                <w:szCs w:val="20"/>
              </w:rPr>
              <w:t>0.541</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A7AC1B" w14:textId="77777777" w:rsidR="00101F16" w:rsidRDefault="00000000">
            <w:pPr>
              <w:jc w:val="center"/>
            </w:pPr>
            <w:r>
              <w:rPr>
                <w:color w:val="000000"/>
                <w:sz w:val="20"/>
                <w:szCs w:val="20"/>
              </w:rPr>
              <w:t>Sí (interior)</w:t>
            </w:r>
          </w:p>
        </w:tc>
      </w:tr>
      <w:tr w:rsidR="00101F16" w14:paraId="5957B7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BE5373" w14:textId="77777777" w:rsidR="00101F16" w:rsidRDefault="00000000">
            <w:r>
              <w:rPr>
                <w:color w:val="000000"/>
                <w:sz w:val="20"/>
                <w:szCs w:val="20"/>
              </w:rPr>
              <w:t>Tangente</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94381E" w14:textId="77777777" w:rsidR="00101F16" w:rsidRDefault="00000000">
            <w:pPr>
              <w:jc w:val="center"/>
            </w:pPr>
            <w:r>
              <w:rPr>
                <w:color w:val="000000"/>
                <w:sz w:val="20"/>
                <w:szCs w:val="20"/>
              </w:rPr>
              <w:t>13.62 %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39D2D5" w14:textId="77777777" w:rsidR="00101F16" w:rsidRDefault="00000000">
            <w:pPr>
              <w:jc w:val="center"/>
            </w:pPr>
            <w:r>
              <w:rPr>
                <w:color w:val="000000"/>
                <w:sz w:val="20"/>
                <w:szCs w:val="20"/>
              </w:rPr>
              <w:t>14.30 %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59F9A3" w14:textId="77777777" w:rsidR="00101F16" w:rsidRDefault="00000000">
            <w:pPr>
              <w:jc w:val="center"/>
            </w:pPr>
            <w:r>
              <w:rPr>
                <w:color w:val="000000"/>
                <w:sz w:val="20"/>
                <w:szCs w:val="20"/>
              </w:rPr>
              <w:t>0.673</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CACE43" w14:textId="77777777" w:rsidR="00101F16" w:rsidRDefault="00000000">
            <w:pPr>
              <w:jc w:val="center"/>
            </w:pPr>
            <w:r>
              <w:rPr>
                <w:color w:val="000000"/>
                <w:sz w:val="20"/>
                <w:szCs w:val="20"/>
              </w:rPr>
              <w:t>Sí (frontera)</w:t>
            </w:r>
          </w:p>
        </w:tc>
      </w:tr>
    </w:tbl>
    <w:p w14:paraId="1526CD0B" w14:textId="77777777" w:rsidR="00101F16" w:rsidRDefault="00101F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101F16" w14:paraId="276253F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C94CCEE" w14:textId="77777777" w:rsidR="00101F16" w:rsidRDefault="00000000">
            <w:r>
              <w:rPr>
                <w:b/>
                <w:bCs/>
                <w:color w:val="FFFFFF"/>
                <w:sz w:val="20"/>
                <w:szCs w:val="20"/>
              </w:rPr>
              <w:t>Pesos</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3868733" w14:textId="77777777" w:rsidR="00101F16" w:rsidRDefault="00000000">
            <w:pPr>
              <w:jc w:val="center"/>
            </w:pPr>
            <w:r>
              <w:rPr>
                <w:b/>
                <w:bCs/>
                <w:color w:val="FFFFFF"/>
                <w:sz w:val="20"/>
                <w:szCs w:val="20"/>
              </w:rPr>
              <w:t>DUK</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AFD86F9" w14:textId="77777777" w:rsidR="00101F16" w:rsidRDefault="00000000">
            <w:pPr>
              <w:jc w:val="center"/>
            </w:pPr>
            <w:r>
              <w:rPr>
                <w:b/>
                <w:bCs/>
                <w:color w:val="FFFFFF"/>
                <w:sz w:val="20"/>
                <w:szCs w:val="20"/>
              </w:rPr>
              <w:t>LQD</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2FB0F6" w14:textId="77777777" w:rsidR="00101F16" w:rsidRDefault="00000000">
            <w:pPr>
              <w:jc w:val="center"/>
            </w:pPr>
            <w:r>
              <w:rPr>
                <w:b/>
                <w:bCs/>
                <w:color w:val="FFFFFF"/>
                <w:sz w:val="20"/>
                <w:szCs w:val="20"/>
              </w:rPr>
              <w:t>KIMBERA.MX</w:t>
            </w:r>
          </w:p>
        </w:tc>
        <w:tc>
          <w:tcPr>
            <w:tcW w:w="174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FA4912D" w14:textId="77777777" w:rsidR="00101F16" w:rsidRDefault="00000000">
            <w:pPr>
              <w:jc w:val="center"/>
            </w:pPr>
            <w:r>
              <w:rPr>
                <w:b/>
                <w:bCs/>
                <w:color w:val="FFFFFF"/>
                <w:sz w:val="20"/>
                <w:szCs w:val="20"/>
              </w:rPr>
              <w:t>AC.MX</w:t>
            </w:r>
          </w:p>
        </w:tc>
      </w:tr>
      <w:tr w:rsidR="00101F16" w14:paraId="03FBA4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023B5AA3" w14:textId="00E1F5A9" w:rsidR="00101F16" w:rsidRDefault="00000000">
            <w:r>
              <w:rPr>
                <w:b/>
                <w:bCs/>
                <w:color w:val="000000"/>
                <w:sz w:val="20"/>
                <w:szCs w:val="20"/>
              </w:rPr>
              <w:t xml:space="preserve">GMVP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3A10CC06" w14:textId="77777777" w:rsidR="00101F16" w:rsidRDefault="00000000">
            <w:pPr>
              <w:jc w:val="center"/>
            </w:pPr>
            <w:r>
              <w:rPr>
                <w:b/>
                <w:bCs/>
                <w:color w:val="000000"/>
                <w:sz w:val="20"/>
                <w:szCs w:val="20"/>
              </w:rPr>
              <w:t>6.72 %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316FCD7C" w14:textId="77777777" w:rsidR="00101F16" w:rsidRDefault="00000000">
            <w:pPr>
              <w:jc w:val="center"/>
            </w:pPr>
            <w:r>
              <w:rPr>
                <w:b/>
                <w:bCs/>
                <w:color w:val="000000"/>
                <w:sz w:val="20"/>
                <w:szCs w:val="20"/>
              </w:rPr>
              <w:t>86.46 %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292AED95" w14:textId="77777777" w:rsidR="00101F16" w:rsidRDefault="00000000">
            <w:pPr>
              <w:jc w:val="center"/>
            </w:pPr>
            <w:r>
              <w:rPr>
                <w:b/>
                <w:bCs/>
                <w:color w:val="000000"/>
                <w:sz w:val="20"/>
                <w:szCs w:val="20"/>
              </w:rPr>
              <w:t>2.83 %</w:t>
            </w:r>
          </w:p>
        </w:tc>
        <w:tc>
          <w:tcPr>
            <w:tcW w:w="1740" w:type="dxa"/>
            <w:tcBorders>
              <w:top w:val="single" w:sz="4" w:space="0" w:color="BFBFBF"/>
              <w:left w:val="single" w:sz="4" w:space="0" w:color="BFBFBF"/>
              <w:bottom w:val="single" w:sz="4" w:space="0" w:color="BFBFBF"/>
              <w:right w:val="single" w:sz="4" w:space="0" w:color="BFBFBF"/>
            </w:tcBorders>
            <w:shd w:val="clear" w:color="auto" w:fill="FFF2CC"/>
            <w:tcMar>
              <w:top w:w="70" w:type="dxa"/>
              <w:left w:w="100" w:type="dxa"/>
              <w:bottom w:w="70" w:type="dxa"/>
              <w:right w:w="100" w:type="dxa"/>
            </w:tcMar>
          </w:tcPr>
          <w:p w14:paraId="6EE9374E" w14:textId="77777777" w:rsidR="00101F16" w:rsidRDefault="00000000">
            <w:pPr>
              <w:jc w:val="center"/>
            </w:pPr>
            <w:r>
              <w:rPr>
                <w:b/>
                <w:bCs/>
                <w:color w:val="000000"/>
                <w:sz w:val="20"/>
                <w:szCs w:val="20"/>
              </w:rPr>
              <w:t>3.99 %</w:t>
            </w:r>
          </w:p>
        </w:tc>
      </w:tr>
      <w:tr w:rsidR="00101F16" w14:paraId="24939D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EDEA84" w14:textId="77777777" w:rsidR="00101F16" w:rsidRDefault="00000000">
            <w:r>
              <w:rPr>
                <w:color w:val="000000"/>
                <w:sz w:val="20"/>
                <w:szCs w:val="20"/>
              </w:rPr>
              <w:t>Reparto parejo</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4AC3F0" w14:textId="77777777" w:rsidR="00101F16" w:rsidRDefault="00000000">
            <w:pPr>
              <w:jc w:val="center"/>
            </w:pPr>
            <w:r>
              <w:rPr>
                <w:color w:val="000000"/>
                <w:sz w:val="20"/>
                <w:szCs w:val="20"/>
              </w:rPr>
              <w:t>25.0 %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4B9CF0" w14:textId="77777777" w:rsidR="00101F16" w:rsidRDefault="00000000">
            <w:pPr>
              <w:jc w:val="center"/>
            </w:pPr>
            <w:r>
              <w:rPr>
                <w:color w:val="000000"/>
                <w:sz w:val="20"/>
                <w:szCs w:val="20"/>
              </w:rPr>
              <w:t>25.0 %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D0795A" w14:textId="77777777" w:rsidR="00101F16" w:rsidRDefault="00000000">
            <w:pPr>
              <w:jc w:val="center"/>
            </w:pPr>
            <w:r>
              <w:rPr>
                <w:color w:val="000000"/>
                <w:sz w:val="20"/>
                <w:szCs w:val="20"/>
              </w:rPr>
              <w:t>25.0 %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CC6D8E" w14:textId="77777777" w:rsidR="00101F16" w:rsidRDefault="00000000">
            <w:pPr>
              <w:jc w:val="center"/>
            </w:pPr>
            <w:r>
              <w:rPr>
                <w:color w:val="000000"/>
                <w:sz w:val="20"/>
                <w:szCs w:val="20"/>
              </w:rPr>
              <w:t>25.0 %</w:t>
            </w:r>
          </w:p>
        </w:tc>
      </w:tr>
      <w:tr w:rsidR="00101F16" w14:paraId="536311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19AAAC" w14:textId="77777777" w:rsidR="00101F16" w:rsidRDefault="00000000">
            <w:r>
              <w:rPr>
                <w:color w:val="000000"/>
                <w:sz w:val="20"/>
                <w:szCs w:val="20"/>
              </w:rPr>
              <w:t>Tangente</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B56339" w14:textId="77777777" w:rsidR="00101F16" w:rsidRDefault="00000000">
            <w:pPr>
              <w:jc w:val="center"/>
            </w:pPr>
            <w:r>
              <w:rPr>
                <w:color w:val="000000"/>
                <w:sz w:val="20"/>
                <w:szCs w:val="20"/>
              </w:rPr>
              <w:t>61.5 %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AC5A46" w14:textId="77777777" w:rsidR="00101F16" w:rsidRDefault="00000000">
            <w:pPr>
              <w:jc w:val="center"/>
            </w:pPr>
            <w:r>
              <w:rPr>
                <w:color w:val="000000"/>
                <w:sz w:val="20"/>
                <w:szCs w:val="20"/>
              </w:rPr>
              <w:t>0.0 %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0FFDBB" w14:textId="77777777" w:rsidR="00101F16" w:rsidRDefault="00000000">
            <w:pPr>
              <w:jc w:val="center"/>
            </w:pPr>
            <w:r>
              <w:rPr>
                <w:color w:val="000000"/>
                <w:sz w:val="20"/>
                <w:szCs w:val="20"/>
              </w:rPr>
              <w:t>1.4 %</w:t>
            </w:r>
          </w:p>
        </w:tc>
        <w:tc>
          <w:tcPr>
            <w:tcW w:w="17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85C1A8" w14:textId="77777777" w:rsidR="00101F16" w:rsidRDefault="00000000">
            <w:pPr>
              <w:jc w:val="center"/>
            </w:pPr>
            <w:r>
              <w:rPr>
                <w:color w:val="000000"/>
                <w:sz w:val="20"/>
                <w:szCs w:val="20"/>
              </w:rPr>
              <w:t>37.1 %</w:t>
            </w:r>
          </w:p>
        </w:tc>
      </w:tr>
    </w:tbl>
    <w:p w14:paraId="1AB212B9" w14:textId="77777777" w:rsidR="00101F16" w:rsidRDefault="00101F16">
      <w:pPr>
        <w:spacing w:after="120"/>
      </w:pPr>
    </w:p>
    <w:p w14:paraId="3C851434" w14:textId="4FB7CFBA" w:rsidR="00101F16" w:rsidRDefault="00000000">
      <w:pPr>
        <w:spacing w:after="140" w:line="288" w:lineRule="auto"/>
      </w:pPr>
      <w:r>
        <w:t>Los resultados del GMVP: varianza 0.0050003, volatilidad 7.07 % y rendimiento esperado 5.89 %. Por cada $10,000, la asignación del GMVP sería aproximadamente $672 en DUK, $8,646 en LQD, $283 en KIMBERA.MX y $399 en AC.MX.</w:t>
      </w:r>
    </w:p>
    <w:p w14:paraId="5864F64A" w14:textId="77777777" w:rsidR="00101F16" w:rsidRDefault="00000000">
      <w:pPr>
        <w:pStyle w:val="Ttulo2"/>
        <w:spacing w:before="220" w:after="100"/>
      </w:pPr>
      <w:r>
        <w:rPr>
          <w:b/>
          <w:bCs/>
          <w:color w:val="2E75B6"/>
          <w:sz w:val="25"/>
          <w:szCs w:val="25"/>
        </w:rPr>
        <w:t>5.3 Gráfica</w:t>
      </w:r>
    </w:p>
    <w:p w14:paraId="34496833" w14:textId="77777777" w:rsidR="00101F16" w:rsidRDefault="00000000">
      <w:pPr>
        <w:spacing w:after="80"/>
        <w:jc w:val="center"/>
      </w:pPr>
      <w:r>
        <w:rPr>
          <w:noProof/>
        </w:rPr>
        <w:drawing>
          <wp:inline distT="0" distB="0" distL="0" distR="0" wp14:anchorId="7D3DDC8F" wp14:editId="49435A00">
            <wp:extent cx="5715000" cy="3714750"/>
            <wp:effectExtent l="0" t="0" r="0" b="0"/>
            <wp:docPr id="1" name="fig" descr="Región factible y frontera eficiente" title="Región fac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14750"/>
                    </a:xfrm>
                    <a:prstGeom prst="rect">
                      <a:avLst/>
                    </a:prstGeom>
                  </pic:spPr>
                </pic:pic>
              </a:graphicData>
            </a:graphic>
          </wp:inline>
        </w:drawing>
      </w:r>
    </w:p>
    <w:p w14:paraId="510D93F4" w14:textId="77777777" w:rsidR="00101F16" w:rsidRDefault="00000000">
      <w:pPr>
        <w:spacing w:after="140" w:line="288" w:lineRule="auto"/>
      </w:pPr>
      <w:r>
        <w:lastRenderedPageBreak/>
        <w:t>Cómo leerla: el eje horizontal es el riesgo y el vertical el rendimiento. La zona azul es todo lo alcanzable. La estrella dorada (GMVP) está en la punta izquierda de la zona, el punto más a la izquierda posible. El rombo morado (reparto parejo) está adentro pero debajo de la curva roja.</w:t>
      </w:r>
    </w:p>
    <w:p w14:paraId="10F1D23B" w14:textId="77777777" w:rsidR="00101F16" w:rsidRDefault="00000000">
      <w:pPr>
        <w:pStyle w:val="Ttulo1"/>
        <w:spacing w:before="320" w:after="140"/>
      </w:pPr>
      <w:r>
        <w:rPr>
          <w:b/>
          <w:bCs/>
          <w:color w:val="1F3864"/>
          <w:sz w:val="30"/>
          <w:szCs w:val="30"/>
        </w:rPr>
        <w:t>6. ¿Nuestro portafolio está dentro de la región?</w:t>
      </w:r>
    </w:p>
    <w:p w14:paraId="281AEC10" w14:textId="2B7952EC" w:rsidR="00101F16" w:rsidRDefault="00000000">
      <w:pPr>
        <w:spacing w:after="140" w:line="288" w:lineRule="auto"/>
      </w:pPr>
      <w:r>
        <w:rPr>
          <w:b/>
          <w:bCs/>
        </w:rPr>
        <w:t xml:space="preserve">Sí. </w:t>
      </w:r>
      <w:r>
        <w:t>El GMVP queda dentro de la región factible y, más precisamente, en su vértice izquierdo, sobre la frontera eficiente. Ningún portafolio factible tiene menos riesgo que 7.07 %, así que ningún ajuste de pesos puede mejorarlo en ese criterio. Esto era esperable, porque sale de la misma optimización que define ese borde, y la prueba sirve sobre todo para ubicarlo frente a los otros portafolios.</w:t>
      </w:r>
    </w:p>
    <w:p w14:paraId="2BDEF85B" w14:textId="77777777" w:rsidR="00101F16" w:rsidRDefault="00000000">
      <w:pPr>
        <w:pStyle w:val="Ttulo1"/>
        <w:spacing w:before="320" w:after="140"/>
      </w:pPr>
      <w:r>
        <w:rPr>
          <w:b/>
          <w:bCs/>
          <w:color w:val="1F3864"/>
          <w:sz w:val="30"/>
          <w:szCs w:val="30"/>
        </w:rPr>
        <w:t>7. Conclusiones</w:t>
      </w:r>
    </w:p>
    <w:p w14:paraId="23EA8D08" w14:textId="77777777" w:rsidR="00101F16" w:rsidRDefault="00000000">
      <w:pPr>
        <w:pStyle w:val="Prrafodelista"/>
        <w:numPr>
          <w:ilvl w:val="0"/>
          <w:numId w:val="3"/>
        </w:numPr>
        <w:spacing w:after="120" w:line="288" w:lineRule="auto"/>
      </w:pPr>
      <w:r>
        <w:rPr>
          <w:b/>
          <w:bCs/>
        </w:rPr>
        <w:t xml:space="preserve">El portafolio es factible y está en la frontera. </w:t>
      </w:r>
      <w:r>
        <w:t>El GMVP es el punto de menor riesgo que se puede lograr con estos cuatro activos sin ventas en corto.</w:t>
      </w:r>
    </w:p>
    <w:p w14:paraId="78313ACD" w14:textId="77777777" w:rsidR="00101F16" w:rsidRDefault="00000000">
      <w:pPr>
        <w:pStyle w:val="Prrafodelista"/>
        <w:numPr>
          <w:ilvl w:val="0"/>
          <w:numId w:val="3"/>
        </w:numPr>
        <w:spacing w:after="120" w:line="288" w:lineRule="auto"/>
      </w:pPr>
      <w:r>
        <w:rPr>
          <w:b/>
          <w:bCs/>
        </w:rPr>
        <w:t xml:space="preserve">Factible no quiere decir mejor. </w:t>
      </w:r>
      <w:r>
        <w:t xml:space="preserve">El GMVP es eficiente, pero está en el extremo conservador: 5.89 % de rendimiento contra 13.62 % del portafolio tangente, a cambio de pasar de 7.07 % a 14.30 % de riesgo. Con </w:t>
      </w:r>
      <w:proofErr w:type="spellStart"/>
      <w:r>
        <w:t>rf</w:t>
      </w:r>
      <w:proofErr w:type="spellEnd"/>
      <w:r>
        <w:t xml:space="preserve"> = 4 %, su ratio de Sharpe (0.267) es menos de la mitad que el del tangente (0.673).</w:t>
      </w:r>
    </w:p>
    <w:p w14:paraId="13A9D4F1" w14:textId="77777777" w:rsidR="00101F16" w:rsidRDefault="00000000">
      <w:pPr>
        <w:pStyle w:val="Prrafodelista"/>
        <w:numPr>
          <w:ilvl w:val="0"/>
          <w:numId w:val="3"/>
        </w:numPr>
        <w:spacing w:after="120" w:line="288" w:lineRule="auto"/>
      </w:pPr>
      <w:r>
        <w:rPr>
          <w:b/>
          <w:bCs/>
        </w:rPr>
        <w:t xml:space="preserve">La diversificación funciona, pero el GMVP la usa de forma concentrada. </w:t>
      </w:r>
      <w:r>
        <w:t>Las correlaciones bajas (0.07 a 0.31) hacen que el riesgo real (7.07 %) quede por debajo del promedio sin diversificar (9.10 %). Aun así, el mínimo se logra poniendo 86 % en LQD, el activo menos riesgoso (7.30 %). Minimizar la varianza no equivale a repartir el capital parejo.</w:t>
      </w:r>
    </w:p>
    <w:p w14:paraId="755AEECD" w14:textId="77777777" w:rsidR="00101F16" w:rsidRDefault="00000000">
      <w:pPr>
        <w:pStyle w:val="Prrafodelista"/>
        <w:numPr>
          <w:ilvl w:val="0"/>
          <w:numId w:val="3"/>
        </w:numPr>
        <w:spacing w:after="120" w:line="288" w:lineRule="auto"/>
      </w:pPr>
      <w:r>
        <w:rPr>
          <w:b/>
          <w:bCs/>
        </w:rPr>
        <w:t xml:space="preserve">El reparto parejo está dominado. </w:t>
      </w:r>
      <w:r>
        <w:t xml:space="preserve">Cae dentro de la </w:t>
      </w:r>
      <w:proofErr w:type="gramStart"/>
      <w:r>
        <w:t>región</w:t>
      </w:r>
      <w:proofErr w:type="gramEnd"/>
      <w:r>
        <w:t xml:space="preserve"> pero debajo de la frontera: existe un portafolio con el mismo riesgo y mayor rendimiento. Repartir igual es factible, pero ineficiente.</w:t>
      </w:r>
    </w:p>
    <w:p w14:paraId="3C8812BA" w14:textId="77777777" w:rsidR="00101F16" w:rsidRDefault="00000000">
      <w:pPr>
        <w:pStyle w:val="Prrafodelista"/>
        <w:numPr>
          <w:ilvl w:val="0"/>
          <w:numId w:val="3"/>
        </w:numPr>
        <w:spacing w:after="120" w:line="288" w:lineRule="auto"/>
      </w:pPr>
      <w:r>
        <w:rPr>
          <w:b/>
          <w:bCs/>
        </w:rPr>
        <w:t xml:space="preserve">La elección depende del perfil del inversionista. </w:t>
      </w:r>
      <w:r>
        <w:t>Cualquier punto de la frontera es defendible. El GMVP es la opción más conservadora, y subir por la frontera intercambia más riesgo por más rendimiento. Con una tasa libre de riesgo, el punto de mayor rendimiento por unidad de riesgo es el tangente combinado con la CAL.</w:t>
      </w:r>
    </w:p>
    <w:p w14:paraId="4B4344E8" w14:textId="77777777" w:rsidR="00101F16" w:rsidRDefault="00000000">
      <w:pPr>
        <w:pStyle w:val="Ttulo1"/>
        <w:spacing w:before="320" w:after="140"/>
      </w:pPr>
      <w:r>
        <w:rPr>
          <w:b/>
          <w:bCs/>
          <w:color w:val="1F3864"/>
          <w:sz w:val="30"/>
          <w:szCs w:val="30"/>
        </w:rPr>
        <w:t>8. Limitaciones</w:t>
      </w:r>
    </w:p>
    <w:p w14:paraId="6EB7623A" w14:textId="77777777" w:rsidR="00101F16" w:rsidRDefault="00000000">
      <w:pPr>
        <w:pStyle w:val="Prrafodelista"/>
        <w:numPr>
          <w:ilvl w:val="0"/>
          <w:numId w:val="2"/>
        </w:numPr>
        <w:spacing w:after="80" w:line="276" w:lineRule="auto"/>
      </w:pPr>
      <w:r>
        <w:t>La región y la frontera dependen de los rendimientos esperados y la matriz de covarianzas estimados con tres años de datos históricos. Describen lo que habría sido alcanzable con esas estimaciones, no una garantía a futuro.</w:t>
      </w:r>
    </w:p>
    <w:p w14:paraId="00C41D3C" w14:textId="77777777" w:rsidR="00101F16" w:rsidRDefault="00000000">
      <w:pPr>
        <w:pStyle w:val="Prrafodelista"/>
        <w:numPr>
          <w:ilvl w:val="0"/>
          <w:numId w:val="2"/>
        </w:numPr>
        <w:spacing w:after="80" w:line="276" w:lineRule="auto"/>
      </w:pPr>
      <w:r>
        <w:t>El modelo ignora costos de transacción, impuestos y rebalanceos.</w:t>
      </w:r>
    </w:p>
    <w:p w14:paraId="7EA240CA" w14:textId="77777777" w:rsidR="00101F16" w:rsidRDefault="00000000">
      <w:pPr>
        <w:pStyle w:val="Ttulo1"/>
        <w:spacing w:before="320" w:after="140"/>
      </w:pPr>
      <w:r>
        <w:rPr>
          <w:b/>
          <w:bCs/>
          <w:color w:val="1F3864"/>
          <w:sz w:val="30"/>
          <w:szCs w:val="30"/>
        </w:rPr>
        <w:t>9. Respaldo en base de datos (MySQL)</w:t>
      </w:r>
    </w:p>
    <w:p w14:paraId="319C75DA" w14:textId="77777777" w:rsidR="00101F16" w:rsidRDefault="00000000">
      <w:pPr>
        <w:spacing w:after="140" w:line="288" w:lineRule="auto"/>
      </w:pPr>
      <w:r>
        <w:lastRenderedPageBreak/>
        <w:t>Los resultados se guardan en MySQL para tener un respaldo ordenado. La base de datos incluye tablas para los activos y su rendimiento anual, la matriz de covarianzas, los portafolios (rendimiento, riesgo, Sharpe y si están dentro de la región) y los pesos de cada uno. Como verificación, una consulta suma los pesos de cada portafolio y debe dar 1; la versión completa agrega consultas que comprueban que la matriz es simétrica y que el rendimiento y el riesgo guardados coinciden con los calculados a partir de los pesos.</w:t>
      </w:r>
    </w:p>
    <w:p w14:paraId="5A6203EF" w14:textId="686EE1BA" w:rsidR="00101F16" w:rsidRDefault="00101F16">
      <w:pPr>
        <w:spacing w:after="140" w:line="288" w:lineRule="auto"/>
      </w:pPr>
    </w:p>
    <w:sectPr w:rsidR="00101F16">
      <w:footerReference w:type="default" r:id="rId8"/>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78C0" w14:textId="77777777" w:rsidR="004D2B16" w:rsidRDefault="004D2B16">
      <w:r>
        <w:separator/>
      </w:r>
    </w:p>
  </w:endnote>
  <w:endnote w:type="continuationSeparator" w:id="0">
    <w:p w14:paraId="7D1C6993" w14:textId="77777777" w:rsidR="004D2B16" w:rsidRDefault="004D2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73004"/>
      <w:docPartObj>
        <w:docPartGallery w:val="Page Numbers (Bottom of Page)"/>
        <w:docPartUnique/>
      </w:docPartObj>
    </w:sdtPr>
    <w:sdtContent>
      <w:p w14:paraId="757D8E73" w14:textId="5E46FD91" w:rsidR="000D4BAA" w:rsidRDefault="000D4BAA">
        <w:pPr>
          <w:pStyle w:val="Piedepgina"/>
          <w:jc w:val="center"/>
        </w:pPr>
        <w:r>
          <w:fldChar w:fldCharType="begin"/>
        </w:r>
        <w:r>
          <w:instrText>PAGE   \* MERGEFORMAT</w:instrText>
        </w:r>
        <w:r>
          <w:fldChar w:fldCharType="separate"/>
        </w:r>
        <w:r>
          <w:t>2</w:t>
        </w:r>
        <w:r>
          <w:fldChar w:fldCharType="end"/>
        </w:r>
      </w:p>
    </w:sdtContent>
  </w:sdt>
  <w:p w14:paraId="0865DFA0" w14:textId="504ECEB6" w:rsidR="00101F16" w:rsidRDefault="00101F1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44BD" w14:textId="77777777" w:rsidR="004D2B16" w:rsidRDefault="004D2B16">
      <w:r>
        <w:separator/>
      </w:r>
    </w:p>
  </w:footnote>
  <w:footnote w:type="continuationSeparator" w:id="0">
    <w:p w14:paraId="358A4C67" w14:textId="77777777" w:rsidR="004D2B16" w:rsidRDefault="004D2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1AD9"/>
    <w:multiLevelType w:val="hybridMultilevel"/>
    <w:tmpl w:val="749C03D4"/>
    <w:lvl w:ilvl="0" w:tplc="3816EB76">
      <w:start w:val="1"/>
      <w:numFmt w:val="decimal"/>
      <w:lvlText w:val="%1."/>
      <w:lvlJc w:val="left"/>
      <w:pPr>
        <w:ind w:left="720" w:hanging="360"/>
      </w:pPr>
    </w:lvl>
    <w:lvl w:ilvl="1" w:tplc="CAF84A9C">
      <w:numFmt w:val="decimal"/>
      <w:lvlText w:val=""/>
      <w:lvlJc w:val="left"/>
    </w:lvl>
    <w:lvl w:ilvl="2" w:tplc="A672D19A">
      <w:numFmt w:val="decimal"/>
      <w:lvlText w:val=""/>
      <w:lvlJc w:val="left"/>
    </w:lvl>
    <w:lvl w:ilvl="3" w:tplc="AE86F436">
      <w:numFmt w:val="decimal"/>
      <w:lvlText w:val=""/>
      <w:lvlJc w:val="left"/>
    </w:lvl>
    <w:lvl w:ilvl="4" w:tplc="6464BC50">
      <w:numFmt w:val="decimal"/>
      <w:lvlText w:val=""/>
      <w:lvlJc w:val="left"/>
    </w:lvl>
    <w:lvl w:ilvl="5" w:tplc="D4CE8BBE">
      <w:numFmt w:val="decimal"/>
      <w:lvlText w:val=""/>
      <w:lvlJc w:val="left"/>
    </w:lvl>
    <w:lvl w:ilvl="6" w:tplc="9170DBEE">
      <w:numFmt w:val="decimal"/>
      <w:lvlText w:val=""/>
      <w:lvlJc w:val="left"/>
    </w:lvl>
    <w:lvl w:ilvl="7" w:tplc="C04A9072">
      <w:numFmt w:val="decimal"/>
      <w:lvlText w:val=""/>
      <w:lvlJc w:val="left"/>
    </w:lvl>
    <w:lvl w:ilvl="8" w:tplc="EDB603BC">
      <w:numFmt w:val="decimal"/>
      <w:lvlText w:val=""/>
      <w:lvlJc w:val="left"/>
    </w:lvl>
  </w:abstractNum>
  <w:abstractNum w:abstractNumId="1" w15:restartNumberingAfterBreak="0">
    <w:nsid w:val="149434E9"/>
    <w:multiLevelType w:val="hybridMultilevel"/>
    <w:tmpl w:val="10666078"/>
    <w:lvl w:ilvl="0" w:tplc="66B22BD8">
      <w:start w:val="1"/>
      <w:numFmt w:val="bullet"/>
      <w:lvlText w:val="●"/>
      <w:lvlJc w:val="left"/>
      <w:pPr>
        <w:ind w:left="720" w:hanging="360"/>
      </w:pPr>
    </w:lvl>
    <w:lvl w:ilvl="1" w:tplc="56764782">
      <w:start w:val="1"/>
      <w:numFmt w:val="bullet"/>
      <w:lvlText w:val="○"/>
      <w:lvlJc w:val="left"/>
      <w:pPr>
        <w:ind w:left="1440" w:hanging="360"/>
      </w:pPr>
    </w:lvl>
    <w:lvl w:ilvl="2" w:tplc="DBE4581C">
      <w:start w:val="1"/>
      <w:numFmt w:val="bullet"/>
      <w:lvlText w:val="■"/>
      <w:lvlJc w:val="left"/>
      <w:pPr>
        <w:ind w:left="2160" w:hanging="360"/>
      </w:pPr>
    </w:lvl>
    <w:lvl w:ilvl="3" w:tplc="7E8AF00A">
      <w:start w:val="1"/>
      <w:numFmt w:val="bullet"/>
      <w:lvlText w:val="●"/>
      <w:lvlJc w:val="left"/>
      <w:pPr>
        <w:ind w:left="2880" w:hanging="360"/>
      </w:pPr>
    </w:lvl>
    <w:lvl w:ilvl="4" w:tplc="5B9E313E">
      <w:start w:val="1"/>
      <w:numFmt w:val="bullet"/>
      <w:lvlText w:val="○"/>
      <w:lvlJc w:val="left"/>
      <w:pPr>
        <w:ind w:left="3600" w:hanging="360"/>
      </w:pPr>
    </w:lvl>
    <w:lvl w:ilvl="5" w:tplc="6CF437A6">
      <w:start w:val="1"/>
      <w:numFmt w:val="bullet"/>
      <w:lvlText w:val="■"/>
      <w:lvlJc w:val="left"/>
      <w:pPr>
        <w:ind w:left="4320" w:hanging="360"/>
      </w:pPr>
    </w:lvl>
    <w:lvl w:ilvl="6" w:tplc="62724D0A">
      <w:start w:val="1"/>
      <w:numFmt w:val="bullet"/>
      <w:lvlText w:val="●"/>
      <w:lvlJc w:val="left"/>
      <w:pPr>
        <w:ind w:left="5040" w:hanging="360"/>
      </w:pPr>
    </w:lvl>
    <w:lvl w:ilvl="7" w:tplc="07B27CEE">
      <w:start w:val="1"/>
      <w:numFmt w:val="bullet"/>
      <w:lvlText w:val="●"/>
      <w:lvlJc w:val="left"/>
      <w:pPr>
        <w:ind w:left="5760" w:hanging="360"/>
      </w:pPr>
    </w:lvl>
    <w:lvl w:ilvl="8" w:tplc="252EC026">
      <w:start w:val="1"/>
      <w:numFmt w:val="bullet"/>
      <w:lvlText w:val="●"/>
      <w:lvlJc w:val="left"/>
      <w:pPr>
        <w:ind w:left="6480" w:hanging="360"/>
      </w:pPr>
    </w:lvl>
  </w:abstractNum>
  <w:abstractNum w:abstractNumId="2" w15:restartNumberingAfterBreak="0">
    <w:nsid w:val="2B1A36DA"/>
    <w:multiLevelType w:val="hybridMultilevel"/>
    <w:tmpl w:val="15001D5A"/>
    <w:lvl w:ilvl="0" w:tplc="7436A6F2">
      <w:start w:val="1"/>
      <w:numFmt w:val="bullet"/>
      <w:lvlText w:val="•"/>
      <w:lvlJc w:val="left"/>
      <w:pPr>
        <w:ind w:left="720" w:hanging="360"/>
      </w:pPr>
    </w:lvl>
    <w:lvl w:ilvl="1" w:tplc="1E923394">
      <w:numFmt w:val="decimal"/>
      <w:lvlText w:val=""/>
      <w:lvlJc w:val="left"/>
    </w:lvl>
    <w:lvl w:ilvl="2" w:tplc="349A3ED4">
      <w:numFmt w:val="decimal"/>
      <w:lvlText w:val=""/>
      <w:lvlJc w:val="left"/>
    </w:lvl>
    <w:lvl w:ilvl="3" w:tplc="C76C1764">
      <w:numFmt w:val="decimal"/>
      <w:lvlText w:val=""/>
      <w:lvlJc w:val="left"/>
    </w:lvl>
    <w:lvl w:ilvl="4" w:tplc="AF024F9C">
      <w:numFmt w:val="decimal"/>
      <w:lvlText w:val=""/>
      <w:lvlJc w:val="left"/>
    </w:lvl>
    <w:lvl w:ilvl="5" w:tplc="9EEEB88A">
      <w:numFmt w:val="decimal"/>
      <w:lvlText w:val=""/>
      <w:lvlJc w:val="left"/>
    </w:lvl>
    <w:lvl w:ilvl="6" w:tplc="350EAAFA">
      <w:numFmt w:val="decimal"/>
      <w:lvlText w:val=""/>
      <w:lvlJc w:val="left"/>
    </w:lvl>
    <w:lvl w:ilvl="7" w:tplc="C4A8E38E">
      <w:numFmt w:val="decimal"/>
      <w:lvlText w:val=""/>
      <w:lvlJc w:val="left"/>
    </w:lvl>
    <w:lvl w:ilvl="8" w:tplc="50727752">
      <w:numFmt w:val="decimal"/>
      <w:lvlText w:val=""/>
      <w:lvlJc w:val="left"/>
    </w:lvl>
  </w:abstractNum>
  <w:num w:numId="1" w16cid:durableId="1745493493">
    <w:abstractNumId w:val="1"/>
    <w:lvlOverride w:ilvl="0">
      <w:startOverride w:val="1"/>
    </w:lvlOverride>
  </w:num>
  <w:num w:numId="2" w16cid:durableId="222568154">
    <w:abstractNumId w:val="2"/>
    <w:lvlOverride w:ilvl="0">
      <w:startOverride w:val="1"/>
    </w:lvlOverride>
  </w:num>
  <w:num w:numId="3" w16cid:durableId="1335304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F16"/>
    <w:rsid w:val="000D4BAA"/>
    <w:rsid w:val="00101F16"/>
    <w:rsid w:val="004D2B16"/>
    <w:rsid w:val="00EE59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28C6"/>
  <w15:docId w15:val="{B8F8F72F-42B0-4D0E-B2CB-3143FB35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D4BAA"/>
    <w:pPr>
      <w:tabs>
        <w:tab w:val="center" w:pos="4419"/>
        <w:tab w:val="right" w:pos="8838"/>
      </w:tabs>
    </w:pPr>
  </w:style>
  <w:style w:type="character" w:customStyle="1" w:styleId="EncabezadoCar">
    <w:name w:val="Encabezado Car"/>
    <w:basedOn w:val="Fuentedeprrafopredeter"/>
    <w:link w:val="Encabezado"/>
    <w:uiPriority w:val="99"/>
    <w:rsid w:val="000D4BAA"/>
  </w:style>
  <w:style w:type="paragraph" w:styleId="Piedepgina">
    <w:name w:val="footer"/>
    <w:basedOn w:val="Normal"/>
    <w:link w:val="PiedepginaCar"/>
    <w:uiPriority w:val="99"/>
    <w:unhideWhenUsed/>
    <w:rsid w:val="000D4BAA"/>
    <w:pPr>
      <w:tabs>
        <w:tab w:val="center" w:pos="4419"/>
        <w:tab w:val="right" w:pos="8838"/>
      </w:tabs>
    </w:pPr>
  </w:style>
  <w:style w:type="character" w:customStyle="1" w:styleId="PiedepginaCar">
    <w:name w:val="Pie de página Car"/>
    <w:basedOn w:val="Fuentedeprrafopredeter"/>
    <w:link w:val="Piedepgina"/>
    <w:uiPriority w:val="99"/>
    <w:rsid w:val="000D4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1188</Words>
  <Characters>6537</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Magadán</cp:lastModifiedBy>
  <cp:revision>2</cp:revision>
  <dcterms:created xsi:type="dcterms:W3CDTF">2026-10-26T03:35:00Z</dcterms:created>
  <dcterms:modified xsi:type="dcterms:W3CDTF">2026-10-26T03:46:00Z</dcterms:modified>
</cp:coreProperties>
</file>