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v2.0</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v2.0</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2026年8月18日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スクリプトプロパティの設定</w:t>
      </w:r>
    </w:p>
    <w:p>
      <w:pPr>
        <w:spacing w:after="120"/>
      </w:pPr>
      <w:r>
        <w:rPr>
          <w:b w:val="false"/>
          <w:bCs w:val="false"/>
          <w:i w:val="false"/>
          <w:iCs w:val="false"/>
        </w:rPr>
        <w:t xml:space="preserve">　9. トリガーの設定と認可</w:t>
      </w:r>
    </w:p>
    <w:p>
      <w:pPr>
        <w:spacing w:after="120"/>
      </w:pPr>
      <w:r>
        <w:rPr>
          <w:b w:val="false"/>
          <w:bCs w:val="false"/>
          <w:i w:val="false"/>
          <w:iCs w:val="false"/>
        </w:rPr>
        <w:t xml:space="preserve">　10. 動作確認チェックリスト</w:t>
      </w:r>
    </w:p>
    <w:p>
      <w:pPr>
        <w:spacing w:after="120"/>
      </w:pPr>
      <w:r>
        <w:rPr>
          <w:b w:val="false"/>
          <w:bCs w:val="false"/>
          <w:i w:val="false"/>
          <w:iCs w:val="false"/>
        </w:rPr>
        <w:t xml:space="preserve">　11. 運用・保守</w:t>
      </w:r>
    </w:p>
    <w:p>
      <w:pPr>
        <w:spacing w:after="120"/>
      </w:pPr>
      <w:r>
        <w:rPr>
          <w:b w:val="false"/>
          <w:bCs w:val="false"/>
          <w:i w:val="false"/>
          <w:iCs w:val="false"/>
        </w:rPr>
        <w:t xml:space="preserve">　12.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スクリプトプロパティを設定する</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そこで本システムでは、書類ファイルを作成する操作そのものを管理用アカウントで行うことで、生成される全書類が最初から管理用アカウントの所有物になるようにします。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・書類の作成（見積書作成・請求書作成・納品書作成）は、必ず管理用アカウントで行ってください。</w:t>
            </w:r>
          </w:p>
          <w:p>
            <w:pPr>
              <w:spacing w:after="40"/>
            </w:pPr>
            <w:r>
              <w:t xml:space="preserve">　別のアカウントで作成すると、そのファイルのオーナーは作成者本人になり、</w:t>
            </w:r>
          </w:p>
          <w:p>
            <w:pPr>
              <w:spacing w:after="40"/>
            </w:pPr>
            <w:r>
              <w:t xml:space="preserve">　承認後もその本人だけはシート保護を解除して編集できてしまいます。</w:t>
            </w:r>
          </w:p>
          <w:p>
            <w:pPr>
              <w:spacing w:after="40"/>
            </w:pPr>
            <w:r>
              <w:t xml:space="preserve">・別アカウントで作成された場合は、「操作ログ」シートにエラーとして記録されます。</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bl>
    <w:p>
      <w:pPr>
        <w:pStyle w:val="Heading2"/>
      </w:pPr>
      <w:r>
        <w:t xml:space="preserve">3.2 案件シートのヘッダー行（1行目）</w:t>
      </w:r>
    </w:p>
    <w:p>
      <w:pPr>
        <w:spacing w:after="120"/>
      </w:pPr>
      <w:r>
        <w:rPr>
          <w:b w:val="false"/>
          <w:bCs w:val="false"/>
          <w:i w:val="false"/>
          <w:iCs w:val="false"/>
        </w:rPr>
        <w:t xml:space="preserve">「原本_表示」「原本_全案件DB」「{期}期_表示」「{期}期_全案件DB」の4シートすべてに、以下のヘッダーを設定します。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v2.0で追加された列</w:t>
            </w:r>
          </w:p>
          <w:p>
            <w:pPr>
              <w:spacing w:after="40"/>
            </w:pPr>
            <w:r>
              <w:t xml:space="preserve">AE列「見積書差し戻し日時」とAF列「請求書差し戻し日時」はv2.0で新設された列です。</w:t>
            </w:r>
          </w:p>
          <w:p>
            <w:pPr>
              <w:spacing w:after="40"/>
            </w:pPr>
            <w:r>
              <w:t xml:space="preserve">この列はシステムが内部的に使用するもので、利用者が手入力する必要はありません。</w:t>
            </w:r>
          </w:p>
          <w:p>
            <w:pPr>
              <w:spacing w:after="40"/>
            </w:pPr>
            <w:r>
              <w:t xml:space="preserve"/>
            </w:r>
          </w:p>
          <w:p>
            <w:pPr>
              <w:spacing w:after="40"/>
            </w:pPr>
            <w:r>
              <w:t xml:space="preserve">v1.0から移行する場合、上記4シートすべてにこの2列を追加する必要があります。</w:t>
            </w:r>
          </w:p>
          <w:p>
            <w:pPr>
              <w:spacing w:after="40"/>
            </w:pPr>
            <w:r>
              <w:t xml:space="preserve">手動で追加するかわりに、メニュー「案件管理システム」→「案件シートの構成を確認・修復する」を</w:t>
            </w:r>
          </w:p>
          <w:p>
            <w:pPr>
              <w:spacing w:after="40"/>
            </w:pPr>
            <w:r>
              <w:t xml:space="preserve">実行すれば、列数の拡張とヘッダーの設定が自動で行われます（3.5節参照）。</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取引先DBの社名列を参照するプルダウン</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後半」形式のプルダウン</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同上。請求予定レポートの抽出条件になるため書式を厳守すること</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Driveに以下の3つのルートフォルダを作成します。配下の階層はシステムが自動生成するため、作成する必要はありません。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600"/>
            <w:shd w:fill="DCE6F1" w:val="clear"/>
            <w:tcMar>
              <w:top w:type="dxa" w:w="80"/>
              <w:left w:type="dxa" w:w="110"/>
              <w:bottom w:type="dxa" w:w="80"/>
              <w:right w:type="dxa" w:w="110"/>
            </w:tcMar>
          </w:tcPr>
          <w:p>
            <w:pPr>
              <w:spacing w:after="0"/>
            </w:pPr>
            <w:r>
              <w:rPr>
                <w:b/>
                <w:bCs/>
                <w:sz w:val="19"/>
                <w:szCs w:val="19"/>
              </w:rPr>
              <w:t xml:space="preserve">自動生成される配下の構成</w:t>
            </w:r>
          </w:p>
        </w:tc>
      </w:tr>
      <w:tr>
        <w:tc>
          <w:tcPr>
            <w:tcW w:type="dxa" w:w="2400"/>
            <w:tcMar>
              <w:top w:type="dxa" w:w="80"/>
              <w:left w:type="dxa" w:w="110"/>
              <w:bottom w:type="dxa" w:w="80"/>
              <w:right w:type="dxa" w:w="110"/>
            </w:tcMar>
          </w:tcPr>
          <w:p>
            <w:pPr>
              <w:spacing w:after="0"/>
            </w:pPr>
            <w:r>
              <w:rPr>
                <w:b w:val="false"/>
                <w:bCs w:val="false"/>
                <w:sz w:val="19"/>
                <w:szCs w:val="19"/>
              </w:rPr>
              <w:t xml:space="preserve">見積書ルート</w:t>
            </w:r>
          </w:p>
        </w:tc>
        <w:tc>
          <w:tcPr>
            <w:tcW w:type="dxa" w:w="66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400"/>
            <w:tcMar>
              <w:top w:type="dxa" w:w="80"/>
              <w:left w:type="dxa" w:w="110"/>
              <w:bottom w:type="dxa" w:w="80"/>
              <w:right w:type="dxa" w:w="110"/>
            </w:tcMar>
          </w:tcPr>
          <w:p>
            <w:pPr>
              <w:spacing w:after="0"/>
            </w:pPr>
            <w:r>
              <w:rPr>
                <w:b w:val="false"/>
                <w:bCs w:val="false"/>
                <w:sz w:val="19"/>
                <w:szCs w:val="19"/>
              </w:rPr>
              <w:t xml:space="preserve">納品書ルート</w:t>
            </w:r>
          </w:p>
        </w:tc>
        <w:tc>
          <w:tcPr>
            <w:tcW w:type="dxa" w:w="6600"/>
            <w:tcMar>
              <w:top w:type="dxa" w:w="80"/>
              <w:left w:type="dxa" w:w="110"/>
              <w:bottom w:type="dxa" w:w="80"/>
              <w:right w:type="dxa" w:w="110"/>
            </w:tcMar>
          </w:tcPr>
          <w:p>
            <w:pPr>
              <w:spacing w:after="0"/>
            </w:pPr>
            <w:r>
              <w:rPr>
                <w:b w:val="false"/>
                <w:bCs w:val="false"/>
                <w:sz w:val="19"/>
                <w:szCs w:val="19"/>
              </w:rPr>
              <w:t xml:space="preserve">{期}期 / {案件番号}_{案件名}</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K56 / L56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tcMar>
              <w:top w:type="dxa" w:w="80"/>
              <w:left w:type="dxa" w:w="110"/>
              <w:bottom w:type="dxa" w:w="80"/>
              <w:right w:type="dxa" w:w="110"/>
            </w:tcMar>
          </w:tcPr>
          <w:p>
            <w:pPr>
              <w:spacing w:after="0"/>
            </w:pPr>
            <w:r>
              <w:rPr>
                <w:b w:val="false"/>
                <w:bCs w:val="false"/>
                <w:sz w:val="19"/>
                <w:szCs w:val="19"/>
              </w:rPr>
              <w:t xml:space="preserve">K57 / L57</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K58 / L58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C58 / D58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2400"/>
        <w:gridCol w:w="2400"/>
        <w:gridCol w:w="24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書類種別</w:t>
            </w:r>
          </w:p>
        </w:tc>
        <w:tc>
          <w:tcPr>
            <w:tcW w:type="dxa" w:w="2400"/>
            <w:shd w:fill="DCE6F1" w:val="clear"/>
            <w:tcMar>
              <w:top w:type="dxa" w:w="80"/>
              <w:left w:type="dxa" w:w="110"/>
              <w:bottom w:type="dxa" w:w="80"/>
              <w:right w:type="dxa" w:w="110"/>
            </w:tcMar>
          </w:tcPr>
          <w:p>
            <w:pPr>
              <w:spacing w:after="0"/>
            </w:pPr>
            <w:r>
              <w:rPr>
                <w:b/>
                <w:bCs/>
                <w:sz w:val="19"/>
                <w:szCs w:val="19"/>
              </w:rPr>
              <w:t xml:space="preserve">1ページ目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2ページ目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3ページ目</w:t>
            </w:r>
          </w:p>
        </w:tc>
      </w:tr>
      <w:tr>
        <w:tc>
          <w:tcPr>
            <w:tcW w:type="dxa" w:w="1800"/>
            <w:tcMar>
              <w:top w:type="dxa" w:w="80"/>
              <w:left w:type="dxa" w:w="110"/>
              <w:bottom w:type="dxa" w:w="80"/>
              <w:right w:type="dxa" w:w="110"/>
            </w:tcMar>
          </w:tcPr>
          <w:p>
            <w:pPr>
              <w:spacing w:after="0"/>
            </w:pPr>
            <w:r>
              <w:rPr>
                <w:b w:val="false"/>
                <w:bCs w:val="false"/>
                <w:sz w:val="19"/>
                <w:szCs w:val="19"/>
              </w:rPr>
              <w:t xml:space="preserve">見積書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I1:P54</w:t>
            </w:r>
          </w:p>
        </w:tc>
        <w:tc>
          <w:tcPr>
            <w:tcW w:type="dxa" w:w="2400"/>
            <w:tcMar>
              <w:top w:type="dxa" w:w="80"/>
              <w:left w:type="dxa" w:w="110"/>
              <w:bottom w:type="dxa" w:w="80"/>
              <w:right w:type="dxa" w:w="110"/>
            </w:tcMar>
          </w:tcPr>
          <w:p>
            <w:pPr>
              <w:spacing w:after="0"/>
            </w:pPr>
            <w:r>
              <w:rPr>
                <w:b w:val="false"/>
                <w:bCs w:val="false"/>
                <w:sz w:val="19"/>
                <w:szCs w:val="19"/>
              </w:rPr>
              <w:t xml:space="preserve">I55:P58</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A55:H58</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1800"/>
            <w:tcMar>
              <w:top w:type="dxa" w:w="80"/>
              <w:left w:type="dxa" w:w="110"/>
              <w:bottom w:type="dxa" w:w="80"/>
              <w:right w:type="dxa" w:w="110"/>
            </w:tcMar>
          </w:tcPr>
          <w:p>
            <w:pPr>
              <w:spacing w:after="0"/>
            </w:pPr>
            <w:r>
              <w:rPr>
                <w:b w:val="false"/>
                <w:bCs w:val="false"/>
                <w:sz w:val="19"/>
                <w:szCs w:val="19"/>
              </w:rPr>
              <w:t xml:space="preserve">納品書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A55:H58</w:t>
            </w:r>
          </w:p>
        </w:tc>
        <w:tc>
          <w:tcPr>
            <w:tcW w:type="dxa" w:w="24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200"/>
        <w:gridCol w:w="5800"/>
      </w:tblGrid>
      <w:tr>
        <w:trPr>
          <w:tblHeader/>
        </w:trPr>
        <w:tc>
          <w:tcPr>
            <w:tcW w:type="dxa" w:w="32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3200"/>
            <w:tcMar>
              <w:top w:type="dxa" w:w="80"/>
              <w:left w:type="dxa" w:w="110"/>
              <w:bottom w:type="dxa" w:w="80"/>
              <w:right w:type="dxa" w:w="110"/>
            </w:tcMar>
          </w:tcPr>
          <w:p>
            <w:pPr>
              <w:spacing w:after="0"/>
            </w:pPr>
            <w:r>
              <w:rPr>
                <w:b w:val="false"/>
                <w:bCs w:val="false"/>
                <w:sz w:val="19"/>
                <w:szCs w:val="19"/>
              </w:rPr>
              <w:t xml:space="preserve">Config.gs</w:t>
            </w:r>
          </w:p>
        </w:tc>
        <w:tc>
          <w:tcPr>
            <w:tcW w:type="dxa" w:w="5800"/>
            <w:tcMar>
              <w:top w:type="dxa" w:w="80"/>
              <w:left w:type="dxa" w:w="110"/>
              <w:bottom w:type="dxa" w:w="80"/>
              <w:right w:type="dxa" w:w="110"/>
            </w:tcMar>
          </w:tcPr>
          <w:p>
            <w:pPr>
              <w:spacing w:after="0"/>
            </w:pPr>
            <w:r>
              <w:rPr>
                <w:b w:val="false"/>
                <w:bCs w:val="false"/>
                <w:sz w:val="19"/>
                <w:szCs w:val="19"/>
              </w:rPr>
              <w:t xml:space="preserve">スクリプトプロパティとハンドル取得</w:t>
            </w:r>
          </w:p>
        </w:tc>
      </w:tr>
      <w:tr>
        <w:tc>
          <w:tcPr>
            <w:tcW w:type="dxa" w:w="3200"/>
            <w:shd w:fill="F5F7FA" w:val="clear"/>
            <w:tcMar>
              <w:top w:type="dxa" w:w="80"/>
              <w:left w:type="dxa" w:w="110"/>
              <w:bottom w:type="dxa" w:w="80"/>
              <w:right w:type="dxa" w:w="110"/>
            </w:tcMar>
          </w:tcPr>
          <w:p>
            <w:pPr>
              <w:spacing w:after="0"/>
            </w:pPr>
            <w:r>
              <w:rPr>
                <w:b w:val="false"/>
                <w:bCs w:val="false"/>
                <w:sz w:val="19"/>
                <w:szCs w:val="19"/>
              </w:rPr>
              <w:t xml:space="preserve">Constants.gs</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列定義・セル番地・ステータス等の固定値</w:t>
            </w:r>
          </w:p>
        </w:tc>
      </w:tr>
      <w:tr>
        <w:tc>
          <w:tcPr>
            <w:tcW w:type="dxa" w:w="3200"/>
            <w:tcMar>
              <w:top w:type="dxa" w:w="80"/>
              <w:left w:type="dxa" w:w="110"/>
              <w:bottom w:type="dxa" w:w="80"/>
              <w:right w:type="dxa" w:w="110"/>
            </w:tcMar>
          </w:tcPr>
          <w:p>
            <w:pPr>
              <w:spacing w:after="0"/>
            </w:pPr>
            <w:r>
              <w:rPr>
                <w:b w:val="false"/>
                <w:bCs w:val="false"/>
                <w:sz w:val="19"/>
                <w:szCs w:val="19"/>
              </w:rPr>
              <w:t xml:space="preserve">DocTypes.gs</w:t>
            </w:r>
          </w:p>
        </w:tc>
        <w:tc>
          <w:tcPr>
            <w:tcW w:type="dxa" w:w="5800"/>
            <w:tcMar>
              <w:top w:type="dxa" w:w="80"/>
              <w:left w:type="dxa" w:w="110"/>
              <w:bottom w:type="dxa" w:w="80"/>
              <w:right w:type="dxa" w:w="110"/>
            </w:tcMar>
          </w:tcPr>
          <w:p>
            <w:pPr>
              <w:spacing w:after="0"/>
            </w:pPr>
            <w:r>
              <w:rPr>
                <w:b w:val="false"/>
                <w:bCs w:val="false"/>
                <w:sz w:val="19"/>
                <w:szCs w:val="19"/>
              </w:rPr>
              <w:t xml:space="preserve">書類種別ごとの差分設定</w:t>
            </w:r>
          </w:p>
        </w:tc>
      </w:tr>
      <w:tr>
        <w:tc>
          <w:tcPr>
            <w:tcW w:type="dxa" w:w="3200"/>
            <w:shd w:fill="F5F7FA" w:val="clear"/>
            <w:tcMar>
              <w:top w:type="dxa" w:w="80"/>
              <w:left w:type="dxa" w:w="110"/>
              <w:bottom w:type="dxa" w:w="80"/>
              <w:right w:type="dxa" w:w="110"/>
            </w:tcMar>
          </w:tcPr>
          <w:p>
            <w:pPr>
              <w:spacing w:after="0"/>
            </w:pPr>
            <w:r>
              <w:rPr>
                <w:b w:val="false"/>
                <w:bCs w:val="false"/>
                <w:sz w:val="19"/>
                <w:szCs w:val="19"/>
              </w:rPr>
              <w:t xml:space="preserve">Utils.gs</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エラー処理・排他制御・共通ユーティリティ</w:t>
            </w:r>
          </w:p>
        </w:tc>
      </w:tr>
      <w:tr>
        <w:tc>
          <w:tcPr>
            <w:tcW w:type="dxa" w:w="3200"/>
            <w:tcMar>
              <w:top w:type="dxa" w:w="80"/>
              <w:left w:type="dxa" w:w="110"/>
              <w:bottom w:type="dxa" w:w="80"/>
              <w:right w:type="dxa" w:w="110"/>
            </w:tcMar>
          </w:tcPr>
          <w:p>
            <w:pPr>
              <w:spacing w:after="0"/>
            </w:pPr>
            <w:r>
              <w:rPr>
                <w:b w:val="false"/>
                <w:bCs w:val="false"/>
                <w:sz w:val="19"/>
                <w:szCs w:val="19"/>
              </w:rPr>
              <w:t xml:space="preserve">LogService.gs</w:t>
            </w:r>
          </w:p>
        </w:tc>
        <w:tc>
          <w:tcPr>
            <w:tcW w:type="dxa" w:w="5800"/>
            <w:tcMar>
              <w:top w:type="dxa" w:w="80"/>
              <w:left w:type="dxa" w:w="110"/>
              <w:bottom w:type="dxa" w:w="80"/>
              <w:right w:type="dxa" w:w="110"/>
            </w:tcMar>
          </w:tcPr>
          <w:p>
            <w:pPr>
              <w:spacing w:after="0"/>
            </w:pPr>
            <w:r>
              <w:rPr>
                <w:b w:val="false"/>
                <w:bCs w:val="false"/>
                <w:sz w:val="19"/>
                <w:szCs w:val="19"/>
              </w:rPr>
              <w:t xml:space="preserve">操作ログの記録</w:t>
            </w:r>
          </w:p>
        </w:tc>
      </w:tr>
      <w:tr>
        <w:tc>
          <w:tcPr>
            <w:tcW w:type="dxa" w:w="3200"/>
            <w:shd w:fill="F5F7FA" w:val="clear"/>
            <w:tcMar>
              <w:top w:type="dxa" w:w="80"/>
              <w:left w:type="dxa" w:w="110"/>
              <w:bottom w:type="dxa" w:w="80"/>
              <w:right w:type="dxa" w:w="110"/>
            </w:tcMar>
          </w:tcPr>
          <w:p>
            <w:pPr>
              <w:spacing w:after="0"/>
            </w:pPr>
            <w:r>
              <w:rPr>
                <w:b w:val="false"/>
                <w:bCs w:val="false"/>
                <w:sz w:val="19"/>
                <w:szCs w:val="19"/>
              </w:rPr>
              <w:t xml:space="preserve">PeriodService.gs</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3200"/>
            <w:tcMar>
              <w:top w:type="dxa" w:w="80"/>
              <w:left w:type="dxa" w:w="110"/>
              <w:bottom w:type="dxa" w:w="80"/>
              <w:right w:type="dxa" w:w="110"/>
            </w:tcMar>
          </w:tcPr>
          <w:p>
            <w:pPr>
              <w:spacing w:after="0"/>
            </w:pPr>
            <w:r>
              <w:rPr>
                <w:b w:val="false"/>
                <w:bCs w:val="false"/>
                <w:sz w:val="19"/>
                <w:szCs w:val="19"/>
              </w:rPr>
              <w:t xml:space="preserve">CaseService.gs</w:t>
            </w:r>
          </w:p>
        </w:tc>
        <w:tc>
          <w:tcPr>
            <w:tcW w:type="dxa" w:w="5800"/>
            <w:tcMar>
              <w:top w:type="dxa" w:w="80"/>
              <w:left w:type="dxa" w:w="110"/>
              <w:bottom w:type="dxa" w:w="80"/>
              <w:right w:type="dxa" w:w="110"/>
            </w:tcMar>
          </w:tcPr>
          <w:p>
            <w:pPr>
              <w:spacing w:after="0"/>
            </w:pPr>
            <w:r>
              <w:rPr>
                <w:b w:val="false"/>
                <w:bCs w:val="false"/>
                <w:sz w:val="19"/>
                <w:szCs w:val="19"/>
              </w:rPr>
              <w:t xml:space="preserve">案件行の操作・自動採番・案件中止</w:t>
            </w:r>
          </w:p>
        </w:tc>
      </w:tr>
      <w:tr>
        <w:tc>
          <w:tcPr>
            <w:tcW w:type="dxa" w:w="3200"/>
            <w:shd w:fill="F5F7FA" w:val="clear"/>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3200"/>
            <w:tcMar>
              <w:top w:type="dxa" w:w="80"/>
              <w:left w:type="dxa" w:w="110"/>
              <w:bottom w:type="dxa" w:w="80"/>
              <w:right w:type="dxa" w:w="110"/>
            </w:tcMar>
          </w:tcPr>
          <w:p>
            <w:pPr>
              <w:spacing w:after="0"/>
            </w:pPr>
            <w:r>
              <w:rPr>
                <w:b w:val="false"/>
                <w:bCs w:val="false"/>
                <w:sz w:val="19"/>
                <w:szCs w:val="19"/>
              </w:rPr>
              <w:t xml:space="preserve">DocumentService.gs</w:t>
            </w:r>
          </w:p>
        </w:tc>
        <w:tc>
          <w:tcPr>
            <w:tcW w:type="dxa" w:w="5800"/>
            <w:tcMar>
              <w:top w:type="dxa" w:w="80"/>
              <w:left w:type="dxa" w:w="110"/>
              <w:bottom w:type="dxa" w:w="80"/>
              <w:right w:type="dxa" w:w="110"/>
            </w:tcMar>
          </w:tcPr>
          <w:p>
            <w:pPr>
              <w:spacing w:after="0"/>
            </w:pPr>
            <w:r>
              <w:rPr>
                <w:b w:val="false"/>
                <w:bCs w:val="false"/>
                <w:sz w:val="19"/>
                <w:szCs w:val="19"/>
              </w:rPr>
              <w:t xml:space="preserve">書類ファイル操作・PDF出力</w:t>
            </w:r>
          </w:p>
        </w:tc>
      </w:tr>
      <w:tr>
        <w:tc>
          <w:tcPr>
            <w:tcW w:type="dxa" w:w="3200"/>
            <w:shd w:fill="F5F7FA" w:val="clear"/>
            <w:tcMar>
              <w:top w:type="dxa" w:w="80"/>
              <w:left w:type="dxa" w:w="110"/>
              <w:bottom w:type="dxa" w:w="80"/>
              <w:right w:type="dxa" w:w="110"/>
            </w:tcMar>
          </w:tcPr>
          <w:p>
            <w:pPr>
              <w:spacing w:after="0"/>
            </w:pPr>
            <w:r>
              <w:rPr>
                <w:b w:val="false"/>
                <w:bCs w:val="false"/>
                <w:sz w:val="19"/>
                <w:szCs w:val="19"/>
              </w:rPr>
              <w:t xml:space="preserve">TemplateFillService.gs</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テンプレートへの転記・社印・シート保護</w:t>
            </w:r>
          </w:p>
        </w:tc>
      </w:tr>
      <w:tr>
        <w:tc>
          <w:tcPr>
            <w:tcW w:type="dxa" w:w="3200"/>
            <w:tcMar>
              <w:top w:type="dxa" w:w="80"/>
              <w:left w:type="dxa" w:w="110"/>
              <w:bottom w:type="dxa" w:w="80"/>
              <w:right w:type="dxa" w:w="110"/>
            </w:tcMar>
          </w:tcPr>
          <w:p>
            <w:pPr>
              <w:spacing w:after="0"/>
            </w:pPr>
            <w:r>
              <w:rPr>
                <w:b w:val="false"/>
                <w:bCs w:val="false"/>
                <w:sz w:val="19"/>
                <w:szCs w:val="19"/>
              </w:rPr>
              <w:t xml:space="preserve">ApprovalService.gs</w:t>
            </w:r>
          </w:p>
        </w:tc>
        <w:tc>
          <w:tcPr>
            <w:tcW w:type="dxa" w:w="5800"/>
            <w:tcMar>
              <w:top w:type="dxa" w:w="80"/>
              <w:left w:type="dxa" w:w="110"/>
              <w:bottom w:type="dxa" w:w="80"/>
              <w:right w:type="dxa" w:w="110"/>
            </w:tcMar>
          </w:tcPr>
          <w:p>
            <w:pPr>
              <w:spacing w:after="0"/>
            </w:pPr>
            <w:r>
              <w:rPr>
                <w:b w:val="false"/>
                <w:bCs w:val="false"/>
                <w:sz w:val="19"/>
                <w:szCs w:val="19"/>
              </w:rPr>
              <w:t xml:space="preserve">承認フロー</w:t>
            </w:r>
          </w:p>
        </w:tc>
      </w:tr>
      <w:tr>
        <w:tc>
          <w:tcPr>
            <w:tcW w:type="dxa" w:w="3200"/>
            <w:shd w:fill="F5F7FA" w:val="clear"/>
            <w:tcMar>
              <w:top w:type="dxa" w:w="80"/>
              <w:left w:type="dxa" w:w="110"/>
              <w:bottom w:type="dxa" w:w="80"/>
              <w:right w:type="dxa" w:w="110"/>
            </w:tcMar>
          </w:tcPr>
          <w:p>
            <w:pPr>
              <w:spacing w:after="0"/>
            </w:pPr>
            <w:r>
              <w:rPr>
                <w:b w:val="false"/>
                <w:bCs w:val="false"/>
                <w:sz w:val="19"/>
                <w:szCs w:val="19"/>
              </w:rPr>
              <w:t xml:space="preserve">DeliveryService.gs / FinalApprovalService.gs</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納品書・最終承認</w:t>
            </w:r>
          </w:p>
        </w:tc>
      </w:tr>
      <w:tr>
        <w:tc>
          <w:tcPr>
            <w:tcW w:type="dxa" w:w="3200"/>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800"/>
            <w:tcMar>
              <w:top w:type="dxa" w:w="80"/>
              <w:left w:type="dxa" w:w="110"/>
              <w:bottom w:type="dxa" w:w="80"/>
              <w:right w:type="dxa" w:w="110"/>
            </w:tcMar>
          </w:tcPr>
          <w:p>
            <w:pPr>
              <w:spacing w:after="0"/>
            </w:pPr>
            <w:r>
              <w:rPr>
                <w:b w:val="false"/>
                <w:bCs w:val="false"/>
                <w:sz w:val="19"/>
                <w:szCs w:val="19"/>
              </w:rPr>
              <w:t xml:space="preserve">通知・定期レポート</w:t>
            </w:r>
          </w:p>
        </w:tc>
      </w:tr>
      <w:tr>
        <w:tc>
          <w:tcPr>
            <w:tcW w:type="dxa" w:w="3200"/>
            <w:shd w:fill="F5F7FA" w:val="clear"/>
            <w:tcMar>
              <w:top w:type="dxa" w:w="80"/>
              <w:left w:type="dxa" w:w="110"/>
              <w:bottom w:type="dxa" w:w="80"/>
              <w:right w:type="dxa" w:w="110"/>
            </w:tcMar>
          </w:tcPr>
          <w:p>
            <w:pPr>
              <w:spacing w:after="0"/>
            </w:pPr>
            <w:r>
              <w:rPr>
                <w:b w:val="false"/>
                <w:bCs w:val="false"/>
                <w:sz w:val="19"/>
                <w:szCs w:val="19"/>
              </w:rPr>
              <w:t xml:space="preserve">SidebarController.gs</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サイドバーからの入り口</w:t>
            </w:r>
          </w:p>
        </w:tc>
      </w:tr>
      <w:tr>
        <w:tc>
          <w:tcPr>
            <w:tcW w:type="dxa" w:w="3200"/>
            <w:tcMar>
              <w:top w:type="dxa" w:w="80"/>
              <w:left w:type="dxa" w:w="110"/>
              <w:bottom w:type="dxa" w:w="80"/>
              <w:right w:type="dxa" w:w="110"/>
            </w:tcMar>
          </w:tcPr>
          <w:p>
            <w:pPr>
              <w:spacing w:after="0"/>
            </w:pPr>
            <w:r>
              <w:rPr>
                <w:b w:val="false"/>
                <w:bCs w:val="false"/>
                <w:sz w:val="19"/>
                <w:szCs w:val="19"/>
              </w:rPr>
              <w:t xml:space="preserve">Triggers.gs</w:t>
            </w:r>
          </w:p>
        </w:tc>
        <w:tc>
          <w:tcPr>
            <w:tcW w:type="dxa" w:w="5800"/>
            <w:tcMar>
              <w:top w:type="dxa" w:w="80"/>
              <w:left w:type="dxa" w:w="110"/>
              <w:bottom w:type="dxa" w:w="80"/>
              <w:right w:type="dxa" w:w="110"/>
            </w:tcMar>
          </w:tcPr>
          <w:p>
            <w:pPr>
              <w:spacing w:after="0"/>
            </w:pPr>
            <w:r>
              <w:rPr>
                <w:b w:val="false"/>
                <w:bCs w:val="false"/>
                <w:sz w:val="19"/>
                <w:szCs w:val="19"/>
              </w:rPr>
              <w:t xml:space="preserve">トリガーとメニュー</w:t>
            </w:r>
          </w:p>
        </w:tc>
      </w:tr>
      <w:tr>
        <w:tc>
          <w:tcPr>
            <w:tcW w:type="dxa" w:w="32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tc>
      </w:tr>
    </w:tbl>
    <w:p>
      <w:r>
        <w:br w:type="page"/>
      </w:r>
    </w:p>
    <w:p>
      <w:pPr>
        <w:pStyle w:val="Heading1"/>
      </w:pPr>
      <w:r>
        <w:t xml:space="preserve">9. トリガーの設定と認可</w:t>
      </w:r>
    </w:p>
    <w:p>
      <w:pPr>
        <w:pStyle w:val="Heading2"/>
      </w:pPr>
      <w:r>
        <w:t xml:space="preserve">9.1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実行が完了すると、自動採番・日次処理・自身のサイドバー自動表示のトリガーが登録されます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請求予定レポートも人数分重複送信されます。</w:t>
            </w:r>
          </w:p>
          <w:p>
            <w:pPr>
              <w:spacing w:after="40"/>
            </w:pPr>
            <w:r>
              <w:t xml:space="preserve">自動採番と日次処理のトリガーは、必ず管理用アカウント1名のみが登録してください。</w:t>
            </w:r>
          </w:p>
        </w:tc>
      </w:tr>
    </w:tbl>
    <w:p>
      <w:pPr>
        <w:pStyle w:val="Heading2"/>
      </w:pPr>
      <w:r>
        <w:t xml:space="preserve">9.2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9.3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10. 動作確認チェックリスト</w:t>
      </w:r>
    </w:p>
    <w:p>
      <w:pPr>
        <w:spacing w:after="120"/>
      </w:pPr>
      <w:r>
        <w:rPr>
          <w:b w:val="false"/>
          <w:bCs w:val="false"/>
          <w:i w:val="false"/>
          <w:iCs w:val="false"/>
        </w:rPr>
        <w:t xml:space="preserve">設定完了後、以下の順に確認してください。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案件番号が自動採番され、ステータスが「案件登録済み」になる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tcMar>
              <w:top w:type="dxa" w:w="80"/>
              <w:left w:type="dxa" w:w="110"/>
              <w:bottom w:type="dxa" w:w="80"/>
              <w:right w:type="dxa" w:w="110"/>
            </w:tcMar>
          </w:tcPr>
          <w:p>
            <w:pPr>
              <w:spacing w:after="0"/>
            </w:pPr>
            <w:r>
              <w:rPr>
                <w:b w:val="false"/>
                <w:bCs w:val="false"/>
                <w:sz w:val="19"/>
                <w:szCs w:val="19"/>
              </w:rPr>
              <w:t xml:space="preserve">書類が生成され、取引先情報と通し番号が転記されている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管理用アカウントになっている。</w:t>
            </w:r>
          </w:p>
          <w:p>
            <w:pPr>
              <w:spacing w:after="0"/>
            </w:pPr>
            <w:r>
              <w:rPr>
                <w:b w:val="false"/>
                <w:bCs w:val="false"/>
                <w:sz w:val="19"/>
                <w:szCs w:val="19"/>
              </w:rPr>
              <w:t xml:space="preserve">操作ログに実行アカウントの警告が出ていない</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tcMar>
              <w:top w:type="dxa" w:w="80"/>
              <w:left w:type="dxa" w:w="110"/>
              <w:bottom w:type="dxa" w:w="80"/>
              <w:right w:type="dxa" w:w="110"/>
            </w:tcMar>
          </w:tcPr>
          <w:p>
            <w:pPr>
              <w:spacing w:after="0"/>
            </w:pPr>
            <w:r>
              <w:rPr>
                <w:b w:val="false"/>
                <w:bCs w:val="false"/>
                <w:sz w:val="19"/>
                <w:szCs w:val="19"/>
              </w:rPr>
              <w:t xml:space="preserve">9</w:t>
            </w:r>
          </w:p>
        </w:tc>
        <w:tc>
          <w:tcPr>
            <w:tcW w:type="dxa" w:w="3500"/>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同一ファイル内に新シートが作られ、旧シートがロック・退避される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tcMar>
              <w:top w:type="dxa" w:w="80"/>
              <w:left w:type="dxa" w:w="110"/>
              <w:bottom w:type="dxa" w:w="80"/>
              <w:right w:type="dxa" w:w="110"/>
            </w:tcMar>
          </w:tcPr>
          <w:p>
            <w:pPr>
              <w:spacing w:after="0"/>
            </w:pPr>
            <w:r>
              <w:rPr>
                <w:b w:val="false"/>
                <w:bCs w:val="false"/>
                <w:sz w:val="19"/>
                <w:szCs w:val="19"/>
              </w:rPr>
              <w:t xml:space="preserve">11</w:t>
            </w:r>
          </w:p>
        </w:tc>
        <w:tc>
          <w:tcPr>
            <w:tcW w:type="dxa" w:w="3500"/>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tcMar>
              <w:top w:type="dxa" w:w="80"/>
              <w:left w:type="dxa" w:w="110"/>
              <w:bottom w:type="dxa" w:w="80"/>
              <w:right w:type="dxa" w:w="110"/>
            </w:tcMar>
          </w:tcPr>
          <w:p>
            <w:pPr>
              <w:spacing w:after="0"/>
            </w:pPr>
            <w:r>
              <w:rPr>
                <w:b w:val="false"/>
                <w:bCs w:val="false"/>
                <w:sz w:val="19"/>
                <w:szCs w:val="19"/>
              </w:rPr>
              <w:t xml:space="preserve">PDFが3ページで生成され、操作履歴欄にPDF出力が記録されている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13</w:t>
            </w:r>
          </w:p>
        </w:tc>
        <w:tc>
          <w:tcPr>
            <w:tcW w:type="dxa" w:w="3500"/>
            <w:tcMar>
              <w:top w:type="dxa" w:w="80"/>
              <w:left w:type="dxa" w:w="110"/>
              <w:bottom w:type="dxa" w:w="80"/>
              <w:right w:type="dxa" w:w="110"/>
            </w:tcMar>
          </w:tcPr>
          <w:p>
            <w:pPr>
              <w:spacing w:after="0"/>
            </w:pPr>
            <w:r>
              <w:rPr>
                <w:b w:val="false"/>
                <w:bCs w:val="false"/>
                <w:sz w:val="19"/>
                <w:szCs w:val="19"/>
              </w:rPr>
              <w:t xml:space="preserve">全案件DBシートで行を選択</w:t>
            </w:r>
          </w:p>
        </w:tc>
        <w:tc>
          <w:tcPr>
            <w:tcW w:type="dxa" w:w="5000"/>
            <w:tcMar>
              <w:top w:type="dxa" w:w="80"/>
              <w:left w:type="dxa" w:w="110"/>
              <w:bottom w:type="dxa" w:w="80"/>
              <w:right w:type="dxa" w:w="110"/>
            </w:tcMar>
          </w:tcPr>
          <w:p>
            <w:pPr>
              <w:spacing w:after="0"/>
            </w:pPr>
            <w:r>
              <w:rPr>
                <w:b w:val="false"/>
                <w:bCs w:val="false"/>
                <w:sz w:val="19"/>
                <w:szCs w:val="19"/>
              </w:rPr>
              <w:t xml:space="preserve">サイドバーに案件情報が表示される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表示シートから消え、全案件DBには残る</w:t>
            </w:r>
          </w:p>
        </w:tc>
      </w:tr>
      <w:tr>
        <w:tc>
          <w:tcPr>
            <w:tcW w:type="dxa" w:w="500"/>
            <w:tcMar>
              <w:top w:type="dxa" w:w="80"/>
              <w:left w:type="dxa" w:w="110"/>
              <w:bottom w:type="dxa" w:w="80"/>
              <w:right w:type="dxa" w:w="110"/>
            </w:tcMar>
          </w:tcPr>
          <w:p>
            <w:pPr>
              <w:spacing w:after="0"/>
            </w:pPr>
            <w:r>
              <w:rPr>
                <w:b w:val="false"/>
                <w:bCs w:val="false"/>
                <w:sz w:val="19"/>
                <w:szCs w:val="19"/>
              </w:rPr>
              <w:t xml:space="preserve">15</w:t>
            </w:r>
          </w:p>
        </w:tc>
        <w:tc>
          <w:tcPr>
            <w:tcW w:type="dxa" w:w="35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tcMar>
              <w:top w:type="dxa" w:w="80"/>
              <w:left w:type="dxa" w:w="110"/>
              <w:bottom w:type="dxa" w:w="80"/>
              <w:right w:type="dxa" w:w="110"/>
            </w:tcMar>
          </w:tcPr>
          <w:p>
            <w:pPr>
              <w:spacing w:after="0"/>
            </w:pPr>
            <w:r>
              <w:rPr>
                <w:b w:val="false"/>
                <w:bCs w:val="false"/>
                <w:sz w:val="19"/>
                <w:szCs w:val="19"/>
              </w:rPr>
              <w:t xml:space="preserve">これまでの全操作が記録されている</w:t>
            </w:r>
          </w:p>
        </w:tc>
      </w:tr>
    </w:tbl>
    <w:p>
      <w:r>
        <w:br w:type="page"/>
      </w:r>
    </w:p>
    <w:p>
      <w:pPr>
        <w:pStyle w:val="Heading1"/>
      </w:pPr>
      <w:r>
        <w:t xml:space="preserve">11. 運用・保守</w:t>
      </w:r>
    </w:p>
    <w:p>
      <w:pPr>
        <w:pStyle w:val="Heading2"/>
      </w:pPr>
      <w:r>
        <w:t xml:space="preserve">11.1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spacing w:after="160"/>
      </w:pPr>
    </w:p>
    <w:p>
      <w:pPr>
        <w:spacing w:after="120"/>
      </w:pPr>
      <w:r>
        <w:rPr>
          <w:b w:val="false"/>
          <w:bCs w:val="false"/>
          <w:i w:val="false"/>
          <w:iCs w:val="false"/>
        </w:rPr>
        <w:t xml:space="preserve">期番号の起点は Constants.gs のPERIOD_BASE_NUMBER・PERIOD_BASE_YEARで定義されています（2026年5月1日開始分が17期）。</w:t>
      </w:r>
    </w:p>
    <w:p>
      <w:pPr>
        <w:pStyle w:val="Heading2"/>
      </w:pPr>
      <w:r>
        <w:t xml:space="preserve">11.2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 / SEAL_IMAGE_OFFSET_Y_PX</w:t>
            </w:r>
          </w:p>
          <w:p>
            <w:pPr>
              <w:spacing w:after="0"/>
            </w:pPr>
            <w:r>
              <w:rPr>
                <w:b w:val="false"/>
                <w:bCs w:val="false"/>
                <w:sz w:val="19"/>
                <w:szCs w:val="19"/>
              </w:rPr>
              <w:t xml:space="preserve">（右へずらす場合はX、下へずらす場合はYを増やす）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社印の画像</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tcMar>
              <w:top w:type="dxa" w:w="80"/>
              <w:left w:type="dxa" w:w="110"/>
              <w:bottom w:type="dxa" w:w="80"/>
              <w:right w:type="dxa" w:w="110"/>
            </w:tcMar>
          </w:tcPr>
          <w:p>
            <w:pPr>
              <w:spacing w:after="0"/>
            </w:pPr>
            <w:r>
              <w:rPr>
                <w:b w:val="false"/>
                <w:bCs w:val="false"/>
                <w:sz w:val="19"/>
                <w:szCs w:val="19"/>
              </w:rPr>
              <w:t xml:space="preserve">ロール名</w:t>
            </w:r>
          </w:p>
        </w:tc>
        <w:tc>
          <w:tcPr>
            <w:tcW w:type="dxa" w:w="6200"/>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レポート送信日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bl>
    <w:p>
      <w:pPr>
        <w:pStyle w:val="Heading2"/>
      </w:pPr>
      <w:r>
        <w:t xml:space="preserve">11.3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pStyle w:val="Heading1"/>
      </w:pPr>
      <w:r>
        <w:t xml:space="preserve">12. トラブルシューティング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PDFのページが崩れる</w:t>
            </w:r>
          </w:p>
        </w:tc>
        <w:tc>
          <w:tcPr>
            <w:tcW w:type="dxa" w:w="6400"/>
            <w:tcMar>
              <w:top w:type="dxa" w:w="80"/>
              <w:left w:type="dxa" w:w="110"/>
              <w:bottom w:type="dxa" w:w="80"/>
              <w:right w:type="dxa" w:w="110"/>
            </w:tcMar>
          </w:tcPr>
          <w:p>
            <w:pPr>
              <w:spacing w:after="0"/>
            </w:pPr>
            <w:r>
              <w:rPr>
                <w:b w:val="false"/>
                <w:bCs w:val="false"/>
                <w:sz w:val="19"/>
                <w:szCs w:val="19"/>
              </w:rPr>
              <w:t xml:space="preserve">テンプレートのレイアウトがPDF_PAGE_RANGESの範囲に収まっているか確認する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第8章の必須プロパティが設定されているか確認する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2026-08-18T08:08:18.452Z</dcterms:created>
  <dcterms:modified xsi:type="dcterms:W3CDTF">2026-08-18T08:08:18.453Z</dcterms:modified>
</cp:coreProperties>
</file>

<file path=docProps/custom.xml><?xml version="1.0" encoding="utf-8"?>
<Properties xmlns="http://schemas.openxmlformats.org/officeDocument/2006/custom-properties" xmlns:vt="http://schemas.openxmlformats.org/officeDocument/2006/docPropsVTypes"/>
</file>