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71" w:rsidRPr="00741FF8" w:rsidRDefault="00741FF8" w:rsidP="00741FF8">
      <w:pPr>
        <w:pStyle w:val="Heading1"/>
        <w:jc w:val="both"/>
        <w:rPr>
          <w:rFonts w:asciiTheme="minorHAnsi" w:hAnsiTheme="minorHAnsi" w:cstheme="minorHAnsi"/>
        </w:rPr>
      </w:pPr>
      <w:r w:rsidRPr="00741FF8">
        <w:rPr>
          <w:rFonts w:asciiTheme="minorHAnsi" w:hAnsiTheme="minorHAnsi" w:cstheme="minorHAnsi"/>
        </w:rPr>
        <w:t>Part A: Data Analysis</w:t>
      </w:r>
    </w:p>
    <w:p w:rsidR="00741FF8" w:rsidRPr="00741FF8" w:rsidRDefault="00741FF8" w:rsidP="00741FF8">
      <w:pPr>
        <w:jc w:val="both"/>
        <w:rPr>
          <w:rFonts w:cstheme="minorHAnsi"/>
        </w:rPr>
      </w:pPr>
    </w:p>
    <w:p w:rsidR="00741FF8" w:rsidRPr="00741FF8" w:rsidRDefault="00741FF8" w:rsidP="00741FF8">
      <w:pPr>
        <w:pStyle w:val="Heading2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741FF8">
        <w:rPr>
          <w:rFonts w:asciiTheme="minorHAnsi" w:hAnsiTheme="minorHAnsi" w:cstheme="minorHAnsi"/>
        </w:rPr>
        <w:t>Summary</w:t>
      </w:r>
    </w:p>
    <w:p w:rsidR="00741FF8" w:rsidRPr="00741FF8" w:rsidRDefault="00741FF8" w:rsidP="00741FF8">
      <w:pPr>
        <w:rPr>
          <w:rFonts w:cstheme="minorHAnsi"/>
        </w:rPr>
      </w:pPr>
    </w:p>
    <w:p w:rsidR="00741FF8" w:rsidRPr="00741FF8" w:rsidRDefault="00741FF8" w:rsidP="00741FF8">
      <w:pPr>
        <w:jc w:val="both"/>
        <w:rPr>
          <w:rFonts w:cstheme="minorHAnsi"/>
        </w:rPr>
      </w:pPr>
      <w:r w:rsidRPr="00741FF8">
        <w:rPr>
          <w:rFonts w:cstheme="minorHAnsi"/>
        </w:rPr>
        <w:t>This report</w:t>
      </w:r>
      <w:r>
        <w:rPr>
          <w:rFonts w:cstheme="minorHAnsi"/>
        </w:rPr>
        <w:t xml:space="preserve"> shows</w:t>
      </w:r>
      <w:r w:rsidRPr="00741FF8">
        <w:rPr>
          <w:rFonts w:cstheme="minorHAnsi"/>
        </w:rPr>
        <w:t xml:space="preserve"> </w:t>
      </w:r>
      <w:r>
        <w:rPr>
          <w:rFonts w:cstheme="minorHAnsi"/>
        </w:rPr>
        <w:t>an</w:t>
      </w:r>
      <w:r w:rsidRPr="00741FF8">
        <w:rPr>
          <w:rFonts w:cstheme="minorHAnsi"/>
        </w:rPr>
        <w:t xml:space="preserve"> analysis </w:t>
      </w:r>
      <w:r>
        <w:rPr>
          <w:rFonts w:cstheme="minorHAnsi"/>
        </w:rPr>
        <w:t xml:space="preserve">done to determine if differences in </w:t>
      </w:r>
      <w:r w:rsidRPr="00741FF8">
        <w:rPr>
          <w:rFonts w:cstheme="minorHAnsi"/>
        </w:rPr>
        <w:t xml:space="preserve">certain factors </w:t>
      </w:r>
      <w:r>
        <w:rPr>
          <w:rFonts w:cstheme="minorHAnsi"/>
        </w:rPr>
        <w:t xml:space="preserve">will cause a difference </w:t>
      </w:r>
      <w:r w:rsidRPr="00741FF8">
        <w:rPr>
          <w:rFonts w:cstheme="minorHAnsi"/>
        </w:rPr>
        <w:t>on the mutual fund returns. One-way Analysis of Variance (</w:t>
      </w:r>
      <w:r>
        <w:rPr>
          <w:rFonts w:cstheme="minorHAnsi"/>
        </w:rPr>
        <w:t xml:space="preserve">One-way </w:t>
      </w:r>
      <w:r w:rsidRPr="00741FF8">
        <w:rPr>
          <w:rFonts w:cstheme="minorHAnsi"/>
        </w:rPr>
        <w:t>ANOVA) was used</w:t>
      </w:r>
      <w:r>
        <w:rPr>
          <w:rFonts w:cstheme="minorHAnsi"/>
        </w:rPr>
        <w:t xml:space="preserve"> to compare the different categorical groups against the various returns. The results collected are displayed in tables for comparison a</w:t>
      </w:r>
      <w:r w:rsidR="002460C7">
        <w:rPr>
          <w:rFonts w:cstheme="minorHAnsi"/>
        </w:rPr>
        <w:t>nd an analysis was done to determine which factors could cause any difference in the returns.</w:t>
      </w:r>
    </w:p>
    <w:p w:rsidR="00741FF8" w:rsidRPr="00741FF8" w:rsidRDefault="00741FF8" w:rsidP="00741FF8">
      <w:pPr>
        <w:jc w:val="both"/>
        <w:rPr>
          <w:rFonts w:cstheme="minorHAnsi"/>
        </w:rPr>
      </w:pPr>
    </w:p>
    <w:p w:rsidR="00741FF8" w:rsidRDefault="00741FF8" w:rsidP="00741FF8">
      <w:pPr>
        <w:pStyle w:val="Heading2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741FF8">
        <w:rPr>
          <w:rFonts w:asciiTheme="minorHAnsi" w:hAnsiTheme="minorHAnsi" w:cstheme="minorHAnsi"/>
        </w:rPr>
        <w:t>Description of Problem</w:t>
      </w:r>
    </w:p>
    <w:p w:rsidR="002460C7" w:rsidRDefault="002460C7" w:rsidP="002460C7"/>
    <w:p w:rsidR="002460C7" w:rsidRPr="00741FF8" w:rsidRDefault="002460C7" w:rsidP="002460C7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cstheme="minorHAnsi"/>
        </w:rPr>
        <w:t xml:space="preserve">A data sample of 158 mutual funds was given. </w:t>
      </w:r>
      <w:r>
        <w:rPr>
          <w:rFonts w:cstheme="minorHAnsi"/>
        </w:rPr>
        <w:t xml:space="preserve"> </w:t>
      </w:r>
      <w:r w:rsidRPr="00741FF8">
        <w:rPr>
          <w:rFonts w:eastAsia="Times New Roman" w:cstheme="minorHAnsi"/>
          <w:color w:val="333333"/>
          <w:spacing w:val="5"/>
          <w:szCs w:val="24"/>
        </w:rPr>
        <w:t>Each fund contains 12 variables: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Fund: The name of the mutual fund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Type: Type of stocks comprising the mutual fund: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Small Cap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Mid Cap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Large Cap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Assets: in millions of dollars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Fees: Presence of sales charges (No or Yes)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Expense Ratio: In percentage of net assets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2001 Return: Twelve-month return in 2001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Three-Year Return: Annualized return from 1999-2001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Five-Year Return: Annualized return from 1997-2001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Turnover: Level of trading activity by the mutual fund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Very Low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Low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Average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High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Very High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Risk: Risk-of-loss factor of the mutual fund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Very Low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Low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Average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High</w:t>
      </w:r>
    </w:p>
    <w:p w:rsidR="002460C7" w:rsidRPr="00741FF8" w:rsidRDefault="002460C7" w:rsidP="002460C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Very High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Best Quarter: Best quarterly performance from 1997-2001</w:t>
      </w:r>
    </w:p>
    <w:p w:rsidR="002460C7" w:rsidRPr="00741FF8" w:rsidRDefault="002460C7" w:rsidP="002460C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Worst Quarter: Worst quarterly performance from 1997-2001</w:t>
      </w:r>
    </w:p>
    <w:p w:rsidR="002460C7" w:rsidRPr="002460C7" w:rsidRDefault="002460C7" w:rsidP="002460C7"/>
    <w:p w:rsidR="00741FF8" w:rsidRPr="00741FF8" w:rsidRDefault="00741FF8" w:rsidP="00741FF8">
      <w:pPr>
        <w:rPr>
          <w:rFonts w:cstheme="minorHAnsi"/>
        </w:rPr>
      </w:pPr>
    </w:p>
    <w:p w:rsidR="00741FF8" w:rsidRDefault="002460C7" w:rsidP="00741FF8">
      <w:pPr>
        <w:jc w:val="both"/>
        <w:rPr>
          <w:rFonts w:cstheme="minorHAnsi"/>
        </w:rPr>
      </w:pPr>
      <w:r>
        <w:rPr>
          <w:rFonts w:cstheme="minorHAnsi"/>
        </w:rPr>
        <w:t>Based on the variables above, there are three types of returns, namely, the 2001 Return, the Three-Year Return and the Five-Year Return. The project objective is to determine if any of the variables below could cause a difference in the return types:</w:t>
      </w:r>
    </w:p>
    <w:p w:rsidR="002460C7" w:rsidRDefault="002460C7" w:rsidP="002460C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Type</w:t>
      </w:r>
    </w:p>
    <w:p w:rsidR="00741FF8" w:rsidRPr="00CF2880" w:rsidRDefault="002460C7" w:rsidP="00741FF8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Fees</w:t>
      </w:r>
    </w:p>
    <w:p w:rsidR="00741FF8" w:rsidRDefault="00741FF8" w:rsidP="00741FF8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r w:rsidRPr="00741FF8">
        <w:rPr>
          <w:rFonts w:asciiTheme="minorHAnsi" w:hAnsiTheme="minorHAnsi" w:cstheme="minorHAnsi"/>
        </w:rPr>
        <w:t>Description of Data</w:t>
      </w:r>
    </w:p>
    <w:p w:rsidR="002460C7" w:rsidRPr="002460C7" w:rsidRDefault="002460C7" w:rsidP="002460C7"/>
    <w:p w:rsidR="00741FF8" w:rsidRPr="00741FF8" w:rsidRDefault="00741FF8" w:rsidP="00741FF8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pacing w:val="5"/>
          <w:szCs w:val="24"/>
        </w:rPr>
      </w:pPr>
      <w:r w:rsidRPr="00741FF8">
        <w:rPr>
          <w:rFonts w:eastAsia="Times New Roman" w:cstheme="minorHAnsi"/>
          <w:color w:val="333333"/>
          <w:spacing w:val="5"/>
          <w:szCs w:val="24"/>
        </w:rPr>
        <w:t>A summary on the descriptive statistics on the returns are shown in the tables below.</w:t>
      </w:r>
    </w:p>
    <w:p w:rsidR="00741FF8" w:rsidRPr="00741FF8" w:rsidRDefault="00741FF8" w:rsidP="00741FF8">
      <w:pPr>
        <w:rPr>
          <w:rFonts w:cstheme="minorHAnsi"/>
        </w:rPr>
      </w:pPr>
    </w:p>
    <w:p w:rsidR="00741FF8" w:rsidRPr="00741FF8" w:rsidRDefault="00741FF8" w:rsidP="00741FF8">
      <w:pPr>
        <w:pStyle w:val="Heading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649345" cy="1296035"/>
            <wp:effectExtent l="0" t="0" r="8255" b="0"/>
            <wp:docPr id="1" name="Picture 1" descr="C:\Users\JianFeng\AppData\Local\Microsoft\Windows\INetCacheContent.Word\means_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anFeng\AppData\Local\Microsoft\Windows\INetCacheContent.Word\means_2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300"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102pt">
            <v:imagedata r:id="rId6" o:title="means_three_year"/>
          </v:shape>
        </w:pict>
      </w:r>
    </w:p>
    <w:p w:rsidR="00741FF8" w:rsidRDefault="00937300" w:rsidP="00741FF8">
      <w:pPr>
        <w:jc w:val="center"/>
        <w:rPr>
          <w:rFonts w:cstheme="minorHAnsi"/>
        </w:rPr>
      </w:pPr>
      <w:r>
        <w:rPr>
          <w:rFonts w:cstheme="minorHAnsi"/>
        </w:rPr>
        <w:pict>
          <v:shape id="_x0000_i1026" type="#_x0000_t75" style="width:273pt;height:97.5pt">
            <v:imagedata r:id="rId7" o:title="means_five_year"/>
          </v:shape>
        </w:pict>
      </w:r>
    </w:p>
    <w:p w:rsidR="002460C7" w:rsidRDefault="002460C7" w:rsidP="002460C7">
      <w:pPr>
        <w:jc w:val="center"/>
        <w:rPr>
          <w:rFonts w:cstheme="minorHAnsi"/>
        </w:rPr>
      </w:pPr>
      <w:r>
        <w:rPr>
          <w:rFonts w:cstheme="minorHAnsi"/>
        </w:rPr>
        <w:t>Figure 3.1 Descriptive statistics for the various return types.</w:t>
      </w:r>
    </w:p>
    <w:p w:rsidR="00741FF8" w:rsidRDefault="00937300" w:rsidP="00741FF8">
      <w:pPr>
        <w:jc w:val="center"/>
        <w:rPr>
          <w:rFonts w:cstheme="minorHAnsi"/>
        </w:rPr>
      </w:pPr>
      <w:r>
        <w:rPr>
          <w:rFonts w:cstheme="minorHAnsi"/>
        </w:rPr>
        <w:lastRenderedPageBreak/>
        <w:pict>
          <v:shape id="_x0000_i1027" type="#_x0000_t75" style="width:312pt;height:297.75pt">
            <v:imagedata r:id="rId8" o:title="freq_mutualfund"/>
          </v:shape>
        </w:pict>
      </w:r>
    </w:p>
    <w:p w:rsidR="002460C7" w:rsidRDefault="002460C7" w:rsidP="002460C7">
      <w:pPr>
        <w:jc w:val="center"/>
        <w:rPr>
          <w:rFonts w:cstheme="minorHAnsi"/>
        </w:rPr>
      </w:pPr>
      <w:r>
        <w:rPr>
          <w:rFonts w:cstheme="minorHAnsi"/>
        </w:rPr>
        <w:t>Figure 3.2 Frequency distribution tables for the Type, Risk and Fees variables.</w:t>
      </w:r>
    </w:p>
    <w:p w:rsidR="002460C7" w:rsidRPr="00741FF8" w:rsidRDefault="002460C7" w:rsidP="00741FF8">
      <w:pPr>
        <w:jc w:val="center"/>
        <w:rPr>
          <w:rFonts w:cstheme="minorHAnsi"/>
        </w:rPr>
      </w:pPr>
    </w:p>
    <w:p w:rsidR="002460C7" w:rsidRDefault="002460C7" w:rsidP="002460C7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Discussion of Statistic Analysis Method Used</w:t>
      </w:r>
    </w:p>
    <w:p w:rsidR="002460C7" w:rsidRDefault="002460C7" w:rsidP="002460C7"/>
    <w:p w:rsidR="002460C7" w:rsidRDefault="002460C7" w:rsidP="00BB08C7">
      <w:pPr>
        <w:jc w:val="both"/>
      </w:pPr>
      <w:r>
        <w:t>One-way ANOVA was used for the analysis.</w:t>
      </w:r>
    </w:p>
    <w:p w:rsidR="002460C7" w:rsidRDefault="002460C7" w:rsidP="00BB08C7">
      <w:pPr>
        <w:jc w:val="both"/>
      </w:pPr>
      <w:r>
        <w:t>For the variables</w:t>
      </w:r>
      <w:r w:rsidR="00736B7A">
        <w:t xml:space="preserve"> to</w:t>
      </w:r>
      <w:r w:rsidR="00BB08C7">
        <w:t xml:space="preserve"> be analysed via one-way ANOVA, the numerical variables, namely, the 2001 Returns, Three-Year Returns and Five-Year Returns must fulfil the following conditions explained in the sections below.</w:t>
      </w:r>
    </w:p>
    <w:p w:rsidR="00BB08C7" w:rsidRDefault="00BB08C7" w:rsidP="00BB08C7">
      <w:pPr>
        <w:pStyle w:val="Heading3"/>
        <w:numPr>
          <w:ilvl w:val="1"/>
          <w:numId w:val="2"/>
        </w:numPr>
      </w:pPr>
      <w:r>
        <w:t>Normality of Variables</w:t>
      </w:r>
    </w:p>
    <w:p w:rsidR="00BB08C7" w:rsidRDefault="00BB08C7" w:rsidP="00BB08C7"/>
    <w:p w:rsidR="00BB08C7" w:rsidRDefault="00BB08C7" w:rsidP="00BB08C7">
      <w:r>
        <w:t>The numerical variables must follo</w:t>
      </w:r>
      <w:r w:rsidR="00E12CDC">
        <w:t>w a normal distribution for the one-way ANOVA to be valid.</w:t>
      </w:r>
    </w:p>
    <w:p w:rsidR="00E12CDC" w:rsidRDefault="00E12CDC" w:rsidP="00E12CDC">
      <w:pPr>
        <w:jc w:val="both"/>
      </w:pPr>
      <w:r>
        <w:t xml:space="preserve">A Shapiro-Wilk test for normality was conducted on the variables. </w:t>
      </w:r>
      <w:r>
        <w:t>The test was conducted at the 10% significance level.</w:t>
      </w:r>
      <w:r>
        <w:t xml:space="preserve"> This means that any variable that produces a p-value smaller than 0.1 follows a normal distribution.</w:t>
      </w:r>
    </w:p>
    <w:p w:rsidR="00E12CDC" w:rsidRDefault="00E12CDC" w:rsidP="00E12CDC">
      <w:r>
        <w:br w:type="page"/>
      </w:r>
    </w:p>
    <w:p w:rsidR="00E12CDC" w:rsidRDefault="00E12CDC" w:rsidP="00E12CDC">
      <w:pPr>
        <w:jc w:val="both"/>
      </w:pPr>
    </w:p>
    <w:p w:rsidR="00E12CDC" w:rsidRDefault="00E12CDC" w:rsidP="00BB08C7">
      <w:r>
        <w:t>The results of the test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2CDC" w:rsidTr="00E12CDC">
        <w:tc>
          <w:tcPr>
            <w:tcW w:w="3005" w:type="dxa"/>
          </w:tcPr>
          <w:p w:rsidR="00E12CDC" w:rsidRPr="00E12CDC" w:rsidRDefault="00E12CDC" w:rsidP="00E12CDC">
            <w:pPr>
              <w:jc w:val="center"/>
              <w:rPr>
                <w:b/>
              </w:rPr>
            </w:pPr>
            <w:r w:rsidRPr="00E12CDC">
              <w:rPr>
                <w:b/>
              </w:rPr>
              <w:t>Test Variable</w:t>
            </w:r>
          </w:p>
        </w:tc>
        <w:tc>
          <w:tcPr>
            <w:tcW w:w="3005" w:type="dxa"/>
          </w:tcPr>
          <w:p w:rsidR="00E12CDC" w:rsidRPr="00E12CDC" w:rsidRDefault="00E12CDC" w:rsidP="00E12CDC">
            <w:pPr>
              <w:jc w:val="center"/>
              <w:rPr>
                <w:b/>
              </w:rPr>
            </w:pPr>
            <w:r w:rsidRPr="00E12CDC">
              <w:rPr>
                <w:b/>
              </w:rPr>
              <w:t>p-value</w:t>
            </w:r>
          </w:p>
        </w:tc>
        <w:tc>
          <w:tcPr>
            <w:tcW w:w="3006" w:type="dxa"/>
          </w:tcPr>
          <w:p w:rsidR="00E12CDC" w:rsidRPr="00E12CDC" w:rsidRDefault="00E12CDC" w:rsidP="00E12CDC">
            <w:pPr>
              <w:jc w:val="center"/>
              <w:rPr>
                <w:b/>
              </w:rPr>
            </w:pPr>
            <w:r w:rsidRPr="00E12CDC">
              <w:rPr>
                <w:b/>
              </w:rPr>
              <w:t>Follow Normal Distribution?</w:t>
            </w:r>
          </w:p>
        </w:tc>
      </w:tr>
      <w:tr w:rsidR="00E12CDC" w:rsidTr="00E12CDC">
        <w:tc>
          <w:tcPr>
            <w:tcW w:w="3005" w:type="dxa"/>
          </w:tcPr>
          <w:p w:rsidR="00E12CDC" w:rsidRDefault="00E12CDC" w:rsidP="00E12CDC">
            <w:pPr>
              <w:jc w:val="center"/>
            </w:pPr>
            <w:r>
              <w:t>2001 Return</w:t>
            </w:r>
          </w:p>
        </w:tc>
        <w:tc>
          <w:tcPr>
            <w:tcW w:w="3005" w:type="dxa"/>
          </w:tcPr>
          <w:p w:rsidR="00E12CDC" w:rsidRDefault="00E12CDC" w:rsidP="00E12CDC">
            <w:pPr>
              <w:jc w:val="center"/>
            </w:pPr>
            <w:r>
              <w:t>5.946e-6</w:t>
            </w:r>
          </w:p>
        </w:tc>
        <w:tc>
          <w:tcPr>
            <w:tcW w:w="3006" w:type="dxa"/>
          </w:tcPr>
          <w:p w:rsidR="00E12CDC" w:rsidRDefault="00E12CDC" w:rsidP="00E12CDC">
            <w:pPr>
              <w:jc w:val="center"/>
            </w:pPr>
            <w:r>
              <w:t>Yes</w:t>
            </w:r>
          </w:p>
        </w:tc>
      </w:tr>
      <w:tr w:rsidR="00E12CDC" w:rsidTr="00E12CDC">
        <w:tc>
          <w:tcPr>
            <w:tcW w:w="3005" w:type="dxa"/>
          </w:tcPr>
          <w:p w:rsidR="00E12CDC" w:rsidRDefault="00E12CDC" w:rsidP="00E12CDC">
            <w:pPr>
              <w:jc w:val="center"/>
            </w:pPr>
            <w:r>
              <w:t>Three Year Return</w:t>
            </w:r>
          </w:p>
        </w:tc>
        <w:tc>
          <w:tcPr>
            <w:tcW w:w="3005" w:type="dxa"/>
          </w:tcPr>
          <w:p w:rsidR="00E12CDC" w:rsidRDefault="00E12CDC" w:rsidP="00E12CDC">
            <w:pPr>
              <w:jc w:val="center"/>
            </w:pPr>
            <w:r>
              <w:t>2.254e-5</w:t>
            </w:r>
          </w:p>
        </w:tc>
        <w:tc>
          <w:tcPr>
            <w:tcW w:w="3006" w:type="dxa"/>
          </w:tcPr>
          <w:p w:rsidR="00E12CDC" w:rsidRDefault="00E12CDC" w:rsidP="00E12CDC">
            <w:pPr>
              <w:jc w:val="center"/>
            </w:pPr>
            <w:r>
              <w:t>Yes</w:t>
            </w:r>
          </w:p>
        </w:tc>
      </w:tr>
      <w:tr w:rsidR="00E12CDC" w:rsidTr="00E12CDC">
        <w:tc>
          <w:tcPr>
            <w:tcW w:w="3005" w:type="dxa"/>
          </w:tcPr>
          <w:p w:rsidR="00E12CDC" w:rsidRDefault="00E12CDC" w:rsidP="00E12CDC">
            <w:pPr>
              <w:jc w:val="center"/>
            </w:pPr>
            <w:r>
              <w:t>Five Year Return</w:t>
            </w:r>
          </w:p>
        </w:tc>
        <w:tc>
          <w:tcPr>
            <w:tcW w:w="3005" w:type="dxa"/>
          </w:tcPr>
          <w:p w:rsidR="00E12CDC" w:rsidRDefault="00E12CDC" w:rsidP="00E12CDC">
            <w:pPr>
              <w:jc w:val="center"/>
            </w:pPr>
            <w:r>
              <w:t>0.006959</w:t>
            </w:r>
          </w:p>
        </w:tc>
        <w:tc>
          <w:tcPr>
            <w:tcW w:w="3006" w:type="dxa"/>
          </w:tcPr>
          <w:p w:rsidR="00E12CDC" w:rsidRDefault="00E12CDC" w:rsidP="00E12CDC">
            <w:pPr>
              <w:jc w:val="center"/>
            </w:pPr>
            <w:r>
              <w:t>Yes</w:t>
            </w:r>
          </w:p>
        </w:tc>
      </w:tr>
    </w:tbl>
    <w:p w:rsidR="00E12CDC" w:rsidRDefault="00E12CDC" w:rsidP="00E12CDC">
      <w:pPr>
        <w:jc w:val="center"/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 xml:space="preserve">.1 </w:t>
      </w:r>
      <w:r>
        <w:rPr>
          <w:rFonts w:cstheme="minorHAnsi"/>
        </w:rPr>
        <w:t>Shapiro-Wilk Test for Normality on numerical variables.</w:t>
      </w:r>
    </w:p>
    <w:p w:rsidR="00E12CDC" w:rsidRDefault="00E12CDC" w:rsidP="00E12CDC">
      <w:pPr>
        <w:rPr>
          <w:rFonts w:cstheme="minorHAnsi"/>
        </w:rPr>
      </w:pPr>
      <w:r>
        <w:rPr>
          <w:rFonts w:cstheme="minorHAnsi"/>
        </w:rPr>
        <w:t>Based on the test results, all three variables follow a normal distribution.</w:t>
      </w:r>
    </w:p>
    <w:p w:rsidR="00E12CDC" w:rsidRDefault="00E12CDC" w:rsidP="00E12CDC">
      <w:pPr>
        <w:pStyle w:val="Heading3"/>
        <w:numPr>
          <w:ilvl w:val="1"/>
          <w:numId w:val="2"/>
        </w:numPr>
      </w:pPr>
      <w:r>
        <w:t>Equal Variances</w:t>
      </w:r>
    </w:p>
    <w:p w:rsidR="00E12CDC" w:rsidRDefault="00E12CDC" w:rsidP="00E12CDC"/>
    <w:p w:rsidR="00E12CDC" w:rsidRDefault="000D1230" w:rsidP="00E12CDC">
      <w:r>
        <w:t xml:space="preserve">The population variances must be equal across the numerical variables for the group levels. </w:t>
      </w:r>
    </w:p>
    <w:p w:rsidR="000D1230" w:rsidRDefault="00AA2436" w:rsidP="00E12CDC">
      <w:r>
        <w:t>Bartlett</w:t>
      </w:r>
      <w:r w:rsidR="000D1230">
        <w:t>’s Test for Equal Variances was used.</w:t>
      </w:r>
      <w:r w:rsidR="00432CA8">
        <w:t xml:space="preserve"> The test is conducted at the 5% significance level.</w:t>
      </w:r>
    </w:p>
    <w:p w:rsidR="000D1230" w:rsidRDefault="000D1230" w:rsidP="00E12CDC">
      <w:r>
        <w:t>The results of the test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2CA8" w:rsidTr="00432CA8">
        <w:tc>
          <w:tcPr>
            <w:tcW w:w="3005" w:type="dxa"/>
          </w:tcPr>
          <w:p w:rsidR="00432CA8" w:rsidRDefault="00432CA8" w:rsidP="00E12CDC"/>
        </w:tc>
        <w:tc>
          <w:tcPr>
            <w:tcW w:w="3005" w:type="dxa"/>
          </w:tcPr>
          <w:p w:rsidR="00432CA8" w:rsidRPr="00432CA8" w:rsidRDefault="00432CA8" w:rsidP="00432CA8">
            <w:pPr>
              <w:jc w:val="center"/>
              <w:rPr>
                <w:b/>
              </w:rPr>
            </w:pPr>
            <w:r w:rsidRPr="00432CA8">
              <w:rPr>
                <w:b/>
              </w:rPr>
              <w:t>Fees</w:t>
            </w:r>
          </w:p>
        </w:tc>
        <w:tc>
          <w:tcPr>
            <w:tcW w:w="3006" w:type="dxa"/>
          </w:tcPr>
          <w:p w:rsidR="00432CA8" w:rsidRPr="00432CA8" w:rsidRDefault="00432CA8" w:rsidP="00432CA8">
            <w:pPr>
              <w:jc w:val="center"/>
              <w:rPr>
                <w:b/>
              </w:rPr>
            </w:pPr>
            <w:r w:rsidRPr="00432CA8">
              <w:rPr>
                <w:b/>
              </w:rPr>
              <w:t>Type</w:t>
            </w:r>
          </w:p>
        </w:tc>
      </w:tr>
      <w:tr w:rsidR="00432CA8" w:rsidTr="00432CA8">
        <w:tc>
          <w:tcPr>
            <w:tcW w:w="3005" w:type="dxa"/>
          </w:tcPr>
          <w:p w:rsidR="00432CA8" w:rsidRPr="00432CA8" w:rsidRDefault="00432CA8" w:rsidP="00432CA8">
            <w:pPr>
              <w:jc w:val="right"/>
              <w:rPr>
                <w:b/>
              </w:rPr>
            </w:pPr>
            <w:r w:rsidRPr="00432CA8">
              <w:rPr>
                <w:b/>
              </w:rPr>
              <w:t>2001 Returns</w:t>
            </w:r>
          </w:p>
        </w:tc>
        <w:tc>
          <w:tcPr>
            <w:tcW w:w="3005" w:type="dxa"/>
          </w:tcPr>
          <w:p w:rsidR="00432CA8" w:rsidRDefault="00432CA8" w:rsidP="00432CA8">
            <w:pPr>
              <w:jc w:val="center"/>
            </w:pPr>
            <w:r>
              <w:t>0.0003516</w:t>
            </w:r>
          </w:p>
        </w:tc>
        <w:tc>
          <w:tcPr>
            <w:tcW w:w="3006" w:type="dxa"/>
          </w:tcPr>
          <w:p w:rsidR="00432CA8" w:rsidRDefault="00432CA8" w:rsidP="00432CA8">
            <w:pPr>
              <w:jc w:val="center"/>
            </w:pPr>
            <w:r>
              <w:t>3.44e-07</w:t>
            </w:r>
          </w:p>
        </w:tc>
      </w:tr>
      <w:tr w:rsidR="00432CA8" w:rsidTr="00432CA8">
        <w:tc>
          <w:tcPr>
            <w:tcW w:w="3005" w:type="dxa"/>
          </w:tcPr>
          <w:p w:rsidR="00432CA8" w:rsidRPr="00432CA8" w:rsidRDefault="00432CA8" w:rsidP="00432CA8">
            <w:pPr>
              <w:jc w:val="right"/>
              <w:rPr>
                <w:b/>
              </w:rPr>
            </w:pPr>
            <w:r w:rsidRPr="00432CA8">
              <w:rPr>
                <w:b/>
              </w:rPr>
              <w:t>Three Year Returns</w:t>
            </w:r>
          </w:p>
        </w:tc>
        <w:tc>
          <w:tcPr>
            <w:tcW w:w="3005" w:type="dxa"/>
          </w:tcPr>
          <w:p w:rsidR="00432CA8" w:rsidRDefault="00432CA8" w:rsidP="00432CA8">
            <w:pPr>
              <w:jc w:val="center"/>
            </w:pPr>
            <w:r>
              <w:t>0.5186</w:t>
            </w:r>
          </w:p>
        </w:tc>
        <w:tc>
          <w:tcPr>
            <w:tcW w:w="3006" w:type="dxa"/>
          </w:tcPr>
          <w:p w:rsidR="00432CA8" w:rsidRDefault="00432CA8" w:rsidP="00432CA8">
            <w:pPr>
              <w:jc w:val="center"/>
            </w:pPr>
            <w:r>
              <w:t>0.0001435</w:t>
            </w:r>
          </w:p>
        </w:tc>
      </w:tr>
      <w:tr w:rsidR="00432CA8" w:rsidTr="00432CA8">
        <w:trPr>
          <w:trHeight w:val="70"/>
        </w:trPr>
        <w:tc>
          <w:tcPr>
            <w:tcW w:w="3005" w:type="dxa"/>
          </w:tcPr>
          <w:p w:rsidR="00432CA8" w:rsidRPr="00432CA8" w:rsidRDefault="00432CA8" w:rsidP="00432CA8">
            <w:pPr>
              <w:jc w:val="right"/>
              <w:rPr>
                <w:b/>
              </w:rPr>
            </w:pPr>
            <w:r w:rsidRPr="00432CA8">
              <w:rPr>
                <w:b/>
              </w:rPr>
              <w:t>Five Year Returns</w:t>
            </w:r>
          </w:p>
        </w:tc>
        <w:tc>
          <w:tcPr>
            <w:tcW w:w="3005" w:type="dxa"/>
          </w:tcPr>
          <w:p w:rsidR="00432CA8" w:rsidRDefault="00432CA8" w:rsidP="00432CA8">
            <w:pPr>
              <w:jc w:val="center"/>
            </w:pPr>
            <w:r>
              <w:t>0.5708</w:t>
            </w:r>
          </w:p>
        </w:tc>
        <w:tc>
          <w:tcPr>
            <w:tcW w:w="3006" w:type="dxa"/>
          </w:tcPr>
          <w:p w:rsidR="00432CA8" w:rsidRDefault="00432CA8" w:rsidP="00432CA8">
            <w:pPr>
              <w:jc w:val="center"/>
            </w:pPr>
            <w:r>
              <w:t>0.0001447</w:t>
            </w:r>
          </w:p>
        </w:tc>
      </w:tr>
    </w:tbl>
    <w:p w:rsidR="00432CA8" w:rsidRDefault="00432CA8" w:rsidP="00432CA8">
      <w:pPr>
        <w:jc w:val="center"/>
        <w:rPr>
          <w:rFonts w:cstheme="minorHAnsi"/>
        </w:rPr>
      </w:pPr>
      <w:r>
        <w:rPr>
          <w:rFonts w:cstheme="minorHAnsi"/>
        </w:rPr>
        <w:t>Table 4</w:t>
      </w:r>
      <w:r w:rsidR="00937300">
        <w:rPr>
          <w:rFonts w:cstheme="minorHAnsi"/>
        </w:rPr>
        <w:t>.2</w:t>
      </w:r>
      <w:r>
        <w:rPr>
          <w:rFonts w:cstheme="minorHAnsi"/>
        </w:rPr>
        <w:t xml:space="preserve"> </w:t>
      </w:r>
      <w:r>
        <w:rPr>
          <w:rFonts w:cstheme="minorHAnsi"/>
        </w:rPr>
        <w:t>Bartlett’s</w:t>
      </w:r>
      <w:r>
        <w:rPr>
          <w:rFonts w:cstheme="minorHAnsi"/>
        </w:rPr>
        <w:t xml:space="preserve"> Test </w:t>
      </w:r>
      <w:r>
        <w:rPr>
          <w:rFonts w:cstheme="minorHAnsi"/>
        </w:rPr>
        <w:t>for Equal Variances</w:t>
      </w:r>
      <w:r>
        <w:rPr>
          <w:rFonts w:cstheme="minorHAnsi"/>
        </w:rPr>
        <w:t>.</w:t>
      </w:r>
    </w:p>
    <w:p w:rsidR="00432CA8" w:rsidRDefault="00432CA8" w:rsidP="00E12CDC"/>
    <w:p w:rsidR="00432CA8" w:rsidRDefault="00432CA8" w:rsidP="00E12CDC"/>
    <w:p w:rsidR="000D1230" w:rsidRDefault="000D1230" w:rsidP="000D1230">
      <w:pPr>
        <w:pStyle w:val="Heading3"/>
        <w:numPr>
          <w:ilvl w:val="1"/>
          <w:numId w:val="2"/>
        </w:numPr>
      </w:pPr>
      <w:r>
        <w:t>Independence and Randomness of Variables</w:t>
      </w:r>
    </w:p>
    <w:p w:rsidR="00041DC0" w:rsidRDefault="00041DC0" w:rsidP="00041DC0"/>
    <w:p w:rsidR="00041DC0" w:rsidRDefault="00041DC0" w:rsidP="00041DC0">
      <w:pPr>
        <w:pStyle w:val="Heading2"/>
        <w:numPr>
          <w:ilvl w:val="0"/>
          <w:numId w:val="2"/>
        </w:numPr>
      </w:pPr>
      <w:r>
        <w:t>Interpretation of Test Results</w:t>
      </w:r>
    </w:p>
    <w:p w:rsidR="00041DC0" w:rsidRDefault="00041DC0" w:rsidP="00041DC0">
      <w:bookmarkStart w:id="0" w:name="_GoBack"/>
      <w:bookmarkEnd w:id="0"/>
    </w:p>
    <w:p w:rsidR="00937300" w:rsidRDefault="00937300" w:rsidP="00041DC0">
      <w:r>
        <w:t>The one-way ANOVA test results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DC0" w:rsidTr="00E3578E">
        <w:tc>
          <w:tcPr>
            <w:tcW w:w="3005" w:type="dxa"/>
          </w:tcPr>
          <w:p w:rsidR="00041DC0" w:rsidRDefault="00041DC0" w:rsidP="00E3578E"/>
        </w:tc>
        <w:tc>
          <w:tcPr>
            <w:tcW w:w="3005" w:type="dxa"/>
          </w:tcPr>
          <w:p w:rsidR="00041DC0" w:rsidRPr="00432CA8" w:rsidRDefault="00041DC0" w:rsidP="00E3578E">
            <w:pPr>
              <w:jc w:val="center"/>
              <w:rPr>
                <w:b/>
              </w:rPr>
            </w:pPr>
            <w:r w:rsidRPr="00432CA8">
              <w:rPr>
                <w:b/>
              </w:rPr>
              <w:t>Fees</w:t>
            </w:r>
          </w:p>
        </w:tc>
        <w:tc>
          <w:tcPr>
            <w:tcW w:w="3006" w:type="dxa"/>
          </w:tcPr>
          <w:p w:rsidR="00041DC0" w:rsidRPr="00432CA8" w:rsidRDefault="00041DC0" w:rsidP="00E3578E">
            <w:pPr>
              <w:jc w:val="center"/>
              <w:rPr>
                <w:b/>
              </w:rPr>
            </w:pPr>
            <w:r w:rsidRPr="00432CA8">
              <w:rPr>
                <w:b/>
              </w:rPr>
              <w:t>Type</w:t>
            </w:r>
          </w:p>
        </w:tc>
      </w:tr>
      <w:tr w:rsidR="00041DC0" w:rsidTr="00E3578E">
        <w:tc>
          <w:tcPr>
            <w:tcW w:w="3005" w:type="dxa"/>
          </w:tcPr>
          <w:p w:rsidR="00041DC0" w:rsidRPr="00432CA8" w:rsidRDefault="00041DC0" w:rsidP="00E3578E">
            <w:pPr>
              <w:jc w:val="right"/>
              <w:rPr>
                <w:b/>
              </w:rPr>
            </w:pPr>
            <w:r w:rsidRPr="00432CA8">
              <w:rPr>
                <w:b/>
              </w:rPr>
              <w:t>2001 Returns</w:t>
            </w:r>
          </w:p>
        </w:tc>
        <w:tc>
          <w:tcPr>
            <w:tcW w:w="3005" w:type="dxa"/>
          </w:tcPr>
          <w:p w:rsidR="00041DC0" w:rsidRDefault="00041DC0" w:rsidP="00E3578E">
            <w:pPr>
              <w:jc w:val="center"/>
            </w:pPr>
            <w:proofErr w:type="gramStart"/>
            <w:r>
              <w:t>F(</w:t>
            </w:r>
            <w:proofErr w:type="gramEnd"/>
            <w:r>
              <w:t>1, 156) = 3.28, p = 0.0721</w:t>
            </w:r>
          </w:p>
        </w:tc>
        <w:tc>
          <w:tcPr>
            <w:tcW w:w="3006" w:type="dxa"/>
          </w:tcPr>
          <w:p w:rsidR="00041DC0" w:rsidRDefault="00937300" w:rsidP="00E3578E">
            <w:pPr>
              <w:jc w:val="center"/>
            </w:pPr>
            <w:proofErr w:type="gramStart"/>
            <w:r>
              <w:t>F(</w:t>
            </w:r>
            <w:proofErr w:type="gramEnd"/>
            <w:r>
              <w:t>2, 155) = 12.57, p = 8.75e-06</w:t>
            </w:r>
          </w:p>
        </w:tc>
      </w:tr>
      <w:tr w:rsidR="00937300" w:rsidTr="00E3578E">
        <w:tc>
          <w:tcPr>
            <w:tcW w:w="3005" w:type="dxa"/>
          </w:tcPr>
          <w:p w:rsidR="00937300" w:rsidRPr="00432CA8" w:rsidRDefault="00937300" w:rsidP="00937300">
            <w:pPr>
              <w:jc w:val="right"/>
              <w:rPr>
                <w:b/>
              </w:rPr>
            </w:pPr>
            <w:r w:rsidRPr="00432CA8">
              <w:rPr>
                <w:b/>
              </w:rPr>
              <w:t>Three Year Returns</w:t>
            </w:r>
          </w:p>
        </w:tc>
        <w:tc>
          <w:tcPr>
            <w:tcW w:w="3005" w:type="dxa"/>
          </w:tcPr>
          <w:p w:rsidR="00937300" w:rsidRDefault="00937300" w:rsidP="00937300">
            <w:pPr>
              <w:jc w:val="center"/>
            </w:pPr>
            <w:proofErr w:type="gramStart"/>
            <w:r>
              <w:t>F(</w:t>
            </w:r>
            <w:proofErr w:type="gramEnd"/>
            <w:r>
              <w:t xml:space="preserve">1, 156) </w:t>
            </w:r>
            <w:r>
              <w:t>= 1.179</w:t>
            </w:r>
            <w:r>
              <w:t xml:space="preserve">, p = </w:t>
            </w:r>
            <w:r>
              <w:t>0.279</w:t>
            </w:r>
          </w:p>
        </w:tc>
        <w:tc>
          <w:tcPr>
            <w:tcW w:w="3006" w:type="dxa"/>
          </w:tcPr>
          <w:p w:rsidR="00937300" w:rsidRDefault="00937300" w:rsidP="00937300">
            <w:pPr>
              <w:jc w:val="center"/>
            </w:pPr>
            <w:proofErr w:type="gramStart"/>
            <w:r>
              <w:t>F(</w:t>
            </w:r>
            <w:proofErr w:type="gramEnd"/>
            <w:r>
              <w:t>2, 155) = 51.99</w:t>
            </w:r>
            <w:r>
              <w:t xml:space="preserve">, p = </w:t>
            </w:r>
            <w:r>
              <w:t>&lt;2e-16</w:t>
            </w:r>
          </w:p>
        </w:tc>
      </w:tr>
      <w:tr w:rsidR="00937300" w:rsidTr="00E3578E">
        <w:trPr>
          <w:trHeight w:val="70"/>
        </w:trPr>
        <w:tc>
          <w:tcPr>
            <w:tcW w:w="3005" w:type="dxa"/>
          </w:tcPr>
          <w:p w:rsidR="00937300" w:rsidRPr="00432CA8" w:rsidRDefault="00937300" w:rsidP="00937300">
            <w:pPr>
              <w:jc w:val="right"/>
              <w:rPr>
                <w:b/>
              </w:rPr>
            </w:pPr>
            <w:r w:rsidRPr="00432CA8">
              <w:rPr>
                <w:b/>
              </w:rPr>
              <w:t>Five Year Returns</w:t>
            </w:r>
          </w:p>
        </w:tc>
        <w:tc>
          <w:tcPr>
            <w:tcW w:w="3005" w:type="dxa"/>
          </w:tcPr>
          <w:p w:rsidR="00937300" w:rsidRDefault="00937300" w:rsidP="00937300">
            <w:pPr>
              <w:jc w:val="center"/>
            </w:pPr>
            <w:proofErr w:type="gramStart"/>
            <w:r>
              <w:t>F(</w:t>
            </w:r>
            <w:proofErr w:type="gramEnd"/>
            <w:r>
              <w:t xml:space="preserve">1, 156) = </w:t>
            </w:r>
            <w:r>
              <w:t>1.987</w:t>
            </w:r>
            <w:r>
              <w:t xml:space="preserve">, p = </w:t>
            </w:r>
            <w:r>
              <w:t>0.161</w:t>
            </w:r>
          </w:p>
        </w:tc>
        <w:tc>
          <w:tcPr>
            <w:tcW w:w="3006" w:type="dxa"/>
          </w:tcPr>
          <w:p w:rsidR="00937300" w:rsidRDefault="00937300" w:rsidP="00937300">
            <w:pPr>
              <w:jc w:val="center"/>
            </w:pPr>
            <w:proofErr w:type="gramStart"/>
            <w:r>
              <w:t>F(</w:t>
            </w:r>
            <w:proofErr w:type="gramEnd"/>
            <w:r>
              <w:t xml:space="preserve">2, 155) = </w:t>
            </w:r>
            <w:r>
              <w:t>3.496</w:t>
            </w:r>
            <w:r>
              <w:t xml:space="preserve">, p = </w:t>
            </w:r>
            <w:r>
              <w:t>0.0327</w:t>
            </w:r>
          </w:p>
        </w:tc>
      </w:tr>
    </w:tbl>
    <w:p w:rsidR="00937300" w:rsidRDefault="00937300" w:rsidP="00937300">
      <w:pPr>
        <w:jc w:val="center"/>
        <w:rPr>
          <w:rFonts w:cstheme="minorHAnsi"/>
        </w:rPr>
      </w:pPr>
      <w:r>
        <w:rPr>
          <w:rFonts w:cstheme="minorHAnsi"/>
        </w:rPr>
        <w:t xml:space="preserve">Table </w:t>
      </w:r>
      <w:r>
        <w:rPr>
          <w:rFonts w:cstheme="minorHAnsi"/>
        </w:rPr>
        <w:t>5</w:t>
      </w:r>
      <w:r>
        <w:rPr>
          <w:rFonts w:cstheme="minorHAnsi"/>
        </w:rPr>
        <w:t xml:space="preserve"> </w:t>
      </w:r>
      <w:r>
        <w:rPr>
          <w:rFonts w:cstheme="minorHAnsi"/>
        </w:rPr>
        <w:t>One-way ANOVA test for Fees and Type against returns.</w:t>
      </w:r>
    </w:p>
    <w:p w:rsidR="00041DC0" w:rsidRPr="00041DC0" w:rsidRDefault="00041DC0" w:rsidP="00041DC0"/>
    <w:p w:rsidR="000D1230" w:rsidRPr="00E12CDC" w:rsidRDefault="000D1230" w:rsidP="00E12CDC"/>
    <w:p w:rsidR="00E12CDC" w:rsidRDefault="00E12CDC" w:rsidP="00E12CDC">
      <w:pPr>
        <w:rPr>
          <w:rFonts w:cstheme="minorHAnsi"/>
        </w:rPr>
      </w:pPr>
    </w:p>
    <w:p w:rsidR="00E12CDC" w:rsidRDefault="00E12CDC" w:rsidP="00BB08C7"/>
    <w:p w:rsidR="00BB08C7" w:rsidRPr="00BB08C7" w:rsidRDefault="00BB08C7" w:rsidP="00BB08C7"/>
    <w:sectPr w:rsidR="00BB08C7" w:rsidRPr="00BB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501"/>
    <w:multiLevelType w:val="multilevel"/>
    <w:tmpl w:val="4A86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6542B"/>
    <w:multiLevelType w:val="multilevel"/>
    <w:tmpl w:val="6E5A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B0508F8"/>
    <w:multiLevelType w:val="multilevel"/>
    <w:tmpl w:val="6E5A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83D46B0"/>
    <w:multiLevelType w:val="multilevel"/>
    <w:tmpl w:val="6E5A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A9C505F"/>
    <w:multiLevelType w:val="hybridMultilevel"/>
    <w:tmpl w:val="7C8A23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97D46"/>
    <w:multiLevelType w:val="hybridMultilevel"/>
    <w:tmpl w:val="DAE666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D5D96"/>
    <w:multiLevelType w:val="hybridMultilevel"/>
    <w:tmpl w:val="C2C48452"/>
    <w:lvl w:ilvl="0" w:tplc="4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DAA58CA"/>
    <w:multiLevelType w:val="hybridMultilevel"/>
    <w:tmpl w:val="204086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F8"/>
    <w:rsid w:val="00041DC0"/>
    <w:rsid w:val="000D1230"/>
    <w:rsid w:val="002460C7"/>
    <w:rsid w:val="00344CD0"/>
    <w:rsid w:val="00432CA8"/>
    <w:rsid w:val="0073120E"/>
    <w:rsid w:val="00736B7A"/>
    <w:rsid w:val="00741FF8"/>
    <w:rsid w:val="00937300"/>
    <w:rsid w:val="00AA2436"/>
    <w:rsid w:val="00BB08C7"/>
    <w:rsid w:val="00CF2880"/>
    <w:rsid w:val="00E1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77B0"/>
  <w15:chartTrackingRefBased/>
  <w15:docId w15:val="{FA4851BD-5C73-475C-A1B2-74147494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1F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1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t">
    <w:name w:val="part"/>
    <w:basedOn w:val="Normal"/>
    <w:rsid w:val="0074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0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Feng Toh</dc:creator>
  <cp:keywords/>
  <dc:description/>
  <cp:lastModifiedBy>Jian Feng Toh</cp:lastModifiedBy>
  <cp:revision>4</cp:revision>
  <dcterms:created xsi:type="dcterms:W3CDTF">2017-04-09T16:07:00Z</dcterms:created>
  <dcterms:modified xsi:type="dcterms:W3CDTF">2017-04-09T18:22:00Z</dcterms:modified>
</cp:coreProperties>
</file>