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2.4 결과</w:t>
      </w:r>
    </w:p>
    <w:p>
      <w:pPr>
        <w:spacing w:after="40"/>
        <w:jc w:val="center"/>
      </w:pPr>
      <w:r>
        <w:rPr>
          <w:b/>
          <w:sz w:val="19"/>
        </w:rPr>
        <w:t>표 1. IoT 벤치마크 카탈로그 스케일링 (qwen3.6-plus, 50건 표본)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18"/>
              </w:rPr>
              <w:t>티어 (도구 수)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18"/>
              </w:rPr>
              <w:t>스키마 길이 비 (native/IR)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18"/>
              </w:rPr>
              <w:t>정확 일치 IR / native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18"/>
              </w:rPr>
              <w:t>입력 토큰 절감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iot_light_5 (5)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1.58×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100 % / 98 %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45.2 %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home_iot_20 (20)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2.69×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100 % / 96 %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62.5 %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smart_home_50 (50)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3.40×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100 % / 98 %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68.5 %</w:t>
            </w:r>
          </w:p>
        </w:tc>
      </w:tr>
    </w:tbl>
    <w:p>
      <w:pPr>
        <w:spacing w:after="40"/>
      </w:pPr>
    </w:p>
    <w:p>
      <w:r>
        <w:rPr>
          <w:b w:val="0"/>
        </w:rPr>
        <w:t>도구 수가 5에서 50으로 늘어날 때 네이티브 스키마는 2,062자에서 15,795자로 증가한 반면 IR 규약은 1,307자에서 4,643자에 그쳤고, 절감률은 카탈로그 크기와 함께 커졌다. 50건 × 5회 반복 측정에서 IR 경로의 p50 지연은 1,388 ms로 네이티브 1,766 ms보다 짧았고 표준편차도 작았다(376 ms vs 498 ms).</w:t>
      </w:r>
    </w:p>
    <w:p>
      <w:pPr>
        <w:spacing w:after="40"/>
        <w:jc w:val="center"/>
      </w:pPr>
      <w:r>
        <w:rPr>
          <w:b/>
          <w:sz w:val="19"/>
        </w:rPr>
        <w:t>표 2. BFCL v4 단일 턴 500건 (AST 일치)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모델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IR 경로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네이티브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문법 유효율 IR / native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입력 토큰 절감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p50 지연 절감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qwen3.6-plus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86.2 %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85.6 %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97.6 % / 81.0 %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53.9 %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25.5 %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qwen3.6-flash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80.8 %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80.4 %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54.7 %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14.9 %</w:t>
            </w:r>
          </w:p>
        </w:tc>
      </w:tr>
    </w:tbl>
    <w:p>
      <w:pPr>
        <w:spacing w:after="40"/>
      </w:pPr>
    </w:p>
    <w:p>
      <w:r>
        <w:rPr>
          <w:b w:val="0"/>
        </w:rPr>
        <w:t>외부 벤치마크에서도 IR 경로는 네이티브와 동등하거나 소폭 앞섰다. 특히 irrelevance 범주는 null-action 규약 도입 후 90.0 %로 네이티브(86.0 %)를 앞섰으며, 문법 유효율의 16.6 %p 차이는 IR이 소형·약한 모델에서 더 안정적인 출력 형식임을 시사한다.</w:t>
      </w:r>
    </w:p>
    <w:p>
      <w:pPr>
        <w:spacing w:after="40"/>
        <w:jc w:val="center"/>
      </w:pPr>
      <w:r>
        <w:rPr>
          <w:b/>
          <w:sz w:val="19"/>
        </w:rPr>
        <w:t>표 3. 소형 모델 팩토리 루프 (Qwen3-0.6B, iot_light_5)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8"/>
              </w:rPr>
              <w:t>문법 유효율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8"/>
              </w:rPr>
              <w:t>정확 일치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미조정 기준선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65.8 %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38.6 %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+ 수리 루프 (재시도 1회)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72.2 %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41.8 %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+ LoRA SFT (합성 데이터, 홀드아웃 70건)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98.6 %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18"/>
              </w:rPr>
              <w:t>97.1 %</w:t>
            </w:r>
          </w:p>
        </w:tc>
      </w:tr>
    </w:tbl>
    <w:p>
      <w:pPr>
        <w:spacing w:after="40"/>
      </w:pPr>
    </w:p>
    <w:p>
      <w:r>
        <w:rPr>
          <w:b w:val="0"/>
        </w:rPr>
        <w:t>미조정 0.6B 모델의 실패는 필수 인자 누락, 미선언 인자, 별칭 미해석 세 유형에 집중되었다. 수리 루프는 문법 오류만 부분적으로 흡수하였고, 실패 분포를 근거로 합성한 학습 데이터로 SFT를 1회 수행하자 대형 모델 수준의 정확도에 도달하였다. 이는 실패 분류 → 데이터 합성 → 학습의 환류가 실제로 닫힌 루프로 작동함을 보여준다.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