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4E5A" w14:textId="0BF1326B" w:rsidR="002946C5" w:rsidRPr="00E55F41" w:rsidRDefault="006B0E5B">
      <w:pPr>
        <w:rPr>
          <w:rFonts w:ascii="Times New Roman" w:hAnsi="Times New Roman" w:cs="Times New Roman"/>
          <w:sz w:val="24"/>
          <w:szCs w:val="24"/>
        </w:rPr>
      </w:pPr>
      <w:r w:rsidRPr="00E55F41">
        <w:rPr>
          <w:rFonts w:ascii="Times New Roman" w:hAnsi="Times New Roman" w:cs="Times New Roman"/>
          <w:sz w:val="24"/>
          <w:szCs w:val="24"/>
        </w:rPr>
        <w:t>Event Table</w:t>
      </w:r>
      <w:r w:rsidR="00E55F41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498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624"/>
        <w:gridCol w:w="753"/>
        <w:gridCol w:w="1231"/>
        <w:gridCol w:w="1984"/>
        <w:gridCol w:w="1418"/>
        <w:gridCol w:w="1276"/>
      </w:tblGrid>
      <w:tr w:rsidR="006F1FB5" w:rsidRPr="006F1FB5" w14:paraId="0B9AB3CF" w14:textId="77777777" w:rsidTr="006F1FB5">
        <w:trPr>
          <w:tblHeader/>
          <w:tblCellSpacing w:w="15" w:type="dxa"/>
        </w:trPr>
        <w:tc>
          <w:tcPr>
            <w:tcW w:w="1167" w:type="dxa"/>
            <w:vAlign w:val="center"/>
            <w:hideMark/>
          </w:tcPr>
          <w:p w14:paraId="3FBD63F1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1594" w:type="dxa"/>
            <w:vAlign w:val="center"/>
            <w:hideMark/>
          </w:tcPr>
          <w:p w14:paraId="5FAFD8CF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723" w:type="dxa"/>
            <w:vAlign w:val="center"/>
            <w:hideMark/>
          </w:tcPr>
          <w:p w14:paraId="781D693E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201" w:type="dxa"/>
            <w:vAlign w:val="center"/>
            <w:hideMark/>
          </w:tcPr>
          <w:p w14:paraId="1B5B6CE2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1954" w:type="dxa"/>
            <w:vAlign w:val="center"/>
            <w:hideMark/>
          </w:tcPr>
          <w:p w14:paraId="1D6CC93C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388" w:type="dxa"/>
            <w:vAlign w:val="center"/>
            <w:hideMark/>
          </w:tcPr>
          <w:p w14:paraId="7170BFF0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231" w:type="dxa"/>
            <w:vAlign w:val="center"/>
            <w:hideMark/>
          </w:tcPr>
          <w:p w14:paraId="0D803C6C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</w:tr>
      <w:tr w:rsidR="006F1FB5" w:rsidRPr="006F1FB5" w14:paraId="7DAF3F22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48F0C4FF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Register Account</w:t>
            </w:r>
          </w:p>
        </w:tc>
        <w:tc>
          <w:tcPr>
            <w:tcW w:w="1594" w:type="dxa"/>
            <w:vAlign w:val="center"/>
            <w:hideMark/>
          </w:tcPr>
          <w:p w14:paraId="57C23856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Submit registration form</w:t>
            </w:r>
          </w:p>
        </w:tc>
        <w:tc>
          <w:tcPr>
            <w:tcW w:w="723" w:type="dxa"/>
            <w:vAlign w:val="center"/>
            <w:hideMark/>
          </w:tcPr>
          <w:p w14:paraId="50F822F1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5A616060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 not registered earlier</w:t>
            </w:r>
          </w:p>
        </w:tc>
        <w:tc>
          <w:tcPr>
            <w:tcW w:w="1954" w:type="dxa"/>
            <w:vAlign w:val="center"/>
            <w:hideMark/>
          </w:tcPr>
          <w:p w14:paraId="64BB2122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Validate user details → Store user in database</w:t>
            </w:r>
          </w:p>
        </w:tc>
        <w:tc>
          <w:tcPr>
            <w:tcW w:w="1388" w:type="dxa"/>
            <w:vAlign w:val="center"/>
            <w:hideMark/>
          </w:tcPr>
          <w:p w14:paraId="79F30285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Account created → Confirmation message</w:t>
            </w:r>
          </w:p>
        </w:tc>
        <w:tc>
          <w:tcPr>
            <w:tcW w:w="1231" w:type="dxa"/>
            <w:vAlign w:val="center"/>
            <w:hideMark/>
          </w:tcPr>
          <w:p w14:paraId="7AB49B1A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Login Page</w:t>
            </w:r>
          </w:p>
        </w:tc>
      </w:tr>
      <w:tr w:rsidR="006F1FB5" w:rsidRPr="006F1FB5" w14:paraId="4E51E977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471603F2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594" w:type="dxa"/>
            <w:vAlign w:val="center"/>
            <w:hideMark/>
          </w:tcPr>
          <w:p w14:paraId="32A239D9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Enter valid email &amp; password</w:t>
            </w:r>
          </w:p>
        </w:tc>
        <w:tc>
          <w:tcPr>
            <w:tcW w:w="723" w:type="dxa"/>
            <w:vAlign w:val="center"/>
            <w:hideMark/>
          </w:tcPr>
          <w:p w14:paraId="149218FE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43D595F9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 exists and credentials are correct</w:t>
            </w:r>
          </w:p>
        </w:tc>
        <w:tc>
          <w:tcPr>
            <w:tcW w:w="1954" w:type="dxa"/>
            <w:vAlign w:val="center"/>
            <w:hideMark/>
          </w:tcPr>
          <w:p w14:paraId="73E75928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Authenticate user → Start session</w:t>
            </w:r>
          </w:p>
        </w:tc>
        <w:tc>
          <w:tcPr>
            <w:tcW w:w="1388" w:type="dxa"/>
            <w:vAlign w:val="center"/>
            <w:hideMark/>
          </w:tcPr>
          <w:p w14:paraId="0D543C5C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 logged in successfully</w:t>
            </w:r>
          </w:p>
        </w:tc>
        <w:tc>
          <w:tcPr>
            <w:tcW w:w="1231" w:type="dxa"/>
            <w:vAlign w:val="center"/>
            <w:hideMark/>
          </w:tcPr>
          <w:p w14:paraId="739C4D64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Home Dashboard</w:t>
            </w:r>
          </w:p>
        </w:tc>
      </w:tr>
      <w:tr w:rsidR="006F1FB5" w:rsidRPr="006F1FB5" w14:paraId="6EC18318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3776690D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View Home Dashboard</w:t>
            </w:r>
          </w:p>
        </w:tc>
        <w:tc>
          <w:tcPr>
            <w:tcW w:w="1594" w:type="dxa"/>
            <w:vAlign w:val="center"/>
            <w:hideMark/>
          </w:tcPr>
          <w:p w14:paraId="54A8E400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Login / Click “Home”</w:t>
            </w:r>
          </w:p>
        </w:tc>
        <w:tc>
          <w:tcPr>
            <w:tcW w:w="723" w:type="dxa"/>
            <w:vAlign w:val="center"/>
            <w:hideMark/>
          </w:tcPr>
          <w:p w14:paraId="6E3FAA64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1B78A8BB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 logged in</w:t>
            </w:r>
          </w:p>
        </w:tc>
        <w:tc>
          <w:tcPr>
            <w:tcW w:w="1954" w:type="dxa"/>
            <w:vAlign w:val="center"/>
            <w:hideMark/>
          </w:tcPr>
          <w:p w14:paraId="7EEDBEB5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 xml:space="preserve">Fetch latest </w:t>
            </w:r>
            <w:proofErr w:type="spellStart"/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FinancialHealthSnapshot</w:t>
            </w:r>
            <w:proofErr w:type="spellEnd"/>
            <w:r w:rsidRPr="006F1FB5">
              <w:rPr>
                <w:rFonts w:ascii="Times New Roman" w:hAnsi="Times New Roman" w:cs="Times New Roman"/>
                <w:sz w:val="24"/>
                <w:szCs w:val="24"/>
              </w:rPr>
              <w:t xml:space="preserve"> + summaries</w:t>
            </w:r>
          </w:p>
        </w:tc>
        <w:tc>
          <w:tcPr>
            <w:tcW w:w="1388" w:type="dxa"/>
            <w:vAlign w:val="center"/>
            <w:hideMark/>
          </w:tcPr>
          <w:p w14:paraId="01BA2F7A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Financial overview displayed</w:t>
            </w:r>
          </w:p>
        </w:tc>
        <w:tc>
          <w:tcPr>
            <w:tcW w:w="1231" w:type="dxa"/>
            <w:vAlign w:val="center"/>
            <w:hideMark/>
          </w:tcPr>
          <w:p w14:paraId="5EBC0966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Home Dashboard</w:t>
            </w:r>
          </w:p>
        </w:tc>
      </w:tr>
      <w:tr w:rsidR="006F1FB5" w:rsidRPr="006F1FB5" w14:paraId="3BBB3A30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10CF15ED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 Financial Health</w:t>
            </w:r>
          </w:p>
        </w:tc>
        <w:tc>
          <w:tcPr>
            <w:tcW w:w="1594" w:type="dxa"/>
            <w:vAlign w:val="center"/>
            <w:hideMark/>
          </w:tcPr>
          <w:p w14:paraId="7388CF48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Click “Update Financial Health”</w:t>
            </w:r>
          </w:p>
        </w:tc>
        <w:tc>
          <w:tcPr>
            <w:tcW w:w="723" w:type="dxa"/>
            <w:vAlign w:val="center"/>
            <w:hideMark/>
          </w:tcPr>
          <w:p w14:paraId="6284E11C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1EBCD500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 logged in</w:t>
            </w:r>
          </w:p>
        </w:tc>
        <w:tc>
          <w:tcPr>
            <w:tcW w:w="1954" w:type="dxa"/>
            <w:vAlign w:val="center"/>
            <w:hideMark/>
          </w:tcPr>
          <w:p w14:paraId="4D443512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 xml:space="preserve">Validate inputs → Create/Update </w:t>
            </w:r>
            <w:proofErr w:type="spellStart"/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FinancialHealthSnapshot</w:t>
            </w:r>
            <w:proofErr w:type="spellEnd"/>
            <w:r w:rsidRPr="006F1FB5">
              <w:rPr>
                <w:rFonts w:ascii="Times New Roman" w:hAnsi="Times New Roman" w:cs="Times New Roman"/>
                <w:sz w:val="24"/>
                <w:szCs w:val="24"/>
              </w:rPr>
              <w:t xml:space="preserve"> → Recalculate metrics</w:t>
            </w:r>
          </w:p>
        </w:tc>
        <w:tc>
          <w:tcPr>
            <w:tcW w:w="1388" w:type="dxa"/>
            <w:vAlign w:val="center"/>
            <w:hideMark/>
          </w:tcPr>
          <w:p w14:paraId="4CB4C5BC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Updated health snapshot &amp; charts</w:t>
            </w:r>
          </w:p>
        </w:tc>
        <w:tc>
          <w:tcPr>
            <w:tcW w:w="1231" w:type="dxa"/>
            <w:vAlign w:val="center"/>
            <w:hideMark/>
          </w:tcPr>
          <w:p w14:paraId="4E12A11A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Home Dashboard</w:t>
            </w:r>
          </w:p>
        </w:tc>
      </w:tr>
      <w:tr w:rsidR="006F1FB5" w:rsidRPr="006F1FB5" w14:paraId="1BE123FF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18B411D1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Open Spending Insights</w:t>
            </w:r>
          </w:p>
        </w:tc>
        <w:tc>
          <w:tcPr>
            <w:tcW w:w="1594" w:type="dxa"/>
            <w:vAlign w:val="center"/>
            <w:hideMark/>
          </w:tcPr>
          <w:p w14:paraId="4F1C3240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Click “View Spending Analysis”</w:t>
            </w:r>
          </w:p>
        </w:tc>
        <w:tc>
          <w:tcPr>
            <w:tcW w:w="723" w:type="dxa"/>
            <w:vAlign w:val="center"/>
            <w:hideMark/>
          </w:tcPr>
          <w:p w14:paraId="07C0AB5A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057A56F8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Expense data exists</w:t>
            </w:r>
          </w:p>
        </w:tc>
        <w:tc>
          <w:tcPr>
            <w:tcW w:w="1954" w:type="dxa"/>
            <w:vAlign w:val="center"/>
            <w:hideMark/>
          </w:tcPr>
          <w:p w14:paraId="41670F35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 xml:space="preserve">Retrieve </w:t>
            </w:r>
            <w:proofErr w:type="spellStart"/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ExpenseSummary</w:t>
            </w:r>
            <w:proofErr w:type="spellEnd"/>
            <w:r w:rsidRPr="006F1FB5">
              <w:rPr>
                <w:rFonts w:ascii="Times New Roman" w:hAnsi="Times New Roman" w:cs="Times New Roman"/>
                <w:sz w:val="24"/>
                <w:szCs w:val="24"/>
              </w:rPr>
              <w:t xml:space="preserve"> → Generate charts</w:t>
            </w:r>
          </w:p>
        </w:tc>
        <w:tc>
          <w:tcPr>
            <w:tcW w:w="1388" w:type="dxa"/>
            <w:vAlign w:val="center"/>
            <w:hideMark/>
          </w:tcPr>
          <w:p w14:paraId="29BF370D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Spending analysis displayed</w:t>
            </w:r>
          </w:p>
        </w:tc>
        <w:tc>
          <w:tcPr>
            <w:tcW w:w="1231" w:type="dxa"/>
            <w:vAlign w:val="center"/>
            <w:hideMark/>
          </w:tcPr>
          <w:p w14:paraId="27AFBC8D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Spending Insights Page</w:t>
            </w:r>
          </w:p>
        </w:tc>
      </w:tr>
      <w:tr w:rsidR="006F1FB5" w:rsidRPr="006F1FB5" w14:paraId="2569DC1B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272EBF03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Edit Category-wise Expenses</w:t>
            </w:r>
          </w:p>
        </w:tc>
        <w:tc>
          <w:tcPr>
            <w:tcW w:w="1594" w:type="dxa"/>
            <w:vAlign w:val="center"/>
            <w:hideMark/>
          </w:tcPr>
          <w:p w14:paraId="4762939B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Click Edit Expense</w:t>
            </w:r>
          </w:p>
        </w:tc>
        <w:tc>
          <w:tcPr>
            <w:tcW w:w="723" w:type="dxa"/>
            <w:vAlign w:val="center"/>
            <w:hideMark/>
          </w:tcPr>
          <w:p w14:paraId="2BC58005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52CD0A12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 logged in</w:t>
            </w:r>
          </w:p>
        </w:tc>
        <w:tc>
          <w:tcPr>
            <w:tcW w:w="1954" w:type="dxa"/>
            <w:vAlign w:val="center"/>
            <w:hideMark/>
          </w:tcPr>
          <w:p w14:paraId="1F082E9B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 xml:space="preserve">Validate update → Update </w:t>
            </w:r>
            <w:proofErr w:type="spellStart"/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ExpenseLog</w:t>
            </w:r>
            <w:proofErr w:type="spellEnd"/>
            <w:r w:rsidRPr="006F1FB5">
              <w:rPr>
                <w:rFonts w:ascii="Times New Roman" w:hAnsi="Times New Roman" w:cs="Times New Roman"/>
                <w:sz w:val="24"/>
                <w:szCs w:val="24"/>
              </w:rPr>
              <w:t xml:space="preserve"> → Refresh summaries</w:t>
            </w:r>
          </w:p>
        </w:tc>
        <w:tc>
          <w:tcPr>
            <w:tcW w:w="1388" w:type="dxa"/>
            <w:vAlign w:val="center"/>
            <w:hideMark/>
          </w:tcPr>
          <w:p w14:paraId="17F0B086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Updated expense analytics</w:t>
            </w:r>
          </w:p>
        </w:tc>
        <w:tc>
          <w:tcPr>
            <w:tcW w:w="1231" w:type="dxa"/>
            <w:vAlign w:val="center"/>
            <w:hideMark/>
          </w:tcPr>
          <w:p w14:paraId="07B0D1B6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Spending Insights Page</w:t>
            </w:r>
          </w:p>
        </w:tc>
      </w:tr>
      <w:tr w:rsidR="006F1FB5" w:rsidRPr="006F1FB5" w14:paraId="103F69DD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692DB8FE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Open Savings &amp; Goals</w:t>
            </w:r>
          </w:p>
        </w:tc>
        <w:tc>
          <w:tcPr>
            <w:tcW w:w="1594" w:type="dxa"/>
            <w:vAlign w:val="center"/>
            <w:hideMark/>
          </w:tcPr>
          <w:p w14:paraId="1A1EE987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Click “Savings &amp; Goals”</w:t>
            </w:r>
          </w:p>
        </w:tc>
        <w:tc>
          <w:tcPr>
            <w:tcW w:w="723" w:type="dxa"/>
            <w:vAlign w:val="center"/>
            <w:hideMark/>
          </w:tcPr>
          <w:p w14:paraId="2EF1A02F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069AF123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Financial snapshot available</w:t>
            </w:r>
          </w:p>
        </w:tc>
        <w:tc>
          <w:tcPr>
            <w:tcW w:w="1954" w:type="dxa"/>
            <w:vAlign w:val="center"/>
            <w:hideMark/>
          </w:tcPr>
          <w:p w14:paraId="012178D3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Calculate savings rate → Emergency fund check</w:t>
            </w:r>
          </w:p>
        </w:tc>
        <w:tc>
          <w:tcPr>
            <w:tcW w:w="1388" w:type="dxa"/>
            <w:vAlign w:val="center"/>
            <w:hideMark/>
          </w:tcPr>
          <w:p w14:paraId="7C24F776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Savings readiness displayed</w:t>
            </w:r>
          </w:p>
        </w:tc>
        <w:tc>
          <w:tcPr>
            <w:tcW w:w="1231" w:type="dxa"/>
            <w:vAlign w:val="center"/>
            <w:hideMark/>
          </w:tcPr>
          <w:p w14:paraId="31366EA4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Savings &amp; Goals Page</w:t>
            </w:r>
          </w:p>
        </w:tc>
      </w:tr>
      <w:tr w:rsidR="006F1FB5" w:rsidRPr="006F1FB5" w14:paraId="1E99083D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6BCD066B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Add / Edit / Delete Savings Goal</w:t>
            </w:r>
          </w:p>
        </w:tc>
        <w:tc>
          <w:tcPr>
            <w:tcW w:w="1594" w:type="dxa"/>
            <w:vAlign w:val="center"/>
            <w:hideMark/>
          </w:tcPr>
          <w:p w14:paraId="337C2D7C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Goal create/update/delete action</w:t>
            </w:r>
          </w:p>
        </w:tc>
        <w:tc>
          <w:tcPr>
            <w:tcW w:w="723" w:type="dxa"/>
            <w:vAlign w:val="center"/>
            <w:hideMark/>
          </w:tcPr>
          <w:p w14:paraId="3DE9B634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49FFBFA8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 logged in</w:t>
            </w:r>
          </w:p>
        </w:tc>
        <w:tc>
          <w:tcPr>
            <w:tcW w:w="1954" w:type="dxa"/>
            <w:vAlign w:val="center"/>
            <w:hideMark/>
          </w:tcPr>
          <w:p w14:paraId="736876E8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 xml:space="preserve">Insert / Update / Delete </w:t>
            </w:r>
            <w:proofErr w:type="spellStart"/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SavingsGoal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09A68B2F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Goal list refreshed</w:t>
            </w:r>
          </w:p>
        </w:tc>
        <w:tc>
          <w:tcPr>
            <w:tcW w:w="1231" w:type="dxa"/>
            <w:vAlign w:val="center"/>
            <w:hideMark/>
          </w:tcPr>
          <w:p w14:paraId="553648F0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Savings &amp; Goals Page</w:t>
            </w:r>
          </w:p>
        </w:tc>
      </w:tr>
      <w:tr w:rsidR="006F1FB5" w:rsidRPr="006F1FB5" w14:paraId="7C7682C9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6FDDD8F6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Open Loans &amp; EMI</w:t>
            </w:r>
          </w:p>
        </w:tc>
        <w:tc>
          <w:tcPr>
            <w:tcW w:w="1594" w:type="dxa"/>
            <w:vAlign w:val="center"/>
            <w:hideMark/>
          </w:tcPr>
          <w:p w14:paraId="2CD9362D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Click “Loans &amp; EMI”</w:t>
            </w:r>
          </w:p>
        </w:tc>
        <w:tc>
          <w:tcPr>
            <w:tcW w:w="723" w:type="dxa"/>
            <w:vAlign w:val="center"/>
            <w:hideMark/>
          </w:tcPr>
          <w:p w14:paraId="240029E7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35543652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 logged in</w:t>
            </w:r>
          </w:p>
        </w:tc>
        <w:tc>
          <w:tcPr>
            <w:tcW w:w="1954" w:type="dxa"/>
            <w:vAlign w:val="center"/>
            <w:hideMark/>
          </w:tcPr>
          <w:p w14:paraId="7AB4B27D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 xml:space="preserve">Load </w:t>
            </w:r>
            <w:proofErr w:type="spellStart"/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EMIRecord</w:t>
            </w:r>
            <w:proofErr w:type="spellEnd"/>
            <w:r w:rsidRPr="006F1FB5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1388" w:type="dxa"/>
            <w:vAlign w:val="center"/>
            <w:hideMark/>
          </w:tcPr>
          <w:p w14:paraId="0130694A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EMI overview displayed</w:t>
            </w:r>
          </w:p>
        </w:tc>
        <w:tc>
          <w:tcPr>
            <w:tcW w:w="1231" w:type="dxa"/>
            <w:vAlign w:val="center"/>
            <w:hideMark/>
          </w:tcPr>
          <w:p w14:paraId="3943E35F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Loans &amp; EMI Page</w:t>
            </w:r>
          </w:p>
        </w:tc>
      </w:tr>
      <w:tr w:rsidR="006F1FB5" w:rsidRPr="006F1FB5" w14:paraId="2D84E214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69844510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Evaluate EMI Affordability</w:t>
            </w:r>
          </w:p>
        </w:tc>
        <w:tc>
          <w:tcPr>
            <w:tcW w:w="1594" w:type="dxa"/>
            <w:vAlign w:val="center"/>
            <w:hideMark/>
          </w:tcPr>
          <w:p w14:paraId="125A7452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Click “Check EMI Safety”</w:t>
            </w:r>
          </w:p>
        </w:tc>
        <w:tc>
          <w:tcPr>
            <w:tcW w:w="723" w:type="dxa"/>
            <w:vAlign w:val="center"/>
            <w:hideMark/>
          </w:tcPr>
          <w:p w14:paraId="332D2AC8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66CF0EF3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Income &amp; EMI data available</w:t>
            </w:r>
          </w:p>
        </w:tc>
        <w:tc>
          <w:tcPr>
            <w:tcW w:w="1954" w:type="dxa"/>
            <w:vAlign w:val="center"/>
            <w:hideMark/>
          </w:tcPr>
          <w:p w14:paraId="307D6761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Calculate EMI ratios → Apply safety rules</w:t>
            </w:r>
          </w:p>
        </w:tc>
        <w:tc>
          <w:tcPr>
            <w:tcW w:w="1388" w:type="dxa"/>
            <w:vAlign w:val="center"/>
            <w:hideMark/>
          </w:tcPr>
          <w:p w14:paraId="55F3CBAE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EMI affordability result shown</w:t>
            </w:r>
          </w:p>
        </w:tc>
        <w:tc>
          <w:tcPr>
            <w:tcW w:w="1231" w:type="dxa"/>
            <w:vAlign w:val="center"/>
            <w:hideMark/>
          </w:tcPr>
          <w:p w14:paraId="04D9AB14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Loans &amp; EMI Page</w:t>
            </w:r>
          </w:p>
        </w:tc>
      </w:tr>
      <w:tr w:rsidR="006F1FB5" w:rsidRPr="006F1FB5" w14:paraId="4BB78CB7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5DE1DB80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EMI Calculator</w:t>
            </w:r>
          </w:p>
        </w:tc>
        <w:tc>
          <w:tcPr>
            <w:tcW w:w="1594" w:type="dxa"/>
            <w:vAlign w:val="center"/>
            <w:hideMark/>
          </w:tcPr>
          <w:p w14:paraId="3CAEAD38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Click “Calculate EMI”</w:t>
            </w:r>
          </w:p>
        </w:tc>
        <w:tc>
          <w:tcPr>
            <w:tcW w:w="723" w:type="dxa"/>
            <w:vAlign w:val="center"/>
            <w:hideMark/>
          </w:tcPr>
          <w:p w14:paraId="14381084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45DE6342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Loan details provided</w:t>
            </w:r>
          </w:p>
        </w:tc>
        <w:tc>
          <w:tcPr>
            <w:tcW w:w="1954" w:type="dxa"/>
            <w:vAlign w:val="center"/>
            <w:hideMark/>
          </w:tcPr>
          <w:p w14:paraId="7F92A381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Apply EMI formula</w:t>
            </w:r>
          </w:p>
        </w:tc>
        <w:tc>
          <w:tcPr>
            <w:tcW w:w="1388" w:type="dxa"/>
            <w:vAlign w:val="center"/>
            <w:hideMark/>
          </w:tcPr>
          <w:p w14:paraId="37978579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EMI estimate displayed</w:t>
            </w:r>
          </w:p>
        </w:tc>
        <w:tc>
          <w:tcPr>
            <w:tcW w:w="1231" w:type="dxa"/>
            <w:vAlign w:val="center"/>
            <w:hideMark/>
          </w:tcPr>
          <w:p w14:paraId="4AE8454E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Loans &amp; EMI Page</w:t>
            </w:r>
          </w:p>
        </w:tc>
      </w:tr>
      <w:tr w:rsidR="006F1FB5" w:rsidRPr="006F1FB5" w14:paraId="7F0D14D1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5B9E17FA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Open Action Plan Dashboard</w:t>
            </w:r>
          </w:p>
        </w:tc>
        <w:tc>
          <w:tcPr>
            <w:tcW w:w="1594" w:type="dxa"/>
            <w:vAlign w:val="center"/>
            <w:hideMark/>
          </w:tcPr>
          <w:p w14:paraId="5B0AC74E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Click “See Action Plan”</w:t>
            </w:r>
          </w:p>
        </w:tc>
        <w:tc>
          <w:tcPr>
            <w:tcW w:w="723" w:type="dxa"/>
            <w:vAlign w:val="center"/>
            <w:hideMark/>
          </w:tcPr>
          <w:p w14:paraId="478CF458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0586BB39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Financial snapshot exists</w:t>
            </w:r>
          </w:p>
        </w:tc>
        <w:tc>
          <w:tcPr>
            <w:tcW w:w="1954" w:type="dxa"/>
            <w:vAlign w:val="center"/>
            <w:hideMark/>
          </w:tcPr>
          <w:p w14:paraId="1CC938B9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Generate recommendations + load what-if module</w:t>
            </w:r>
          </w:p>
        </w:tc>
        <w:tc>
          <w:tcPr>
            <w:tcW w:w="1388" w:type="dxa"/>
            <w:vAlign w:val="center"/>
            <w:hideMark/>
          </w:tcPr>
          <w:p w14:paraId="6E91E1D4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Action plan &amp; what-if visible</w:t>
            </w:r>
          </w:p>
        </w:tc>
        <w:tc>
          <w:tcPr>
            <w:tcW w:w="1231" w:type="dxa"/>
            <w:vAlign w:val="center"/>
            <w:hideMark/>
          </w:tcPr>
          <w:p w14:paraId="6D916CF0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Action Plan &amp; What-If Dashboard</w:t>
            </w:r>
          </w:p>
        </w:tc>
      </w:tr>
      <w:tr w:rsidR="006F1FB5" w:rsidRPr="006F1FB5" w14:paraId="648EA5E0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33E489D7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Perform What-If Analysis</w:t>
            </w:r>
          </w:p>
        </w:tc>
        <w:tc>
          <w:tcPr>
            <w:tcW w:w="1594" w:type="dxa"/>
            <w:vAlign w:val="center"/>
            <w:hideMark/>
          </w:tcPr>
          <w:p w14:paraId="6188D6F1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Update scenario inputs</w:t>
            </w:r>
          </w:p>
        </w:tc>
        <w:tc>
          <w:tcPr>
            <w:tcW w:w="723" w:type="dxa"/>
            <w:vAlign w:val="center"/>
            <w:hideMark/>
          </w:tcPr>
          <w:p w14:paraId="59AAD396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0983FAE3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Modified values provided</w:t>
            </w:r>
          </w:p>
        </w:tc>
        <w:tc>
          <w:tcPr>
            <w:tcW w:w="1954" w:type="dxa"/>
            <w:vAlign w:val="center"/>
            <w:hideMark/>
          </w:tcPr>
          <w:p w14:paraId="273C7E54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Recalculate scenario → Compare outcomes</w:t>
            </w:r>
          </w:p>
        </w:tc>
        <w:tc>
          <w:tcPr>
            <w:tcW w:w="1388" w:type="dxa"/>
            <w:vAlign w:val="center"/>
            <w:hideMark/>
          </w:tcPr>
          <w:p w14:paraId="56C72844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Updated scenario results</w:t>
            </w:r>
          </w:p>
        </w:tc>
        <w:tc>
          <w:tcPr>
            <w:tcW w:w="1231" w:type="dxa"/>
            <w:vAlign w:val="center"/>
            <w:hideMark/>
          </w:tcPr>
          <w:p w14:paraId="3160AB0B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Action Plan &amp; What-If Dashboard</w:t>
            </w:r>
          </w:p>
        </w:tc>
      </w:tr>
      <w:tr w:rsidR="006F1FB5" w:rsidRPr="006F1FB5" w14:paraId="16439A02" w14:textId="77777777" w:rsidTr="006F1FB5">
        <w:trPr>
          <w:tblCellSpacing w:w="15" w:type="dxa"/>
        </w:trPr>
        <w:tc>
          <w:tcPr>
            <w:tcW w:w="1167" w:type="dxa"/>
            <w:vAlign w:val="center"/>
            <w:hideMark/>
          </w:tcPr>
          <w:p w14:paraId="4F7E7D42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1594" w:type="dxa"/>
            <w:vAlign w:val="center"/>
            <w:hideMark/>
          </w:tcPr>
          <w:p w14:paraId="4298229F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Click Logout</w:t>
            </w:r>
          </w:p>
        </w:tc>
        <w:tc>
          <w:tcPr>
            <w:tcW w:w="723" w:type="dxa"/>
            <w:vAlign w:val="center"/>
            <w:hideMark/>
          </w:tcPr>
          <w:p w14:paraId="6174F8D7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201" w:type="dxa"/>
            <w:vAlign w:val="center"/>
            <w:hideMark/>
          </w:tcPr>
          <w:p w14:paraId="5F7B2A18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User logged in</w:t>
            </w:r>
          </w:p>
        </w:tc>
        <w:tc>
          <w:tcPr>
            <w:tcW w:w="1954" w:type="dxa"/>
            <w:vAlign w:val="center"/>
            <w:hideMark/>
          </w:tcPr>
          <w:p w14:paraId="130ABA55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End session</w:t>
            </w:r>
          </w:p>
        </w:tc>
        <w:tc>
          <w:tcPr>
            <w:tcW w:w="1388" w:type="dxa"/>
            <w:vAlign w:val="center"/>
            <w:hideMark/>
          </w:tcPr>
          <w:p w14:paraId="1D9AF9AA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Redirect to login</w:t>
            </w:r>
          </w:p>
        </w:tc>
        <w:tc>
          <w:tcPr>
            <w:tcW w:w="1231" w:type="dxa"/>
            <w:vAlign w:val="center"/>
            <w:hideMark/>
          </w:tcPr>
          <w:p w14:paraId="5D68BDBB" w14:textId="77777777" w:rsidR="006F1FB5" w:rsidRPr="006F1FB5" w:rsidRDefault="006F1FB5" w:rsidP="006F1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FB5">
              <w:rPr>
                <w:rFonts w:ascii="Times New Roman" w:hAnsi="Times New Roman" w:cs="Times New Roman"/>
                <w:sz w:val="24"/>
                <w:szCs w:val="24"/>
              </w:rPr>
              <w:t>Login Page</w:t>
            </w:r>
          </w:p>
        </w:tc>
      </w:tr>
    </w:tbl>
    <w:p w14:paraId="305735A2" w14:textId="77777777" w:rsidR="006B0E5B" w:rsidRPr="006B0E5B" w:rsidRDefault="006B0E5B" w:rsidP="006F1FB5">
      <w:pPr>
        <w:jc w:val="center"/>
        <w:rPr>
          <w:rFonts w:ascii="Times New Roman" w:hAnsi="Times New Roman" w:cs="Times New Roman"/>
        </w:rPr>
      </w:pPr>
    </w:p>
    <w:sectPr w:rsidR="006B0E5B" w:rsidRPr="006B0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112F3"/>
    <w:multiLevelType w:val="hybridMultilevel"/>
    <w:tmpl w:val="579C69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64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5B"/>
    <w:rsid w:val="00051414"/>
    <w:rsid w:val="00210426"/>
    <w:rsid w:val="00211B5C"/>
    <w:rsid w:val="00293EA2"/>
    <w:rsid w:val="002946C5"/>
    <w:rsid w:val="004A77C2"/>
    <w:rsid w:val="00544F51"/>
    <w:rsid w:val="00643992"/>
    <w:rsid w:val="006B0E5B"/>
    <w:rsid w:val="006D221D"/>
    <w:rsid w:val="006F1FB5"/>
    <w:rsid w:val="00A26978"/>
    <w:rsid w:val="00A77E56"/>
    <w:rsid w:val="00AF07C5"/>
    <w:rsid w:val="00E5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4464C"/>
  <w15:chartTrackingRefBased/>
  <w15:docId w15:val="{F6D08DEB-B6CC-4F92-9E6C-377093716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Jagtap</dc:creator>
  <cp:keywords/>
  <dc:description/>
  <cp:lastModifiedBy>Aditi Jagtap</cp:lastModifiedBy>
  <cp:revision>8</cp:revision>
  <dcterms:created xsi:type="dcterms:W3CDTF">2025-12-09T13:10:00Z</dcterms:created>
  <dcterms:modified xsi:type="dcterms:W3CDTF">2026-01-04T13:54:00Z</dcterms:modified>
</cp:coreProperties>
</file>