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4E29" w14:textId="77777777" w:rsid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Financial Behaviour &amp; Persona Analysis Dashboard</w:t>
      </w:r>
    </w:p>
    <w:p w14:paraId="4DD24C91" w14:textId="2BCC6BB9" w:rsidR="00053541" w:rsidRPr="00053541" w:rsidRDefault="00053541" w:rsidP="00763E3A">
      <w:pPr>
        <w:rPr>
          <w:rFonts w:ascii="Times New Roman" w:hAnsi="Times New Roman" w:cs="Times New Roman"/>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Repository: </w:t>
      </w:r>
      <w:hyperlink r:id="rId5" w:history="1">
        <w:r w:rsidRPr="00053541">
          <w:rPr>
            <w:rStyle w:val="Hyperlink"/>
            <w:rFonts w:ascii="Times New Roman" w:hAnsi="Times New Roman" w:cs="Times New Roman"/>
          </w:rPr>
          <w:t>https://github.com/riya-24jagtap/Financial-Behaviour-Dashboard</w:t>
        </w:r>
      </w:hyperlink>
    </w:p>
    <w:p w14:paraId="30E3496C"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Project Overview</w:t>
      </w:r>
    </w:p>
    <w:p w14:paraId="1A847580"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The Financial Behaviour &amp; Persona Analysis Dashboard is an interactive Microsoft Excel dashboard designed to evaluate users' financial health by </w:t>
      </w:r>
      <w:proofErr w:type="spellStart"/>
      <w:r w:rsidRPr="00763E3A">
        <w:rPr>
          <w:rFonts w:ascii="Times New Roman" w:hAnsi="Times New Roman" w:cs="Times New Roman"/>
          <w:sz w:val="24"/>
          <w:szCs w:val="24"/>
        </w:rPr>
        <w:t>analyzing</w:t>
      </w:r>
      <w:proofErr w:type="spellEnd"/>
      <w:r w:rsidRPr="00763E3A">
        <w:rPr>
          <w:rFonts w:ascii="Times New Roman" w:hAnsi="Times New Roman" w:cs="Times New Roman"/>
          <w:sz w:val="24"/>
          <w:szCs w:val="24"/>
        </w:rPr>
        <w:t xml:space="preserve"> income, expenses, savings, and debt obligations. The project transforms raw financial data into meaningful insights through visualizations, KPIs, and persona-based segmentation, enabling users to better understand their financial </w:t>
      </w:r>
      <w:proofErr w:type="spellStart"/>
      <w:r w:rsidRPr="00763E3A">
        <w:rPr>
          <w:rFonts w:ascii="Times New Roman" w:hAnsi="Times New Roman" w:cs="Times New Roman"/>
          <w:sz w:val="24"/>
          <w:szCs w:val="24"/>
        </w:rPr>
        <w:t>behavior</w:t>
      </w:r>
      <w:proofErr w:type="spellEnd"/>
      <w:r w:rsidRPr="00763E3A">
        <w:rPr>
          <w:rFonts w:ascii="Times New Roman" w:hAnsi="Times New Roman" w:cs="Times New Roman"/>
          <w:sz w:val="24"/>
          <w:szCs w:val="24"/>
        </w:rPr>
        <w:t xml:space="preserve"> and make informed financial decisions.</w:t>
      </w:r>
    </w:p>
    <w:p w14:paraId="669C6AFE"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Business Problem</w:t>
      </w:r>
    </w:p>
    <w:p w14:paraId="19C174A8"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Individuals often struggle to assess their financial condition due to scattered financial records and a lack of structured analysis. Without clear visibility into spending patterns, savings performance, and debt burden, it becomes difficult to identify financial risks and opportunities for improvement. This dashboard addresses the challenge by consolidating financial data into a single analytical view and categorizing users based on their financial </w:t>
      </w:r>
      <w:proofErr w:type="spellStart"/>
      <w:r w:rsidRPr="00763E3A">
        <w:rPr>
          <w:rFonts w:ascii="Times New Roman" w:hAnsi="Times New Roman" w:cs="Times New Roman"/>
          <w:sz w:val="24"/>
          <w:szCs w:val="24"/>
        </w:rPr>
        <w:t>behavior</w:t>
      </w:r>
      <w:proofErr w:type="spellEnd"/>
      <w:r w:rsidRPr="00763E3A">
        <w:rPr>
          <w:rFonts w:ascii="Times New Roman" w:hAnsi="Times New Roman" w:cs="Times New Roman"/>
          <w:sz w:val="24"/>
          <w:szCs w:val="24"/>
        </w:rPr>
        <w:t>.</w:t>
      </w:r>
    </w:p>
    <w:p w14:paraId="2DA51777"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Objectives</w:t>
      </w:r>
    </w:p>
    <w:p w14:paraId="3182002E" w14:textId="77777777" w:rsidR="00763E3A" w:rsidRPr="00763E3A" w:rsidRDefault="00763E3A" w:rsidP="00763E3A">
      <w:pPr>
        <w:numPr>
          <w:ilvl w:val="0"/>
          <w:numId w:val="10"/>
        </w:numPr>
        <w:rPr>
          <w:rFonts w:ascii="Times New Roman" w:hAnsi="Times New Roman" w:cs="Times New Roman"/>
          <w:sz w:val="24"/>
          <w:szCs w:val="24"/>
        </w:rPr>
      </w:pPr>
      <w:proofErr w:type="spellStart"/>
      <w:r w:rsidRPr="00763E3A">
        <w:rPr>
          <w:rFonts w:ascii="Times New Roman" w:hAnsi="Times New Roman" w:cs="Times New Roman"/>
          <w:sz w:val="24"/>
          <w:szCs w:val="24"/>
        </w:rPr>
        <w:t>Analyze</w:t>
      </w:r>
      <w:proofErr w:type="spellEnd"/>
      <w:r w:rsidRPr="00763E3A">
        <w:rPr>
          <w:rFonts w:ascii="Times New Roman" w:hAnsi="Times New Roman" w:cs="Times New Roman"/>
          <w:sz w:val="24"/>
          <w:szCs w:val="24"/>
        </w:rPr>
        <w:t xml:space="preserve"> overall financial health and spending habits.</w:t>
      </w:r>
    </w:p>
    <w:p w14:paraId="634DB748" w14:textId="77777777" w:rsidR="00763E3A" w:rsidRPr="00763E3A" w:rsidRDefault="00763E3A" w:rsidP="00763E3A">
      <w:pPr>
        <w:numPr>
          <w:ilvl w:val="0"/>
          <w:numId w:val="10"/>
        </w:numPr>
        <w:rPr>
          <w:rFonts w:ascii="Times New Roman" w:hAnsi="Times New Roman" w:cs="Times New Roman"/>
          <w:sz w:val="24"/>
          <w:szCs w:val="24"/>
        </w:rPr>
      </w:pPr>
      <w:r w:rsidRPr="00763E3A">
        <w:rPr>
          <w:rFonts w:ascii="Times New Roman" w:hAnsi="Times New Roman" w:cs="Times New Roman"/>
          <w:sz w:val="24"/>
          <w:szCs w:val="24"/>
        </w:rPr>
        <w:t>Identify high spenders and low savers.</w:t>
      </w:r>
    </w:p>
    <w:p w14:paraId="377D2571" w14:textId="77777777" w:rsidR="00763E3A" w:rsidRPr="00763E3A" w:rsidRDefault="00763E3A" w:rsidP="00763E3A">
      <w:pPr>
        <w:numPr>
          <w:ilvl w:val="0"/>
          <w:numId w:val="10"/>
        </w:numPr>
        <w:rPr>
          <w:rFonts w:ascii="Times New Roman" w:hAnsi="Times New Roman" w:cs="Times New Roman"/>
          <w:sz w:val="24"/>
          <w:szCs w:val="24"/>
        </w:rPr>
      </w:pPr>
      <w:r w:rsidRPr="00763E3A">
        <w:rPr>
          <w:rFonts w:ascii="Times New Roman" w:hAnsi="Times New Roman" w:cs="Times New Roman"/>
          <w:sz w:val="24"/>
          <w:szCs w:val="24"/>
        </w:rPr>
        <w:t>Evaluate savings performance and net balance.</w:t>
      </w:r>
    </w:p>
    <w:p w14:paraId="5712232F" w14:textId="77777777" w:rsidR="00763E3A" w:rsidRPr="00763E3A" w:rsidRDefault="00763E3A" w:rsidP="00763E3A">
      <w:pPr>
        <w:numPr>
          <w:ilvl w:val="0"/>
          <w:numId w:val="10"/>
        </w:numPr>
        <w:rPr>
          <w:rFonts w:ascii="Times New Roman" w:hAnsi="Times New Roman" w:cs="Times New Roman"/>
          <w:sz w:val="24"/>
          <w:szCs w:val="24"/>
        </w:rPr>
      </w:pPr>
      <w:r w:rsidRPr="00763E3A">
        <w:rPr>
          <w:rFonts w:ascii="Times New Roman" w:hAnsi="Times New Roman" w:cs="Times New Roman"/>
          <w:sz w:val="24"/>
          <w:szCs w:val="24"/>
        </w:rPr>
        <w:t>Measure debt burden through EMI ratio analysis.</w:t>
      </w:r>
    </w:p>
    <w:p w14:paraId="6DDCB8AF" w14:textId="77777777" w:rsidR="00763E3A" w:rsidRPr="00763E3A" w:rsidRDefault="00763E3A" w:rsidP="00763E3A">
      <w:pPr>
        <w:numPr>
          <w:ilvl w:val="0"/>
          <w:numId w:val="10"/>
        </w:numPr>
        <w:rPr>
          <w:rFonts w:ascii="Times New Roman" w:hAnsi="Times New Roman" w:cs="Times New Roman"/>
          <w:sz w:val="24"/>
          <w:szCs w:val="24"/>
        </w:rPr>
      </w:pPr>
      <w:r w:rsidRPr="00763E3A">
        <w:rPr>
          <w:rFonts w:ascii="Times New Roman" w:hAnsi="Times New Roman" w:cs="Times New Roman"/>
          <w:sz w:val="24"/>
          <w:szCs w:val="24"/>
        </w:rPr>
        <w:t>Segment users into meaningful financial personas.</w:t>
      </w:r>
    </w:p>
    <w:p w14:paraId="47A60005" w14:textId="77777777" w:rsidR="00763E3A" w:rsidRPr="00763E3A" w:rsidRDefault="00763E3A" w:rsidP="00763E3A">
      <w:pPr>
        <w:numPr>
          <w:ilvl w:val="0"/>
          <w:numId w:val="10"/>
        </w:numPr>
        <w:rPr>
          <w:rFonts w:ascii="Times New Roman" w:hAnsi="Times New Roman" w:cs="Times New Roman"/>
          <w:sz w:val="24"/>
          <w:szCs w:val="24"/>
        </w:rPr>
      </w:pPr>
      <w:r w:rsidRPr="00763E3A">
        <w:rPr>
          <w:rFonts w:ascii="Times New Roman" w:hAnsi="Times New Roman" w:cs="Times New Roman"/>
          <w:sz w:val="24"/>
          <w:szCs w:val="24"/>
        </w:rPr>
        <w:t>Support data-driven financial planning and decision-making.</w:t>
      </w:r>
    </w:p>
    <w:p w14:paraId="465B8FC4"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Dashboard Highlights</w:t>
      </w:r>
    </w:p>
    <w:p w14:paraId="41A724C6"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The dashboard </w:t>
      </w:r>
      <w:proofErr w:type="spellStart"/>
      <w:r w:rsidRPr="00763E3A">
        <w:rPr>
          <w:rFonts w:ascii="Times New Roman" w:hAnsi="Times New Roman" w:cs="Times New Roman"/>
          <w:sz w:val="24"/>
          <w:szCs w:val="24"/>
        </w:rPr>
        <w:t>analyzes</w:t>
      </w:r>
      <w:proofErr w:type="spellEnd"/>
      <w:r w:rsidRPr="00763E3A">
        <w:rPr>
          <w:rFonts w:ascii="Times New Roman" w:hAnsi="Times New Roman" w:cs="Times New Roman"/>
          <w:sz w:val="24"/>
          <w:szCs w:val="24"/>
        </w:rPr>
        <w:t xml:space="preserve"> data from </w:t>
      </w:r>
      <w:r w:rsidRPr="00763E3A">
        <w:rPr>
          <w:rFonts w:ascii="Times New Roman" w:hAnsi="Times New Roman" w:cs="Times New Roman"/>
          <w:b/>
          <w:bCs/>
          <w:sz w:val="24"/>
          <w:szCs w:val="24"/>
        </w:rPr>
        <w:t>567 users</w:t>
      </w:r>
      <w:r w:rsidRPr="00763E3A">
        <w:rPr>
          <w:rFonts w:ascii="Times New Roman" w:hAnsi="Times New Roman" w:cs="Times New Roman"/>
          <w:sz w:val="24"/>
          <w:szCs w:val="24"/>
        </w:rPr>
        <w:t xml:space="preserve"> and presents key financial indicators, including:</w:t>
      </w:r>
    </w:p>
    <w:p w14:paraId="443AA036" w14:textId="77777777" w:rsidR="00763E3A" w:rsidRPr="00763E3A" w:rsidRDefault="00763E3A" w:rsidP="00763E3A">
      <w:pPr>
        <w:numPr>
          <w:ilvl w:val="0"/>
          <w:numId w:val="11"/>
        </w:numPr>
        <w:rPr>
          <w:rFonts w:ascii="Times New Roman" w:hAnsi="Times New Roman" w:cs="Times New Roman"/>
          <w:sz w:val="24"/>
          <w:szCs w:val="24"/>
        </w:rPr>
      </w:pPr>
      <w:r w:rsidRPr="00763E3A">
        <w:rPr>
          <w:rFonts w:ascii="Times New Roman" w:hAnsi="Times New Roman" w:cs="Times New Roman"/>
          <w:b/>
          <w:bCs/>
          <w:sz w:val="24"/>
          <w:szCs w:val="24"/>
        </w:rPr>
        <w:t>244 High Spenders</w:t>
      </w:r>
    </w:p>
    <w:p w14:paraId="1821211E" w14:textId="77777777" w:rsidR="00763E3A" w:rsidRPr="00763E3A" w:rsidRDefault="00763E3A" w:rsidP="00763E3A">
      <w:pPr>
        <w:numPr>
          <w:ilvl w:val="0"/>
          <w:numId w:val="11"/>
        </w:numPr>
        <w:rPr>
          <w:rFonts w:ascii="Times New Roman" w:hAnsi="Times New Roman" w:cs="Times New Roman"/>
          <w:sz w:val="24"/>
          <w:szCs w:val="24"/>
        </w:rPr>
      </w:pPr>
      <w:r w:rsidRPr="00763E3A">
        <w:rPr>
          <w:rFonts w:ascii="Times New Roman" w:hAnsi="Times New Roman" w:cs="Times New Roman"/>
          <w:b/>
          <w:bCs/>
          <w:sz w:val="24"/>
          <w:szCs w:val="24"/>
        </w:rPr>
        <w:t>287 Low Savers</w:t>
      </w:r>
    </w:p>
    <w:p w14:paraId="4A004C25" w14:textId="77777777" w:rsidR="00763E3A" w:rsidRPr="00763E3A" w:rsidRDefault="00763E3A" w:rsidP="00763E3A">
      <w:pPr>
        <w:numPr>
          <w:ilvl w:val="0"/>
          <w:numId w:val="11"/>
        </w:numPr>
        <w:rPr>
          <w:rFonts w:ascii="Times New Roman" w:hAnsi="Times New Roman" w:cs="Times New Roman"/>
          <w:sz w:val="24"/>
          <w:szCs w:val="24"/>
        </w:rPr>
      </w:pPr>
      <w:r w:rsidRPr="00763E3A">
        <w:rPr>
          <w:rFonts w:ascii="Times New Roman" w:hAnsi="Times New Roman" w:cs="Times New Roman"/>
          <w:b/>
          <w:bCs/>
          <w:sz w:val="24"/>
          <w:szCs w:val="24"/>
        </w:rPr>
        <w:t>Average Net Balance:</w:t>
      </w:r>
      <w:r w:rsidRPr="00763E3A">
        <w:rPr>
          <w:rFonts w:ascii="Times New Roman" w:hAnsi="Times New Roman" w:cs="Times New Roman"/>
          <w:sz w:val="24"/>
          <w:szCs w:val="24"/>
        </w:rPr>
        <w:t xml:space="preserve"> ₹11,767</w:t>
      </w:r>
    </w:p>
    <w:p w14:paraId="087615E4" w14:textId="77777777" w:rsidR="00763E3A" w:rsidRPr="00763E3A" w:rsidRDefault="00763E3A" w:rsidP="00763E3A">
      <w:pPr>
        <w:numPr>
          <w:ilvl w:val="0"/>
          <w:numId w:val="11"/>
        </w:numPr>
        <w:rPr>
          <w:rFonts w:ascii="Times New Roman" w:hAnsi="Times New Roman" w:cs="Times New Roman"/>
          <w:sz w:val="24"/>
          <w:szCs w:val="24"/>
        </w:rPr>
      </w:pPr>
      <w:r w:rsidRPr="00763E3A">
        <w:rPr>
          <w:rFonts w:ascii="Times New Roman" w:hAnsi="Times New Roman" w:cs="Times New Roman"/>
          <w:b/>
          <w:bCs/>
          <w:sz w:val="24"/>
          <w:szCs w:val="24"/>
        </w:rPr>
        <w:t>Average Saving Rate:</w:t>
      </w:r>
      <w:r w:rsidRPr="00763E3A">
        <w:rPr>
          <w:rFonts w:ascii="Times New Roman" w:hAnsi="Times New Roman" w:cs="Times New Roman"/>
          <w:sz w:val="24"/>
          <w:szCs w:val="24"/>
        </w:rPr>
        <w:t xml:space="preserve"> 21.04%</w:t>
      </w:r>
    </w:p>
    <w:p w14:paraId="35327544"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Users are classified into three personas:</w:t>
      </w:r>
    </w:p>
    <w:p w14:paraId="6BC97656" w14:textId="77777777" w:rsidR="00763E3A" w:rsidRPr="00763E3A" w:rsidRDefault="00763E3A" w:rsidP="00763E3A">
      <w:pPr>
        <w:numPr>
          <w:ilvl w:val="0"/>
          <w:numId w:val="12"/>
        </w:numPr>
        <w:rPr>
          <w:rFonts w:ascii="Times New Roman" w:hAnsi="Times New Roman" w:cs="Times New Roman"/>
          <w:sz w:val="24"/>
          <w:szCs w:val="24"/>
        </w:rPr>
      </w:pPr>
      <w:r w:rsidRPr="00763E3A">
        <w:rPr>
          <w:rFonts w:ascii="Times New Roman" w:hAnsi="Times New Roman" w:cs="Times New Roman"/>
          <w:b/>
          <w:bCs/>
          <w:sz w:val="24"/>
          <w:szCs w:val="24"/>
        </w:rPr>
        <w:t>Financially Stable</w:t>
      </w:r>
    </w:p>
    <w:p w14:paraId="2ACDA9C5" w14:textId="77777777" w:rsidR="00763E3A" w:rsidRPr="00763E3A" w:rsidRDefault="00763E3A" w:rsidP="00763E3A">
      <w:pPr>
        <w:numPr>
          <w:ilvl w:val="0"/>
          <w:numId w:val="12"/>
        </w:numPr>
        <w:rPr>
          <w:rFonts w:ascii="Times New Roman" w:hAnsi="Times New Roman" w:cs="Times New Roman"/>
          <w:sz w:val="24"/>
          <w:szCs w:val="24"/>
        </w:rPr>
      </w:pPr>
      <w:r w:rsidRPr="00763E3A">
        <w:rPr>
          <w:rFonts w:ascii="Times New Roman" w:hAnsi="Times New Roman" w:cs="Times New Roman"/>
          <w:b/>
          <w:bCs/>
          <w:sz w:val="24"/>
          <w:szCs w:val="24"/>
        </w:rPr>
        <w:t>Financially Moderate</w:t>
      </w:r>
    </w:p>
    <w:p w14:paraId="2EF6AD07" w14:textId="77777777" w:rsidR="00763E3A" w:rsidRPr="00763E3A" w:rsidRDefault="00763E3A" w:rsidP="00763E3A">
      <w:pPr>
        <w:numPr>
          <w:ilvl w:val="0"/>
          <w:numId w:val="12"/>
        </w:numPr>
        <w:rPr>
          <w:rFonts w:ascii="Times New Roman" w:hAnsi="Times New Roman" w:cs="Times New Roman"/>
          <w:sz w:val="24"/>
          <w:szCs w:val="24"/>
        </w:rPr>
      </w:pPr>
      <w:r w:rsidRPr="00763E3A">
        <w:rPr>
          <w:rFonts w:ascii="Times New Roman" w:hAnsi="Times New Roman" w:cs="Times New Roman"/>
          <w:b/>
          <w:bCs/>
          <w:sz w:val="24"/>
          <w:szCs w:val="24"/>
        </w:rPr>
        <w:t>Financially Stressed</w:t>
      </w:r>
    </w:p>
    <w:p w14:paraId="4858C3CD"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The dashboard further </w:t>
      </w:r>
      <w:proofErr w:type="spellStart"/>
      <w:r w:rsidRPr="00763E3A">
        <w:rPr>
          <w:rFonts w:ascii="Times New Roman" w:hAnsi="Times New Roman" w:cs="Times New Roman"/>
          <w:sz w:val="24"/>
          <w:szCs w:val="24"/>
        </w:rPr>
        <w:t>analyzes</w:t>
      </w:r>
      <w:proofErr w:type="spellEnd"/>
      <w:r w:rsidRPr="00763E3A">
        <w:rPr>
          <w:rFonts w:ascii="Times New Roman" w:hAnsi="Times New Roman" w:cs="Times New Roman"/>
          <w:sz w:val="24"/>
          <w:szCs w:val="24"/>
        </w:rPr>
        <w:t xml:space="preserve"> spending </w:t>
      </w:r>
      <w:proofErr w:type="spellStart"/>
      <w:r w:rsidRPr="00763E3A">
        <w:rPr>
          <w:rFonts w:ascii="Times New Roman" w:hAnsi="Times New Roman" w:cs="Times New Roman"/>
          <w:sz w:val="24"/>
          <w:szCs w:val="24"/>
        </w:rPr>
        <w:t>behavior</w:t>
      </w:r>
      <w:proofErr w:type="spellEnd"/>
      <w:r w:rsidRPr="00763E3A">
        <w:rPr>
          <w:rFonts w:ascii="Times New Roman" w:hAnsi="Times New Roman" w:cs="Times New Roman"/>
          <w:sz w:val="24"/>
          <w:szCs w:val="24"/>
        </w:rPr>
        <w:t xml:space="preserve">, savings performance, net balance, income distribution, and EMI burden. Category-wise expenditure analysis covers rent, groceries, </w:t>
      </w:r>
      <w:r w:rsidRPr="00763E3A">
        <w:rPr>
          <w:rFonts w:ascii="Times New Roman" w:hAnsi="Times New Roman" w:cs="Times New Roman"/>
          <w:sz w:val="24"/>
          <w:szCs w:val="24"/>
        </w:rPr>
        <w:lastRenderedPageBreak/>
        <w:t>utilities, dining, shopping, healthcare, education, transportation, entertainment, and loan repayments, helping identify major spending drivers.</w:t>
      </w:r>
    </w:p>
    <w:p w14:paraId="105C7CA5"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Tools and Techniques Used</w:t>
      </w:r>
    </w:p>
    <w:p w14:paraId="4726925E"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b/>
          <w:bCs/>
          <w:sz w:val="24"/>
          <w:szCs w:val="24"/>
        </w:rPr>
        <w:t>Software:</w:t>
      </w:r>
      <w:r w:rsidRPr="00763E3A">
        <w:rPr>
          <w:rFonts w:ascii="Times New Roman" w:hAnsi="Times New Roman" w:cs="Times New Roman"/>
          <w:sz w:val="24"/>
          <w:szCs w:val="24"/>
        </w:rPr>
        <w:t xml:space="preserve"> Microsoft Excel</w:t>
      </w:r>
    </w:p>
    <w:p w14:paraId="2DCA047B"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b/>
          <w:bCs/>
          <w:sz w:val="24"/>
          <w:szCs w:val="24"/>
        </w:rPr>
        <w:t>Excel Features:</w:t>
      </w:r>
    </w:p>
    <w:p w14:paraId="3A1A9E7A"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Pivot Tables</w:t>
      </w:r>
    </w:p>
    <w:p w14:paraId="2A3E8636"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Pivot Charts</w:t>
      </w:r>
    </w:p>
    <w:p w14:paraId="3BAFA1EE"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Slicers</w:t>
      </w:r>
    </w:p>
    <w:p w14:paraId="5BE3F8E8"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Conditional Formatting</w:t>
      </w:r>
    </w:p>
    <w:p w14:paraId="53D0C721"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KPI Calculations</w:t>
      </w:r>
    </w:p>
    <w:p w14:paraId="0B741795"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Interactive Dashboard Design</w:t>
      </w:r>
    </w:p>
    <w:p w14:paraId="7FB95364" w14:textId="77777777" w:rsidR="00763E3A" w:rsidRPr="00763E3A" w:rsidRDefault="00763E3A" w:rsidP="00763E3A">
      <w:pPr>
        <w:numPr>
          <w:ilvl w:val="0"/>
          <w:numId w:val="13"/>
        </w:numPr>
        <w:rPr>
          <w:rFonts w:ascii="Times New Roman" w:hAnsi="Times New Roman" w:cs="Times New Roman"/>
          <w:sz w:val="24"/>
          <w:szCs w:val="24"/>
        </w:rPr>
      </w:pPr>
      <w:r w:rsidRPr="00763E3A">
        <w:rPr>
          <w:rFonts w:ascii="Times New Roman" w:hAnsi="Times New Roman" w:cs="Times New Roman"/>
          <w:sz w:val="24"/>
          <w:szCs w:val="24"/>
        </w:rPr>
        <w:t>Data Cleaning and Transformation</w:t>
      </w:r>
    </w:p>
    <w:p w14:paraId="03C1203D"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b/>
          <w:bCs/>
          <w:sz w:val="24"/>
          <w:szCs w:val="24"/>
        </w:rPr>
        <w:t>Analytical Techniques:</w:t>
      </w:r>
    </w:p>
    <w:p w14:paraId="22FE6FD8" w14:textId="77777777" w:rsidR="00763E3A" w:rsidRPr="00763E3A" w:rsidRDefault="00763E3A" w:rsidP="00763E3A">
      <w:pPr>
        <w:numPr>
          <w:ilvl w:val="0"/>
          <w:numId w:val="14"/>
        </w:numPr>
        <w:rPr>
          <w:rFonts w:ascii="Times New Roman" w:hAnsi="Times New Roman" w:cs="Times New Roman"/>
          <w:sz w:val="24"/>
          <w:szCs w:val="24"/>
        </w:rPr>
      </w:pPr>
      <w:r w:rsidRPr="00763E3A">
        <w:rPr>
          <w:rFonts w:ascii="Times New Roman" w:hAnsi="Times New Roman" w:cs="Times New Roman"/>
          <w:sz w:val="24"/>
          <w:szCs w:val="24"/>
        </w:rPr>
        <w:t>Financial Segmentation</w:t>
      </w:r>
    </w:p>
    <w:p w14:paraId="16158757" w14:textId="77777777" w:rsidR="00763E3A" w:rsidRPr="00763E3A" w:rsidRDefault="00763E3A" w:rsidP="00763E3A">
      <w:pPr>
        <w:numPr>
          <w:ilvl w:val="0"/>
          <w:numId w:val="14"/>
        </w:numPr>
        <w:rPr>
          <w:rFonts w:ascii="Times New Roman" w:hAnsi="Times New Roman" w:cs="Times New Roman"/>
          <w:sz w:val="24"/>
          <w:szCs w:val="24"/>
        </w:rPr>
      </w:pPr>
      <w:r w:rsidRPr="00763E3A">
        <w:rPr>
          <w:rFonts w:ascii="Times New Roman" w:hAnsi="Times New Roman" w:cs="Times New Roman"/>
          <w:sz w:val="24"/>
          <w:szCs w:val="24"/>
        </w:rPr>
        <w:t>Descriptive Analytics</w:t>
      </w:r>
    </w:p>
    <w:p w14:paraId="52F5CE39" w14:textId="77777777" w:rsidR="00763E3A" w:rsidRPr="00763E3A" w:rsidRDefault="00763E3A" w:rsidP="00763E3A">
      <w:pPr>
        <w:numPr>
          <w:ilvl w:val="0"/>
          <w:numId w:val="14"/>
        </w:numPr>
        <w:rPr>
          <w:rFonts w:ascii="Times New Roman" w:hAnsi="Times New Roman" w:cs="Times New Roman"/>
          <w:sz w:val="24"/>
          <w:szCs w:val="24"/>
        </w:rPr>
      </w:pPr>
      <w:r w:rsidRPr="00763E3A">
        <w:rPr>
          <w:rFonts w:ascii="Times New Roman" w:hAnsi="Times New Roman" w:cs="Times New Roman"/>
          <w:sz w:val="24"/>
          <w:szCs w:val="24"/>
        </w:rPr>
        <w:t>KPI Analysis</w:t>
      </w:r>
    </w:p>
    <w:p w14:paraId="3AF554B2" w14:textId="77777777" w:rsidR="00763E3A" w:rsidRPr="00763E3A" w:rsidRDefault="00763E3A" w:rsidP="00763E3A">
      <w:pPr>
        <w:numPr>
          <w:ilvl w:val="0"/>
          <w:numId w:val="14"/>
        </w:numPr>
        <w:rPr>
          <w:rFonts w:ascii="Times New Roman" w:hAnsi="Times New Roman" w:cs="Times New Roman"/>
          <w:sz w:val="24"/>
          <w:szCs w:val="24"/>
        </w:rPr>
      </w:pPr>
      <w:r w:rsidRPr="00763E3A">
        <w:rPr>
          <w:rFonts w:ascii="Times New Roman" w:hAnsi="Times New Roman" w:cs="Times New Roman"/>
          <w:sz w:val="24"/>
          <w:szCs w:val="24"/>
        </w:rPr>
        <w:t>Spending Pattern Analysis</w:t>
      </w:r>
    </w:p>
    <w:p w14:paraId="70BF1165" w14:textId="77777777" w:rsidR="00763E3A" w:rsidRPr="00763E3A" w:rsidRDefault="00763E3A" w:rsidP="00763E3A">
      <w:pPr>
        <w:numPr>
          <w:ilvl w:val="0"/>
          <w:numId w:val="14"/>
        </w:numPr>
        <w:rPr>
          <w:rFonts w:ascii="Times New Roman" w:hAnsi="Times New Roman" w:cs="Times New Roman"/>
          <w:sz w:val="24"/>
          <w:szCs w:val="24"/>
        </w:rPr>
      </w:pPr>
      <w:r w:rsidRPr="00763E3A">
        <w:rPr>
          <w:rFonts w:ascii="Times New Roman" w:hAnsi="Times New Roman" w:cs="Times New Roman"/>
          <w:sz w:val="24"/>
          <w:szCs w:val="24"/>
        </w:rPr>
        <w:t>Financial Health Assessment</w:t>
      </w:r>
    </w:p>
    <w:p w14:paraId="6D0B3CA2"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Key Insights</w:t>
      </w:r>
    </w:p>
    <w:p w14:paraId="6322173F"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The analysis revealed that most users belong to the </w:t>
      </w:r>
      <w:r w:rsidRPr="00763E3A">
        <w:rPr>
          <w:rFonts w:ascii="Times New Roman" w:hAnsi="Times New Roman" w:cs="Times New Roman"/>
          <w:b/>
          <w:bCs/>
          <w:sz w:val="24"/>
          <w:szCs w:val="24"/>
        </w:rPr>
        <w:t>Financially Moderate</w:t>
      </w:r>
      <w:r w:rsidRPr="00763E3A">
        <w:rPr>
          <w:rFonts w:ascii="Times New Roman" w:hAnsi="Times New Roman" w:cs="Times New Roman"/>
          <w:sz w:val="24"/>
          <w:szCs w:val="24"/>
        </w:rPr>
        <w:t xml:space="preserve"> category, while a significant percentage are </w:t>
      </w:r>
      <w:r w:rsidRPr="00763E3A">
        <w:rPr>
          <w:rFonts w:ascii="Times New Roman" w:hAnsi="Times New Roman" w:cs="Times New Roman"/>
          <w:b/>
          <w:bCs/>
          <w:sz w:val="24"/>
          <w:szCs w:val="24"/>
        </w:rPr>
        <w:t>Financially Stressed</w:t>
      </w:r>
      <w:r w:rsidRPr="00763E3A">
        <w:rPr>
          <w:rFonts w:ascii="Times New Roman" w:hAnsi="Times New Roman" w:cs="Times New Roman"/>
          <w:sz w:val="24"/>
          <w:szCs w:val="24"/>
        </w:rPr>
        <w:t xml:space="preserve"> due to lower savings and higher EMI commitments. Financially Stable users demonstrated stronger net balances, higher salaries, lower debt burden, and better saving habits. The findings highlight excessive spending and debt obligations as key contributors to financial stress.</w:t>
      </w:r>
    </w:p>
    <w:p w14:paraId="2DE2CA98" w14:textId="77777777" w:rsidR="00763E3A" w:rsidRPr="00763E3A" w:rsidRDefault="00763E3A" w:rsidP="00763E3A">
      <w:pPr>
        <w:rPr>
          <w:rFonts w:ascii="Times New Roman" w:hAnsi="Times New Roman" w:cs="Times New Roman"/>
          <w:b/>
          <w:bCs/>
          <w:sz w:val="24"/>
          <w:szCs w:val="24"/>
        </w:rPr>
      </w:pPr>
      <w:r w:rsidRPr="00763E3A">
        <w:rPr>
          <w:rFonts w:ascii="Times New Roman" w:hAnsi="Times New Roman" w:cs="Times New Roman"/>
          <w:b/>
          <w:bCs/>
          <w:sz w:val="24"/>
          <w:szCs w:val="24"/>
        </w:rPr>
        <w:t>Project Outcome</w:t>
      </w:r>
    </w:p>
    <w:p w14:paraId="7082E29C" w14:textId="77777777" w:rsidR="00763E3A" w:rsidRPr="00763E3A" w:rsidRDefault="00763E3A" w:rsidP="00763E3A">
      <w:pPr>
        <w:rPr>
          <w:rFonts w:ascii="Times New Roman" w:hAnsi="Times New Roman" w:cs="Times New Roman"/>
          <w:sz w:val="24"/>
          <w:szCs w:val="24"/>
        </w:rPr>
      </w:pPr>
      <w:r w:rsidRPr="00763E3A">
        <w:rPr>
          <w:rFonts w:ascii="Times New Roman" w:hAnsi="Times New Roman" w:cs="Times New Roman"/>
          <w:sz w:val="24"/>
          <w:szCs w:val="24"/>
        </w:rPr>
        <w:t xml:space="preserve">The Financial Behaviour &amp; Persona Analysis Dashboard successfully converts complex financial data into actionable insights through interactive visualizations and KPI-driven reporting. The project demonstrates skills in data cleaning, financial analysis, dashboard development, and data storytelling using Microsoft Excel. The dashboard can assist individuals, financial planners, and organizations in understanding financial </w:t>
      </w:r>
      <w:proofErr w:type="spellStart"/>
      <w:r w:rsidRPr="00763E3A">
        <w:rPr>
          <w:rFonts w:ascii="Times New Roman" w:hAnsi="Times New Roman" w:cs="Times New Roman"/>
          <w:sz w:val="24"/>
          <w:szCs w:val="24"/>
        </w:rPr>
        <w:t>behavior</w:t>
      </w:r>
      <w:proofErr w:type="spellEnd"/>
      <w:r w:rsidRPr="00763E3A">
        <w:rPr>
          <w:rFonts w:ascii="Times New Roman" w:hAnsi="Times New Roman" w:cs="Times New Roman"/>
          <w:sz w:val="24"/>
          <w:szCs w:val="24"/>
        </w:rPr>
        <w:t>, identifying risk patterns, and supporting informed financial decision-making.</w:t>
      </w:r>
    </w:p>
    <w:p w14:paraId="7A96A687" w14:textId="77777777" w:rsidR="002946C5" w:rsidRPr="00763E3A" w:rsidRDefault="002946C5">
      <w:pPr>
        <w:rPr>
          <w:rFonts w:ascii="Times New Roman" w:hAnsi="Times New Roman" w:cs="Times New Roman"/>
          <w:sz w:val="24"/>
          <w:szCs w:val="24"/>
        </w:rPr>
      </w:pPr>
    </w:p>
    <w:sectPr w:rsidR="002946C5" w:rsidRPr="00763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B4E46"/>
    <w:multiLevelType w:val="multilevel"/>
    <w:tmpl w:val="3E7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E55A3"/>
    <w:multiLevelType w:val="multilevel"/>
    <w:tmpl w:val="4A5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2889"/>
    <w:multiLevelType w:val="multilevel"/>
    <w:tmpl w:val="900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D5D90"/>
    <w:multiLevelType w:val="multilevel"/>
    <w:tmpl w:val="676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D7708"/>
    <w:multiLevelType w:val="multilevel"/>
    <w:tmpl w:val="788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97964"/>
    <w:multiLevelType w:val="multilevel"/>
    <w:tmpl w:val="9D6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14412"/>
    <w:multiLevelType w:val="multilevel"/>
    <w:tmpl w:val="3FF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208B6"/>
    <w:multiLevelType w:val="multilevel"/>
    <w:tmpl w:val="97F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62C48"/>
    <w:multiLevelType w:val="multilevel"/>
    <w:tmpl w:val="F26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222E1"/>
    <w:multiLevelType w:val="multilevel"/>
    <w:tmpl w:val="777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82FC2"/>
    <w:multiLevelType w:val="multilevel"/>
    <w:tmpl w:val="B30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7049A"/>
    <w:multiLevelType w:val="multilevel"/>
    <w:tmpl w:val="666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80A74"/>
    <w:multiLevelType w:val="multilevel"/>
    <w:tmpl w:val="868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C3458"/>
    <w:multiLevelType w:val="multilevel"/>
    <w:tmpl w:val="A69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873911">
    <w:abstractNumId w:val="10"/>
  </w:num>
  <w:num w:numId="2" w16cid:durableId="424962699">
    <w:abstractNumId w:val="9"/>
  </w:num>
  <w:num w:numId="3" w16cid:durableId="1371027393">
    <w:abstractNumId w:val="4"/>
  </w:num>
  <w:num w:numId="4" w16cid:durableId="2079741678">
    <w:abstractNumId w:val="3"/>
  </w:num>
  <w:num w:numId="5" w16cid:durableId="1513226274">
    <w:abstractNumId w:val="6"/>
  </w:num>
  <w:num w:numId="6" w16cid:durableId="1721397690">
    <w:abstractNumId w:val="7"/>
  </w:num>
  <w:num w:numId="7" w16cid:durableId="1319772679">
    <w:abstractNumId w:val="5"/>
  </w:num>
  <w:num w:numId="8" w16cid:durableId="537671136">
    <w:abstractNumId w:val="1"/>
  </w:num>
  <w:num w:numId="9" w16cid:durableId="1940410962">
    <w:abstractNumId w:val="0"/>
  </w:num>
  <w:num w:numId="10" w16cid:durableId="284628833">
    <w:abstractNumId w:val="13"/>
  </w:num>
  <w:num w:numId="11" w16cid:durableId="466971836">
    <w:abstractNumId w:val="2"/>
  </w:num>
  <w:num w:numId="12" w16cid:durableId="1379747283">
    <w:abstractNumId w:val="8"/>
  </w:num>
  <w:num w:numId="13" w16cid:durableId="1271476166">
    <w:abstractNumId w:val="11"/>
  </w:num>
  <w:num w:numId="14" w16cid:durableId="494956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3A"/>
    <w:rsid w:val="00053541"/>
    <w:rsid w:val="00210426"/>
    <w:rsid w:val="00211B5C"/>
    <w:rsid w:val="002946C5"/>
    <w:rsid w:val="00544F51"/>
    <w:rsid w:val="00710254"/>
    <w:rsid w:val="00763E3A"/>
    <w:rsid w:val="00BB53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3ACD"/>
  <w15:chartTrackingRefBased/>
  <w15:docId w15:val="{E1134915-EC38-422E-8A26-C47578154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E3A"/>
    <w:rPr>
      <w:rFonts w:eastAsiaTheme="majorEastAsia" w:cstheme="majorBidi"/>
      <w:color w:val="272727" w:themeColor="text1" w:themeTint="D8"/>
    </w:rPr>
  </w:style>
  <w:style w:type="paragraph" w:styleId="Title">
    <w:name w:val="Title"/>
    <w:basedOn w:val="Normal"/>
    <w:next w:val="Normal"/>
    <w:link w:val="TitleChar"/>
    <w:uiPriority w:val="10"/>
    <w:qFormat/>
    <w:rsid w:val="0076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E3A"/>
    <w:pPr>
      <w:spacing w:before="160"/>
      <w:jc w:val="center"/>
    </w:pPr>
    <w:rPr>
      <w:i/>
      <w:iCs/>
      <w:color w:val="404040" w:themeColor="text1" w:themeTint="BF"/>
    </w:rPr>
  </w:style>
  <w:style w:type="character" w:customStyle="1" w:styleId="QuoteChar">
    <w:name w:val="Quote Char"/>
    <w:basedOn w:val="DefaultParagraphFont"/>
    <w:link w:val="Quote"/>
    <w:uiPriority w:val="29"/>
    <w:rsid w:val="00763E3A"/>
    <w:rPr>
      <w:i/>
      <w:iCs/>
      <w:color w:val="404040" w:themeColor="text1" w:themeTint="BF"/>
    </w:rPr>
  </w:style>
  <w:style w:type="paragraph" w:styleId="ListParagraph">
    <w:name w:val="List Paragraph"/>
    <w:basedOn w:val="Normal"/>
    <w:uiPriority w:val="34"/>
    <w:qFormat/>
    <w:rsid w:val="00763E3A"/>
    <w:pPr>
      <w:ind w:left="720"/>
      <w:contextualSpacing/>
    </w:pPr>
  </w:style>
  <w:style w:type="character" w:styleId="IntenseEmphasis">
    <w:name w:val="Intense Emphasis"/>
    <w:basedOn w:val="DefaultParagraphFont"/>
    <w:uiPriority w:val="21"/>
    <w:qFormat/>
    <w:rsid w:val="00763E3A"/>
    <w:rPr>
      <w:i/>
      <w:iCs/>
      <w:color w:val="2F5496" w:themeColor="accent1" w:themeShade="BF"/>
    </w:rPr>
  </w:style>
  <w:style w:type="paragraph" w:styleId="IntenseQuote">
    <w:name w:val="Intense Quote"/>
    <w:basedOn w:val="Normal"/>
    <w:next w:val="Normal"/>
    <w:link w:val="IntenseQuoteChar"/>
    <w:uiPriority w:val="30"/>
    <w:qFormat/>
    <w:rsid w:val="00763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E3A"/>
    <w:rPr>
      <w:i/>
      <w:iCs/>
      <w:color w:val="2F5496" w:themeColor="accent1" w:themeShade="BF"/>
    </w:rPr>
  </w:style>
  <w:style w:type="character" w:styleId="IntenseReference">
    <w:name w:val="Intense Reference"/>
    <w:basedOn w:val="DefaultParagraphFont"/>
    <w:uiPriority w:val="32"/>
    <w:qFormat/>
    <w:rsid w:val="00763E3A"/>
    <w:rPr>
      <w:b/>
      <w:bCs/>
      <w:smallCaps/>
      <w:color w:val="2F5496" w:themeColor="accent1" w:themeShade="BF"/>
      <w:spacing w:val="5"/>
    </w:rPr>
  </w:style>
  <w:style w:type="character" w:styleId="Hyperlink">
    <w:name w:val="Hyperlink"/>
    <w:basedOn w:val="DefaultParagraphFont"/>
    <w:uiPriority w:val="99"/>
    <w:unhideWhenUsed/>
    <w:rsid w:val="00053541"/>
    <w:rPr>
      <w:color w:val="0563C1" w:themeColor="hyperlink"/>
      <w:u w:val="single"/>
    </w:rPr>
  </w:style>
  <w:style w:type="character" w:styleId="UnresolvedMention">
    <w:name w:val="Unresolved Mention"/>
    <w:basedOn w:val="DefaultParagraphFont"/>
    <w:uiPriority w:val="99"/>
    <w:semiHidden/>
    <w:unhideWhenUsed/>
    <w:rsid w:val="00053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ya-24jagtap/Financial-Behaviour-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2</cp:revision>
  <dcterms:created xsi:type="dcterms:W3CDTF">2026-06-17T19:41:00Z</dcterms:created>
  <dcterms:modified xsi:type="dcterms:W3CDTF">2026-06-17T20:01:00Z</dcterms:modified>
</cp:coreProperties>
</file>