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52"/>
          <w:szCs w:val="52"/>
        </w:rPr>
        <w:t xml:space="preserve">AI Marketing Assistant for Startup Founders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E86AB"/>
          <w:sz w:val="32"/>
          <w:szCs w:val="32"/>
        </w:rPr>
        <w:t xml:space="preserve">20-Day Execution Roadmap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C6B73"/>
          <w:sz w:val="22"/>
          <w:szCs w:val="22"/>
        </w:rPr>
        <w:t xml:space="preserve">Incubation Internship Project</w:t>
      </w:r>
    </w:p>
    <w:p/>
    <w:p/>
    <w:p/>
    <w:p/>
    <w:p/>
    <w:p/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2A3A"/>
          <w:sz w:val="20"/>
          <w:szCs w:val="20"/>
        </w:rPr>
        <w:t xml:space="preserve">Prepared by:  </w:t>
      </w:r>
      <w:r>
        <w:rPr>
          <w:rFonts w:ascii="Calibri" w:cs="Calibri" w:eastAsia="Calibri" w:hAnsi="Calibri"/>
          <w:color w:val="1B2A3A"/>
          <w:sz w:val="20"/>
          <w:szCs w:val="20"/>
        </w:rPr>
        <w:t xml:space="preserve">Riya Shende &amp; Team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2A3A"/>
          <w:sz w:val="20"/>
          <w:szCs w:val="20"/>
        </w:rPr>
        <w:t xml:space="preserve">Version:  </w:t>
      </w:r>
      <w:r>
        <w:rPr>
          <w:rFonts w:ascii="Calibri" w:cs="Calibri" w:eastAsia="Calibri" w:hAnsi="Calibri"/>
          <w:color w:val="1B2A3A"/>
          <w:sz w:val="20"/>
          <w:szCs w:val="20"/>
        </w:rPr>
        <w:t xml:space="preserve">1.0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2A3A"/>
          <w:sz w:val="20"/>
          <w:szCs w:val="20"/>
        </w:rPr>
        <w:t xml:space="preserve">Date:  </w:t>
      </w:r>
      <w:r>
        <w:rPr>
          <w:rFonts w:ascii="Calibri" w:cs="Calibri" w:eastAsia="Calibri" w:hAnsi="Calibri"/>
          <w:color w:val="1B2A3A"/>
          <w:sz w:val="20"/>
          <w:szCs w:val="20"/>
        </w:rPr>
        <w:t xml:space="preserve">August 2, 2026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2A3A"/>
          <w:sz w:val="20"/>
          <w:szCs w:val="20"/>
        </w:rPr>
        <w:t xml:space="preserve">Team size:  </w:t>
      </w:r>
      <w:r>
        <w:rPr>
          <w:rFonts w:ascii="Calibri" w:cs="Calibri" w:eastAsia="Calibri" w:hAnsi="Calibri"/>
          <w:color w:val="1B2A3A"/>
          <w:sz w:val="20"/>
          <w:szCs w:val="20"/>
        </w:rPr>
        <w:t xml:space="preserve">2–3 members</w:t>
      </w:r>
    </w:p>
    <w:p>
      <w:r>
        <w:br w:type="page"/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3A5C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1. Scope Summary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This roadmap targets a working, demoable MVP in 20 days. It deliberately defers the highest-risk, highest-effort item — multi-provider video generation — to Phase 2, so the team spends the sprint on the core loop that proves the product's value: talk to the assistant once, get on-brand content repeatedly. Full detail on what is and isn't in Phase 1 is in the SRS, Section 5.</w:t>
      </w:r>
    </w:p>
    <w:tbl>
      <w:tblPr>
        <w:tblW w:type="dxa" w:w="9350"/>
        <w:tblBorders>
          <w:top w:val="single" w:color="C9D6DE" w:sz="4"/>
          <w:left w:val="single" w:color="C9D6DE" w:sz="4"/>
          <w:bottom w:val="single" w:color="C9D6DE" w:sz="4"/>
          <w:right w:val="single" w:color="C9D6DE" w:sz="4"/>
          <w:insideH w:val="single" w:color="C9D6DE" w:sz="4"/>
          <w:insideV w:val="single" w:color="C9D6DE" w:sz="4"/>
        </w:tblBorders>
      </w:tblPr>
      <w:tblGrid>
        <w:gridCol w:w="4700"/>
        <w:gridCol w:w="4650"/>
      </w:tblGrid>
      <w:tr>
        <w:trPr>
          <w:tblHeader/>
        </w:trPr>
        <w:tc>
          <w:tcPr>
            <w:tcW w:type="dxa" w:w="4700"/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Ships in 20 days (Phase 1)</w:t>
            </w:r>
          </w:p>
        </w:tc>
        <w:tc>
          <w:tcPr>
            <w:tcW w:type="dxa" w:w="4650"/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Deferred (Phase 2)</w:t>
            </w:r>
          </w:p>
        </w:tc>
      </w:tr>
      <w:tr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Auth, DB schema, Interview → Brand → Strategy → Generation → Review agents, campaign history, working frontend for all of it</w:t>
            </w:r>
          </w:p>
        </w:tc>
        <w:tc>
          <w:tcPr>
            <w:tcW w:type="dxa" w:w="4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Video Generation Agent, multi-provider comparison, analytics, content scheduling</w:t>
            </w:r>
          </w:p>
        </w:tc>
      </w:tr>
    </w:tbl>
    <w:p>
      <w:pPr>
        <w:pStyle w:val="Heading1"/>
        <w:pBdr>
          <w:bottom w:val="single" w:color="1B3A5C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2. Team Structure and Role Split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The workstreams below are designed to flex whether the team is 2 or 3 people. With 3, each workstream has a clear owner. With 2, combine Data/Infra &amp; QA into whichever of the other two roles has more slack that week — don't leave it fully unowned, since auth/schema setup blocks everything else.</w:t>
      </w:r>
    </w:p>
    <w:tbl>
      <w:tblPr>
        <w:tblW w:type="dxa" w:w="9350"/>
        <w:tblBorders>
          <w:top w:val="single" w:color="C9D6DE" w:sz="4"/>
          <w:left w:val="single" w:color="C9D6DE" w:sz="4"/>
          <w:bottom w:val="single" w:color="C9D6DE" w:sz="4"/>
          <w:right w:val="single" w:color="C9D6DE" w:sz="4"/>
          <w:insideH w:val="single" w:color="C9D6DE" w:sz="4"/>
          <w:insideV w:val="single" w:color="C9D6DE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dxa" w:w="6850"/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Frontend &amp; UX</w:t>
            </w:r>
          </w:p>
        </w:tc>
        <w:tc>
          <w:tcPr>
            <w:tcW w:type="dxa" w:w="68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Next.js screens, Tailwind styling, wiring to the API, all of Section 3 in the UI/UX Design Document</w:t>
            </w:r>
          </w:p>
        </w:tc>
      </w:tr>
      <w:tr>
        <w:tc>
          <w:tcPr>
            <w:tcW w:type="dxa" w:w="250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Backend &amp; Agents</w:t>
            </w:r>
          </w:p>
        </w:tc>
        <w:tc>
          <w:tcPr>
            <w:tcW w:type="dxa" w:w="685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FastAPI endpoints, all six Phase-1 agents and their prompts, LLM provider wrapper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Data/Infra &amp; QA</w:t>
            </w:r>
          </w:p>
        </w:tc>
        <w:tc>
          <w:tcPr>
            <w:tcW w:type="dxa" w:w="68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Supabase project setup, DB schema/migrations, RLS policies, deployment, end-to-end testing</w:t>
            </w:r>
          </w:p>
        </w:tc>
      </w:tr>
    </w:tbl>
    <w:p>
      <w:pPr>
        <w:pStyle w:val="Heading1"/>
        <w:pBdr>
          <w:bottom w:val="single" w:color="1B3A5C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3. 20-Day Timeline</w:t>
      </w:r>
    </w:p>
    <w:p>
      <w:pPr>
        <w:spacing w:after="200" w:before="100"/>
        <w:jc w:val="center"/>
      </w:pPr>
      <w:r>
        <w:drawing>
          <wp:inline distT="0" distB="0" distL="0" distR="0">
            <wp:extent cx="59436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C6B73"/>
          <w:sz w:val="18"/>
          <w:szCs w:val="18"/>
        </w:rPr>
        <w:t xml:space="preserve">Figure 1: Workstream timeline across the 20-day sprint. Dashed week markers fall on Day 1, Day 8, and Day 15.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AB"/>
          <w:sz w:val="25"/>
          <w:szCs w:val="25"/>
        </w:rPr>
        <w:t xml:space="preserve">Week 1 (Days 1–7) — Foundation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Finalise this documentation set with the mentor; lock the Phase 1/2 scope line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Provision Supabase project; implement Auth and the core DB schema (Section 4 of the Database Design Document)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Build the Interview Agent and Brand Intelligence Agent prompts and endpoints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In parallel, build the Login, Sign Up, and Interview Chat screens against a mocked API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AB"/>
          <w:sz w:val="25"/>
          <w:szCs w:val="25"/>
        </w:rPr>
        <w:t xml:space="preserve">Week 2 (Days 8–14) — Core Loop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Build Content Strategy and Content Generation agents; connect to a real LLM provider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Build the Brand Profile Summary and Content Dashboard screens against the real API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Start the Review &amp; Optimisation Agent once generation output is stable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AB"/>
          <w:sz w:val="25"/>
          <w:szCs w:val="25"/>
        </w:rPr>
        <w:t xml:space="preserve">Week 3 (Days 15–20) — Integration, Testing, Polish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Finish History &amp; Campaign storage and the History screen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Full end-to-end integration across all screens and agents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Testing pass and bug fixing against the Definition of Done (Section 6)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Polish, prepare the demo script, and finalise documentation for submission</w:t>
      </w:r>
    </w:p>
    <w:p>
      <w:pPr>
        <w:pStyle w:val="Heading1"/>
        <w:pBdr>
          <w:bottom w:val="single" w:color="1B3A5C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4. Milestones and Deliverables</w:t>
      </w:r>
    </w:p>
    <w:tbl>
      <w:tblPr>
        <w:tblW w:type="dxa" w:w="9400"/>
        <w:tblBorders>
          <w:top w:val="single" w:color="C9D6DE" w:sz="4"/>
          <w:left w:val="single" w:color="C9D6DE" w:sz="4"/>
          <w:bottom w:val="single" w:color="C9D6DE" w:sz="4"/>
          <w:right w:val="single" w:color="C9D6DE" w:sz="4"/>
          <w:insideH w:val="single" w:color="C9D6DE" w:sz="4"/>
          <w:insideV w:val="single" w:color="C9D6DE" w:sz="4"/>
        </w:tblBorders>
      </w:tblPr>
      <w:tblGrid>
        <w:gridCol w:w="1400"/>
        <w:gridCol w:w="8000"/>
      </w:tblGrid>
      <w:tr>
        <w:trPr>
          <w:tblHeader/>
        </w:trPr>
        <w:tc>
          <w:tcPr>
            <w:tcW w:type="dxa" w:w="1400"/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8000"/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Day 2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Supabase Auth + schema live; team aligned with mentor on locked scope</w:t>
            </w:r>
          </w:p>
        </w:tc>
      </w:tr>
      <w:tr>
        <w:tc>
          <w:tcPr>
            <w:tcW w:type="dxa" w:w="140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Day 6</w:t>
            </w:r>
          </w:p>
        </w:tc>
        <w:tc>
          <w:tcPr>
            <w:tcW w:type="dxa" w:w="800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Interview → Brand Profile flow works end-to-end for one test founder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Day 10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Content generation returns 3–5 on-brand variations for a real request</w:t>
            </w:r>
          </w:p>
        </w:tc>
      </w:tr>
      <w:tr>
        <w:tc>
          <w:tcPr>
            <w:tcW w:type="dxa" w:w="140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Day 13</w:t>
            </w:r>
          </w:p>
        </w:tc>
        <w:tc>
          <w:tcPr>
            <w:tcW w:type="dxa" w:w="800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Review &amp; Optimisation Agent flags at least grammar and brand-consistency issues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Day 15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Campaign history stores and displays finalised content</w:t>
            </w:r>
          </w:p>
        </w:tc>
      </w:tr>
      <w:tr>
        <w:tc>
          <w:tcPr>
            <w:tcW w:type="dxa" w:w="140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Day 18</w:t>
            </w:r>
          </w:p>
        </w:tc>
        <w:tc>
          <w:tcPr>
            <w:tcW w:type="dxa" w:w="800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Full user journey (signup → interview → content → history) works without manual intervention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Day 20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Demo-ready build, walkthrough script, and documentation finalised</w:t>
            </w:r>
          </w:p>
        </w:tc>
      </w:tr>
    </w:tbl>
    <w:p>
      <w:pPr>
        <w:pStyle w:val="Heading1"/>
        <w:pBdr>
          <w:bottom w:val="single" w:color="1B3A5C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5. Risk Register</w:t>
      </w:r>
    </w:p>
    <w:tbl>
      <w:tblPr>
        <w:tblW w:type="dxa" w:w="9400"/>
        <w:tblBorders>
          <w:top w:val="single" w:color="C9D6DE" w:sz="4"/>
          <w:left w:val="single" w:color="C9D6DE" w:sz="4"/>
          <w:bottom w:val="single" w:color="C9D6DE" w:sz="4"/>
          <w:right w:val="single" w:color="C9D6DE" w:sz="4"/>
          <w:insideH w:val="single" w:color="C9D6DE" w:sz="4"/>
          <w:insideV w:val="single" w:color="C9D6DE" w:sz="4"/>
        </w:tblBorders>
      </w:tblPr>
      <w:tblGrid>
        <w:gridCol w:w="2550"/>
        <w:gridCol w:w="1350"/>
        <w:gridCol w:w="1150"/>
        <w:gridCol w:w="4350"/>
      </w:tblGrid>
      <w:tr>
        <w:trPr>
          <w:tblHeader/>
        </w:trPr>
        <w:tc>
          <w:tcPr>
            <w:tcW w:type="dxa" w:w="2550"/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350"/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150"/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350"/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5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LLM API cost/rate limits slow testing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Medium</w:t>
            </w:r>
          </w:p>
        </w:tc>
        <w:tc>
          <w:tcPr>
            <w:tcW w:type="dxa" w:w="1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Medium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Start on a free/open-source model via NVIDIA NIM; add basic request throttling early</w:t>
            </w:r>
          </w:p>
        </w:tc>
      </w:tr>
      <w:tr>
        <w:tc>
          <w:tcPr>
            <w:tcW w:type="dxa" w:w="255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Video generation scope creep</w:t>
            </w:r>
          </w:p>
        </w:tc>
        <w:tc>
          <w:tcPr>
            <w:tcW w:type="dxa" w:w="135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High</w:t>
            </w:r>
          </w:p>
        </w:tc>
        <w:tc>
          <w:tcPr>
            <w:tcW w:type="dxa" w:w="435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Explicitly deferred to Phase 2 in this roadmap; do not start it before Day 18 even if ahead of schedule</w:t>
            </w:r>
          </w:p>
        </w:tc>
      </w:tr>
      <w:tr>
        <w:tc>
          <w:tcPr>
            <w:tcW w:type="dxa" w:w="25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Integration slips because frontend and backend built in parallel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Medium</w:t>
            </w:r>
          </w:p>
        </w:tc>
        <w:tc>
          <w:tcPr>
            <w:tcW w:type="dxa" w:w="1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Medium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Agree on API contracts (Section 8 of the System Architecture Document) before Week 1 ends; use a mocked API on the frontend until endpoints are live</w:t>
            </w:r>
          </w:p>
        </w:tc>
      </w:tr>
      <w:tr>
        <w:tc>
          <w:tcPr>
            <w:tcW w:type="dxa" w:w="255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A teammate becomes unavailable mid-sprint</w:t>
            </w:r>
          </w:p>
        </w:tc>
        <w:tc>
          <w:tcPr>
            <w:tcW w:type="dxa" w:w="135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Low–Medium</w:t>
            </w:r>
          </w:p>
        </w:tc>
        <w:tc>
          <w:tcPr>
            <w:tcW w:type="dxa" w:w="115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High</w:t>
            </w:r>
          </w:p>
        </w:tc>
        <w:tc>
          <w:tcPr>
            <w:tcW w:type="dxa" w:w="4350"/>
            <w:shd w:fill="F7F9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Keep workstream ownership documented (Section 2) so another teammate can pick up context quickly</w:t>
            </w:r>
          </w:p>
        </w:tc>
      </w:tr>
      <w:tr>
        <w:tc>
          <w:tcPr>
            <w:tcW w:type="dxa" w:w="25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Generated content drifts from the Brand Profile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Medium</w:t>
            </w:r>
          </w:p>
        </w:tc>
        <w:tc>
          <w:tcPr>
            <w:tcW w:type="dxa" w:w="1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Medium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A"/>
                <w:sz w:val="19"/>
                <w:szCs w:val="19"/>
              </w:rPr>
              <w:t xml:space="preserve">Review &amp; Optimisation Agent explicitly checks brand-consistency (FR-REV-2); spot-check outputs during Week 2</w:t>
            </w:r>
          </w:p>
        </w:tc>
      </w:tr>
    </w:tbl>
    <w:p>
      <w:pPr>
        <w:pStyle w:val="Heading1"/>
        <w:pBdr>
          <w:bottom w:val="single" w:color="1B3A5C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6. Definition of Done / Demo Success Criteria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By Day 20, the demo should show, without any manual database edits or hard-coded fixtures: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A new founder signs up and completes the conversational interview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A Brand Profile is generated, edited, and confirmed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A content request returns 3–5 genuinely different variations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A selected variation passes through the Review &amp; Optimisation Agent and is saved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The founder can see it afterward in Campaign History and download/copy it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B2A3A"/>
          <w:sz w:val="21"/>
          <w:szCs w:val="21"/>
        </w:rPr>
        <w:t xml:space="preserve">The whole loop can be repeated for a second content request using the same Brand Profile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97A2B" w:sz="12"/>
              <w:left w:val="single" w:color="C9D6DE" w:sz="4"/>
              <w:bottom w:val="single" w:color="C9D6DE" w:sz="4"/>
              <w:right w:val="single" w:color="C9D6DE" w:sz="4"/>
            </w:tcBorders>
            <w:shd w:fill="F7F9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7A2B"/>
                <w:sz w:val="21"/>
                <w:szCs w:val="21"/>
              </w:rPr>
              <w:t xml:space="preserve">What "done" deliberately excludes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B2A3A"/>
                <w:sz w:val="20"/>
                <w:szCs w:val="20"/>
              </w:rPr>
              <w:t xml:space="preserve">No video generation, no analytics, no multi-provider comparison. If the team is ahead of schedule by Day 15–16, prefer polishing the core loop and demo narrative over starting Phase 2 features — a smaller, reliable demo outperforms a bigger, half-working one.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E" w:sz="4" w:space="6"/>
      </w:pBdr>
      <w:jc w:val="center"/>
    </w:pPr>
    <w:r>
      <w:rPr>
        <w:rFonts w:ascii="Calibri" w:cs="Calibri" w:eastAsia="Calibri" w:hAnsi="Calibri"/>
        <w:color w:val="5C6B73"/>
        <w:sz w:val="16"/>
        <w:szCs w:val="16"/>
      </w:rPr>
      <w:t xml:space="preserve">AI Marketing Assistant — 20-Day Roadmap   |   Page </w:t>
    </w:r>
    <w:r>
      <w:rPr>
        <w:rFonts w:ascii="Calibri" w:cs="Calibri" w:eastAsia="Calibri" w:hAnsi="Calibri"/>
        <w:color w:val="5C6B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3"/>
        <w:sz w:val="16"/>
        <w:szCs w:val="16"/>
      </w:rPr>
      <w:t xml:space="preserve"> of </w:t>
    </w:r>
    <w:r>
      <w:rPr>
        <w:rFonts w:ascii="Calibri" w:cs="Calibri" w:eastAsia="Calibri" w:hAnsi="Calibri"/>
        <w:color w:val="5C6B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C6B73"/>
        <w:sz w:val="16"/>
        <w:szCs w:val="16"/>
      </w:rPr>
      <w:t xml:space="preserve">AI Marketing Assistant — 20-Day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e92db205a8627155739b514100da8e6720d939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2026-08-02T05:34:16.912Z</dcterms:created>
  <dcterms:modified xsi:type="dcterms:W3CDTF">2026-08-02T05:34:16.912Z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