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cf915079aad042d9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  <w:jc w:val="center"/>
      </w:pPr>
      <w:r>
        <w:rPr>
          <w:color w:val="1F2328"/>
          <w:sz w:val="56"/>
        </w:rPr>
        <w:t>Disease Prediction System</w:t>
      </w:r>
    </w:p>
    <w:p w14:paraId="00100002" w14:textId="0010017E">
      <w:pPr>
        <w:spacing w:after="80"/>
        <w:jc w:val="center"/>
      </w:pPr>
      <w:r>
        <w:rPr>
          <w:color w:val="57606A"/>
          <w:sz w:val="26"/>
        </w:rPr>
        <w:t xml:space="preserve">Author: Riya Barman  |  Machine Learning-Based Cardiovascular Risk Assessment</w:t>
      </w:r>
    </w:p>
    <w:p w14:paraId="00100004" w14:textId="0010017F">
      <w:pPr>
        <w:spacing w:after="480"/>
        <w:jc w:val="center"/>
      </w:pPr>
      <w:r>
        <w:rPr>
          <w:color w:val="3B82D4"/>
          <w:sz w:val="22"/>
        </w:rPr>
        <w:t xml:space="preserve">Flask  |  Streamlit  |  Python  |  NumPy  |  Matplotlib  |  python-docx</w:t>
      </w:r>
    </w:p>
    <w:p w14:paraId="00100006" w14:textId="00100007">
      <w:r>
        <w:br w:type="page"/>
      </w:r>
    </w:p>
    <w:p w14:paraId="00100008" w14:textId="00100009">
      <w:pPr>
        <w:pStyle w:val="Heading1"/>
      </w:pPr>
      <w:r>
        <w:rPr>
          <w:color w:val="1F2328"/>
        </w:rPr>
        <w:t>1. Executive Summary</w:t>
      </w:r>
    </w:p>
    <w:p w14:paraId="0010000A" w14:textId="0010000B">
      <w:pPr>
        <w:spacing w:after="120"/>
      </w:pPr>
      <w:r>
        <w:rPr>
          <w:b w:val="0"/>
          <w:sz w:val="22"/>
        </w:rPr>
        <w:t>This report documents the end-to-end development of a Disease Prediction System that leverages machine learning to assess the risk of cardiovascular disease in patients. The system is built using Python with a Flask REST API backend, a Streamlit interactive frontend, and custom pure-NumPy implementations of Logistic Regression and Random Forest classifiers to ensure compatibility with Python 3.14.</w:t>
      </w:r>
    </w:p>
    <w:p w14:paraId="0010000C" w14:textId="0010000D">
      <w:pPr>
        <w:spacing w:after="120"/>
      </w:pPr>
      <w:r>
        <w:rPr>
          <w:b w:val="0"/>
          <w:sz w:val="22"/>
        </w:rPr>
        <w:t>The best-performing model — Logistic Regression — achieved an accuracy of 79.2%, an F1 score of 0.5455, and an ROC-AUC of 0.8434 on the held-out test set, with a 5-fold cross-validation mean of 0.8490 ± 0.0219.</w:t>
      </w:r>
    </w:p>
    <w:p w14:paraId="0010000E" w14:textId="0010000F">
      <w:pPr>
        <w:pStyle w:val="Heading1"/>
      </w:pPr>
      <w:r>
        <w:rPr>
          <w:color w:val="1F2328"/>
        </w:rPr>
        <w:t>2. Project Overview</w:t>
      </w:r>
    </w:p>
    <w:p w14:paraId="00100010" w14:textId="00100011">
      <w:pPr>
        <w:spacing w:after="200"/>
      </w:pPr>
      <w:r>
        <w:rPr>
          <w:b w:val="0"/>
          <w:sz w:val="22"/>
        </w:rPr>
        <w:t>The Disease Prediction System is a full-stack machine learning application comprising three layers: a data pipeline and ML training script, a Flask REST API backend, and a Streamlit web UI frontend. The pipeline generates a synthetic cardiovascular dataset, trains multiple classifiers, selects the best model by ROC-AUC, and exposes predictions through a RESTful API consumed by the Streamlit frontend.</w:t>
      </w:r>
    </w:p>
    <w:p w14:paraId="00100012" w14:textId="00100013">
      <w:pPr>
        <w:pStyle w:val="Heading2"/>
      </w:pPr>
      <w:r>
        <w:rPr>
          <w:color w:val="1F2328"/>
        </w:rPr>
        <w:t>2.1 Project Directory Structure</w:t>
      </w:r>
    </w:p>
    <w:p w14:paraId="00100014" w14:textId="00100015">
      <w:pPr>
        <w:spacing w:after="200"/>
      </w:pPr>
      <w:r>
        <w:rPr>
          <w:b w:val="0"/>
          <w:sz w:val="22"/>
        </w:rPr>
        <w:t>disease_prediction/</w:t>
        <w:br/>
        <w:t xml:space="preserve">  train_model.py        — ML pipeline (data generation, training, evaluation)</w:t>
        <w:br/>
        <w:t xml:space="preserve">  models_def.py         — Shared model class definitions (pickle-safe)</w:t>
        <w:br/>
        <w:t xml:space="preserve">  app.py                — Flask REST API backend</w:t>
        <w:br/>
        <w:t xml:space="preserve">  ui.py                 — Streamlit frontend UI</w:t>
        <w:br/>
        <w:t xml:space="preserve">  generate_screenshots.py — Programmatic UI mockup generator</w:t>
        <w:br/>
        <w:t xml:space="preserve">  generate_report.py    — This report generator</w:t>
        <w:br/>
        <w:t xml:space="preserve">  requirements.txt      — Python dependencies</w:t>
        <w:br/>
        <w:t xml:space="preserve">  README.md             — Run instructions</w:t>
        <w:br/>
        <w:t xml:space="preserve">  data/dataset.csv      — Generated training dataset (1,200 rows)</w:t>
        <w:br/>
        <w:t xml:space="preserve">  models/               — Trained model artifacts (.pkl, .json)</w:t>
        <w:br/>
        <w:t xml:space="preserve">  report_assets/        — Auto-generated plots and UI screenshots</w:t>
      </w:r>
    </w:p>
    <w:p w14:paraId="00100016" w14:textId="00100017">
      <w:pPr>
        <w:pStyle w:val="Heading2"/>
      </w:pPr>
      <w:r>
        <w:rPr>
          <w:color w:val="1F2328"/>
        </w:rPr>
        <w:t>2.2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c>
          <w:tcPr>
            <w:tcW w:w="1984" w:type="dxa"/>
            <w:shd w:val="clear" w:color="auto" w:fill="2D5F8A"/>
          </w:tcPr>
          <w:p w14:paraId="00100018" w14:textId="00100019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969" w:type="dxa"/>
            <w:shd w:val="clear" w:color="auto" w:fill="2D5F8A"/>
          </w:tcPr>
          <w:p w14:paraId="0010001A" w14:textId="0010001B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4252" w:type="dxa"/>
            <w:shd w:val="clear" w:color="auto" w:fill="2D5F8A"/>
          </w:tcPr>
          <w:p w14:paraId="0010001C" w14:textId="0010001D"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w="1984" w:type="dxa"/>
            <w:shd w:val="clear" w:color="auto" w:fill="F7F8FA"/>
          </w:tcPr>
          <w:p w14:paraId="0010001E" w14:textId="0010001F">
            <w:r>
              <w:rPr>
                <w:sz w:val="20"/>
              </w:rPr>
              <w:t>ML Training</w:t>
            </w:r>
          </w:p>
        </w:tc>
        <w:tc>
          <w:tcPr>
            <w:tcW w:w="3969" w:type="dxa"/>
            <w:shd w:val="clear" w:color="auto" w:fill="F7F8FA"/>
          </w:tcPr>
          <w:p w14:paraId="00100020" w14:textId="00100021">
            <w:r>
              <w:rPr>
                <w:sz w:val="20"/>
              </w:rPr>
              <w:t>NumPy, Pandas, Matplotlib, Seaborn</w:t>
            </w:r>
          </w:p>
        </w:tc>
        <w:tc>
          <w:tcPr>
            <w:tcW w:w="4252" w:type="dxa"/>
            <w:shd w:val="clear" w:color="auto" w:fill="F7F8FA"/>
          </w:tcPr>
          <w:p w14:paraId="00100022" w14:textId="00100023">
            <w:r>
              <w:rPr>
                <w:sz w:val="20"/>
              </w:rPr>
              <w:t>Data processing, model training, EDA plots</w:t>
            </w:r>
          </w:p>
        </w:tc>
      </w:tr>
      <w:tr>
        <w:tc>
          <w:tcPr>
            <w:tcW w:w="1984" w:type="dxa"/>
            <w:shd w:val="clear" w:color="auto" w:fill="FFFFFF"/>
          </w:tcPr>
          <w:p w14:paraId="00100024" w14:textId="00100025">
            <w:r>
              <w:rPr>
                <w:sz w:val="20"/>
              </w:rPr>
              <w:t>ML Models</w:t>
            </w:r>
          </w:p>
        </w:tc>
        <w:tc>
          <w:tcPr>
            <w:tcW w:w="3969" w:type="dxa"/>
            <w:shd w:val="clear" w:color="auto" w:fill="FFFFFF"/>
          </w:tcPr>
          <w:p w14:paraId="00100026" w14:textId="00100027">
            <w:r>
              <w:rPr>
                <w:sz w:val="20"/>
              </w:rPr>
              <w:t>Custom NumPy (LR, RF)</w:t>
            </w:r>
          </w:p>
        </w:tc>
        <w:tc>
          <w:tcPr>
            <w:tcW w:w="4252" w:type="dxa"/>
            <w:shd w:val="clear" w:color="auto" w:fill="FFFFFF"/>
          </w:tcPr>
          <w:p w14:paraId="00100028" w14:textId="00100029">
            <w:r>
              <w:rPr>
                <w:sz w:val="20"/>
              </w:rPr>
              <w:t>Logistic Regression &amp; Random Forest classifiers</w:t>
            </w:r>
          </w:p>
        </w:tc>
      </w:tr>
      <w:tr>
        <w:tc>
          <w:tcPr>
            <w:tcW w:w="1984" w:type="dxa"/>
            <w:shd w:val="clear" w:color="auto" w:fill="F7F8FA"/>
          </w:tcPr>
          <w:p w14:paraId="0010002A" w14:textId="0010002B">
            <w:r>
              <w:rPr>
                <w:sz w:val="20"/>
              </w:rPr>
              <w:t>Backend API</w:t>
            </w:r>
          </w:p>
        </w:tc>
        <w:tc>
          <w:tcPr>
            <w:tcW w:w="3969" w:type="dxa"/>
            <w:shd w:val="clear" w:color="auto" w:fill="F7F8FA"/>
          </w:tcPr>
          <w:p w14:paraId="0010002C" w14:textId="0010002D">
            <w:r>
              <w:rPr>
                <w:sz w:val="20"/>
              </w:rPr>
              <w:t>Flask 3.x</w:t>
            </w:r>
          </w:p>
        </w:tc>
        <w:tc>
          <w:tcPr>
            <w:tcW w:w="4252" w:type="dxa"/>
            <w:shd w:val="clear" w:color="auto" w:fill="F7F8FA"/>
          </w:tcPr>
          <w:p w14:paraId="0010002E" w14:textId="0010002F">
            <w:r>
              <w:rPr>
                <w:sz w:val="20"/>
              </w:rPr>
              <w:t>REST API serving predictions</w:t>
            </w:r>
          </w:p>
        </w:tc>
      </w:tr>
      <w:tr>
        <w:tc>
          <w:tcPr>
            <w:tcW w:w="1984" w:type="dxa"/>
            <w:shd w:val="clear" w:color="auto" w:fill="FFFFFF"/>
          </w:tcPr>
          <w:p w14:paraId="00100030" w14:textId="00100031">
            <w:r>
              <w:rPr>
                <w:sz w:val="20"/>
              </w:rPr>
              <w:t>Frontend UI</w:t>
            </w:r>
          </w:p>
        </w:tc>
        <w:tc>
          <w:tcPr>
            <w:tcW w:w="3969" w:type="dxa"/>
            <w:shd w:val="clear" w:color="auto" w:fill="FFFFFF"/>
          </w:tcPr>
          <w:p w14:paraId="00100032" w14:textId="00100033">
            <w:r>
              <w:rPr>
                <w:sz w:val="20"/>
              </w:rPr>
              <w:t>Streamlit 1.x</w:t>
            </w:r>
          </w:p>
        </w:tc>
        <w:tc>
          <w:tcPr>
            <w:tcW w:w="4252" w:type="dxa"/>
            <w:shd w:val="clear" w:color="auto" w:fill="FFFFFF"/>
          </w:tcPr>
          <w:p w14:paraId="00100034" w14:textId="00100035">
            <w:r>
              <w:rPr>
                <w:sz w:val="20"/>
              </w:rPr>
              <w:t>Interactive web dashboard</w:t>
            </w:r>
          </w:p>
        </w:tc>
      </w:tr>
      <w:tr>
        <w:tc>
          <w:tcPr>
            <w:tcW w:w="1984" w:type="dxa"/>
            <w:shd w:val="clear" w:color="auto" w:fill="F7F8FA"/>
          </w:tcPr>
          <w:p w14:paraId="00100036" w14:textId="00100037">
            <w:r>
              <w:rPr>
                <w:sz w:val="20"/>
              </w:rPr>
              <w:t>Serialisation</w:t>
            </w:r>
          </w:p>
        </w:tc>
        <w:tc>
          <w:tcPr>
            <w:tcW w:w="3969" w:type="dxa"/>
            <w:shd w:val="clear" w:color="auto" w:fill="F7F8FA"/>
          </w:tcPr>
          <w:p w14:paraId="00100038" w14:textId="00100039">
            <w:r>
              <w:rPr>
                <w:sz w:val="20"/>
              </w:rPr>
              <w:t>pickle (stdlib)</w:t>
            </w:r>
          </w:p>
        </w:tc>
        <w:tc>
          <w:tcPr>
            <w:tcW w:w="4252" w:type="dxa"/>
            <w:shd w:val="clear" w:color="auto" w:fill="F7F8FA"/>
          </w:tcPr>
          <w:p w14:paraId="0010003A" w14:textId="0010003B">
            <w:r>
              <w:rPr>
                <w:sz w:val="20"/>
              </w:rPr>
              <w:t>Model and scaler persistence</w:t>
            </w:r>
          </w:p>
        </w:tc>
      </w:tr>
      <w:tr>
        <w:tc>
          <w:tcPr>
            <w:tcW w:w="1984" w:type="dxa"/>
            <w:shd w:val="clear" w:color="auto" w:fill="FFFFFF"/>
          </w:tcPr>
          <w:p w14:paraId="0010003C" w14:textId="0010003D">
            <w:r>
              <w:rPr>
                <w:sz w:val="20"/>
              </w:rPr>
              <w:t>Report</w:t>
            </w:r>
          </w:p>
        </w:tc>
        <w:tc>
          <w:tcPr>
            <w:tcW w:w="3969" w:type="dxa"/>
            <w:shd w:val="clear" w:color="auto" w:fill="FFFFFF"/>
          </w:tcPr>
          <w:p w14:paraId="0010003E" w14:textId="0010003F">
            <w:r>
              <w:rPr>
                <w:sz w:val="20"/>
              </w:rPr>
              <w:t>python-docx</w:t>
            </w:r>
          </w:p>
        </w:tc>
        <w:tc>
          <w:tcPr>
            <w:tcW w:w="4252" w:type="dxa"/>
            <w:shd w:val="clear" w:color="auto" w:fill="FFFFFF"/>
          </w:tcPr>
          <w:p w14:paraId="00100040" w14:textId="00100041">
            <w:r>
              <w:rPr>
                <w:sz w:val="20"/>
              </w:rPr>
              <w:t>Word document generation</w:t>
            </w:r>
          </w:p>
        </w:tc>
      </w:tr>
    </w:tbl>
    <w:p w14:paraId="00100042" w14:textId="00100043"/>
    <w:p w14:paraId="00100044" w14:textId="00100045">
      <w:pPr>
        <w:pStyle w:val="Heading1"/>
      </w:pPr>
      <w:r>
        <w:rPr>
          <w:color w:val="1F2328"/>
        </w:rPr>
        <w:t>3. Dataset</w:t>
      </w:r>
    </w:p>
    <w:p w14:paraId="00100046" w14:textId="00100047">
      <w:pPr>
        <w:spacing w:after="120"/>
      </w:pPr>
      <w:r>
        <w:rPr>
          <w:b w:val="0"/>
          <w:sz w:val="22"/>
        </w:rPr>
        <w:t>A synthetic cardiovascular disease dataset was generated with 1,200 patient records and 10 clinical features. The dataset has a disease prevalence of 24.0% (288 disease cases, 912 healthy cases), reflecting a realistic class imbalance.</w:t>
      </w:r>
    </w:p>
    <w:p w14:paraId="00100048" w14:textId="00100049">
      <w:pPr>
        <w:pStyle w:val="Heading2"/>
      </w:pPr>
      <w:r>
        <w:rPr>
          <w:color w:val="1F2328"/>
        </w:rPr>
        <w:t>3.1 Feature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c>
          <w:tcPr>
            <w:tcW w:w="567" w:type="dxa"/>
            <w:shd w:val="clear" w:color="auto" w:fill="2D5F8A"/>
          </w:tcPr>
          <w:p w14:paraId="0010004A" w14:textId="0010004B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51" w:type="dxa"/>
            <w:shd w:val="clear" w:color="auto" w:fill="2D5F8A"/>
          </w:tcPr>
          <w:p w14:paraId="0010004C" w14:textId="0010004D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984" w:type="dxa"/>
            <w:shd w:val="clear" w:color="auto" w:fill="2D5F8A"/>
          </w:tcPr>
          <w:p w14:paraId="0010004E" w14:textId="0010004F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2D5F8A"/>
          </w:tcPr>
          <w:p w14:paraId="00100050" w14:textId="00100051">
            <w:r>
              <w:rPr>
                <w:b/>
                <w:color w:val="FFFFFF"/>
                <w:sz w:val="20"/>
              </w:rPr>
              <w:t>Range / Values</w:t>
            </w:r>
          </w:p>
        </w:tc>
      </w:tr>
      <w:tr>
        <w:tc>
          <w:tcPr>
            <w:tcW w:w="567" w:type="dxa"/>
            <w:shd w:val="clear" w:color="auto" w:fill="F7F8FA"/>
          </w:tcPr>
          <w:p w14:paraId="00100052" w14:textId="00100053">
            <w:r>
              <w:rPr>
                <w:sz w:val="20"/>
              </w:rPr>
              <w:t>1</w:t>
            </w:r>
          </w:p>
        </w:tc>
        <w:tc>
          <w:tcPr>
            <w:tcW w:w="2551" w:type="dxa"/>
            <w:shd w:val="clear" w:color="auto" w:fill="F7F8FA"/>
          </w:tcPr>
          <w:p w14:paraId="00100054" w14:textId="00100055">
            <w:r>
              <w:rPr>
                <w:sz w:val="20"/>
              </w:rPr>
              <w:t>age</w:t>
            </w:r>
          </w:p>
        </w:tc>
        <w:tc>
          <w:tcPr>
            <w:tcW w:w="1984" w:type="dxa"/>
            <w:shd w:val="clear" w:color="auto" w:fill="F7F8FA"/>
          </w:tcPr>
          <w:p w14:paraId="00100056" w14:textId="00100057">
            <w:r>
              <w:rPr>
                <w:sz w:val="20"/>
              </w:rPr>
              <w:t>Numeric</w:t>
            </w:r>
          </w:p>
        </w:tc>
        <w:tc>
          <w:tcPr>
            <w:tcW w:w="5102" w:type="dxa"/>
            <w:shd w:val="clear" w:color="auto" w:fill="F7F8FA"/>
          </w:tcPr>
          <w:p w14:paraId="00100058" w14:textId="00100059">
            <w:r>
              <w:rPr>
                <w:sz w:val="20"/>
              </w:rPr>
              <w:t>25 – 80 years</w:t>
            </w:r>
          </w:p>
        </w:tc>
      </w:tr>
      <w:tr>
        <w:tc>
          <w:tcPr>
            <w:tcW w:w="567" w:type="dxa"/>
            <w:shd w:val="clear" w:color="auto" w:fill="FFFFFF"/>
          </w:tcPr>
          <w:p w14:paraId="0010005A" w14:textId="0010005B">
            <w:r>
              <w:rPr>
                <w:sz w:val="20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14:paraId="0010005C" w14:textId="0010005D">
            <w:r>
              <w:rPr>
                <w:sz w:val="20"/>
              </w:rPr>
              <w:t>sex</w:t>
            </w:r>
          </w:p>
        </w:tc>
        <w:tc>
          <w:tcPr>
            <w:tcW w:w="1984" w:type="dxa"/>
            <w:shd w:val="clear" w:color="auto" w:fill="FFFFFF"/>
          </w:tcPr>
          <w:p w14:paraId="0010005E" w14:textId="0010005F">
            <w:r>
              <w:rPr>
                <w:sz w:val="20"/>
              </w:rPr>
              <w:t>Binary</w:t>
            </w:r>
          </w:p>
        </w:tc>
        <w:tc>
          <w:tcPr>
            <w:tcW w:w="5102" w:type="dxa"/>
            <w:shd w:val="clear" w:color="auto" w:fill="FFFFFF"/>
          </w:tcPr>
          <w:p w14:paraId="00100060" w14:textId="00100061">
            <w:r>
              <w:rPr>
                <w:sz w:val="20"/>
              </w:rPr>
              <w:t>0 = Female, 1 = Male</w:t>
            </w:r>
          </w:p>
        </w:tc>
      </w:tr>
      <w:tr>
        <w:tc>
          <w:tcPr>
            <w:tcW w:w="567" w:type="dxa"/>
            <w:shd w:val="clear" w:color="auto" w:fill="F7F8FA"/>
          </w:tcPr>
          <w:p w14:paraId="00100062" w14:textId="00100063">
            <w:r>
              <w:rPr>
                <w:sz w:val="20"/>
              </w:rPr>
              <w:t>3</w:t>
            </w:r>
          </w:p>
        </w:tc>
        <w:tc>
          <w:tcPr>
            <w:tcW w:w="2551" w:type="dxa"/>
            <w:shd w:val="clear" w:color="auto" w:fill="F7F8FA"/>
          </w:tcPr>
          <w:p w14:paraId="00100064" w14:textId="00100065">
            <w:r>
              <w:rPr>
                <w:sz w:val="20"/>
              </w:rPr>
              <w:t>bmi</w:t>
            </w:r>
          </w:p>
        </w:tc>
        <w:tc>
          <w:tcPr>
            <w:tcW w:w="1984" w:type="dxa"/>
            <w:shd w:val="clear" w:color="auto" w:fill="F7F8FA"/>
          </w:tcPr>
          <w:p w14:paraId="00100066" w14:textId="00100067">
            <w:r>
              <w:rPr>
                <w:sz w:val="20"/>
              </w:rPr>
              <w:t>Numeric</w:t>
            </w:r>
          </w:p>
        </w:tc>
        <w:tc>
          <w:tcPr>
            <w:tcW w:w="5102" w:type="dxa"/>
            <w:shd w:val="clear" w:color="auto" w:fill="F7F8FA"/>
          </w:tcPr>
          <w:p w14:paraId="00100068" w14:textId="00100069">
            <w:r>
              <w:rPr>
                <w:sz w:val="20"/>
              </w:rPr>
              <w:t>15 – 50 (Body Mass Index)</w:t>
            </w:r>
          </w:p>
        </w:tc>
      </w:tr>
      <w:tr>
        <w:tc>
          <w:tcPr>
            <w:tcW w:w="567" w:type="dxa"/>
            <w:shd w:val="clear" w:color="auto" w:fill="FFFFFF"/>
          </w:tcPr>
          <w:p w14:paraId="0010006A" w14:textId="0010006B">
            <w:r>
              <w:rPr>
                <w:sz w:val="20"/>
              </w:rPr>
              <w:t>4</w:t>
            </w:r>
          </w:p>
        </w:tc>
        <w:tc>
          <w:tcPr>
            <w:tcW w:w="2551" w:type="dxa"/>
            <w:shd w:val="clear" w:color="auto" w:fill="FFFFFF"/>
          </w:tcPr>
          <w:p w14:paraId="0010006C" w14:textId="0010006D">
            <w:r>
              <w:rPr>
                <w:sz w:val="20"/>
              </w:rPr>
              <w:t>blood_pressure</w:t>
            </w:r>
          </w:p>
        </w:tc>
        <w:tc>
          <w:tcPr>
            <w:tcW w:w="1984" w:type="dxa"/>
            <w:shd w:val="clear" w:color="auto" w:fill="FFFFFF"/>
          </w:tcPr>
          <w:p w14:paraId="0010006E" w14:textId="0010006F">
            <w:r>
              <w:rPr>
                <w:sz w:val="20"/>
              </w:rPr>
              <w:t>Numeric</w:t>
            </w:r>
          </w:p>
        </w:tc>
        <w:tc>
          <w:tcPr>
            <w:tcW w:w="5102" w:type="dxa"/>
            <w:shd w:val="clear" w:color="auto" w:fill="FFFFFF"/>
          </w:tcPr>
          <w:p w14:paraId="00100070" w14:textId="00100071">
            <w:r>
              <w:rPr>
                <w:sz w:val="20"/>
              </w:rPr>
              <w:t>80 – 200 mmHg (systolic)</w:t>
            </w:r>
          </w:p>
        </w:tc>
      </w:tr>
      <w:tr>
        <w:tc>
          <w:tcPr>
            <w:tcW w:w="567" w:type="dxa"/>
            <w:shd w:val="clear" w:color="auto" w:fill="F7F8FA"/>
          </w:tcPr>
          <w:p w14:paraId="00100072" w14:textId="00100073">
            <w:r>
              <w:rPr>
                <w:sz w:val="20"/>
              </w:rPr>
              <w:t>5</w:t>
            </w:r>
          </w:p>
        </w:tc>
        <w:tc>
          <w:tcPr>
            <w:tcW w:w="2551" w:type="dxa"/>
            <w:shd w:val="clear" w:color="auto" w:fill="F7F8FA"/>
          </w:tcPr>
          <w:p w14:paraId="00100074" w14:textId="00100075">
            <w:r>
              <w:rPr>
                <w:sz w:val="20"/>
              </w:rPr>
              <w:t>cholesterol</w:t>
            </w:r>
          </w:p>
        </w:tc>
        <w:tc>
          <w:tcPr>
            <w:tcW w:w="1984" w:type="dxa"/>
            <w:shd w:val="clear" w:color="auto" w:fill="F7F8FA"/>
          </w:tcPr>
          <w:p w14:paraId="00100076" w14:textId="00100077">
            <w:r>
              <w:rPr>
                <w:sz w:val="20"/>
              </w:rPr>
              <w:t>Numeric</w:t>
            </w:r>
          </w:p>
        </w:tc>
        <w:tc>
          <w:tcPr>
            <w:tcW w:w="5102" w:type="dxa"/>
            <w:shd w:val="clear" w:color="auto" w:fill="F7F8FA"/>
          </w:tcPr>
          <w:p w14:paraId="00100078" w14:textId="00100079">
            <w:r>
              <w:rPr>
                <w:sz w:val="20"/>
              </w:rPr>
              <w:t>120 – 350 mg/dL</w:t>
            </w:r>
          </w:p>
        </w:tc>
      </w:tr>
      <w:tr>
        <w:tc>
          <w:tcPr>
            <w:tcW w:w="567" w:type="dxa"/>
            <w:shd w:val="clear" w:color="auto" w:fill="FFFFFF"/>
          </w:tcPr>
          <w:p w14:paraId="0010007A" w14:textId="0010007B">
            <w:r>
              <w:rPr>
                <w:sz w:val="20"/>
              </w:rPr>
              <w:t>6</w:t>
            </w:r>
          </w:p>
        </w:tc>
        <w:tc>
          <w:tcPr>
            <w:tcW w:w="2551" w:type="dxa"/>
            <w:shd w:val="clear" w:color="auto" w:fill="FFFFFF"/>
          </w:tcPr>
          <w:p w14:paraId="0010007C" w14:textId="0010007D">
            <w:r>
              <w:rPr>
                <w:sz w:val="20"/>
              </w:rPr>
              <w:t>glucose</w:t>
            </w:r>
          </w:p>
        </w:tc>
        <w:tc>
          <w:tcPr>
            <w:tcW w:w="1984" w:type="dxa"/>
            <w:shd w:val="clear" w:color="auto" w:fill="FFFFFF"/>
          </w:tcPr>
          <w:p w14:paraId="0010007E" w14:textId="0010007F">
            <w:r>
              <w:rPr>
                <w:sz w:val="20"/>
              </w:rPr>
              <w:t>Numeric</w:t>
            </w:r>
          </w:p>
        </w:tc>
        <w:tc>
          <w:tcPr>
            <w:tcW w:w="5102" w:type="dxa"/>
            <w:shd w:val="clear" w:color="auto" w:fill="FFFFFF"/>
          </w:tcPr>
          <w:p w14:paraId="00100080" w14:textId="00100081">
            <w:r>
              <w:rPr>
                <w:sz w:val="20"/>
              </w:rPr>
              <w:t>60 – 300 mg/dL (fasting)</w:t>
            </w:r>
          </w:p>
        </w:tc>
      </w:tr>
      <w:tr>
        <w:tc>
          <w:tcPr>
            <w:tcW w:w="567" w:type="dxa"/>
            <w:shd w:val="clear" w:color="auto" w:fill="F7F8FA"/>
          </w:tcPr>
          <w:p w14:paraId="00100082" w14:textId="00100083">
            <w:r>
              <w:rPr>
                <w:sz w:val="20"/>
              </w:rPr>
              <w:t>7</w:t>
            </w:r>
          </w:p>
        </w:tc>
        <w:tc>
          <w:tcPr>
            <w:tcW w:w="2551" w:type="dxa"/>
            <w:shd w:val="clear" w:color="auto" w:fill="F7F8FA"/>
          </w:tcPr>
          <w:p w14:paraId="00100084" w14:textId="00100085">
            <w:r>
              <w:rPr>
                <w:sz w:val="20"/>
              </w:rPr>
              <w:t>smoking</w:t>
            </w:r>
          </w:p>
        </w:tc>
        <w:tc>
          <w:tcPr>
            <w:tcW w:w="1984" w:type="dxa"/>
            <w:shd w:val="clear" w:color="auto" w:fill="F7F8FA"/>
          </w:tcPr>
          <w:p w14:paraId="00100086" w14:textId="00100087">
            <w:r>
              <w:rPr>
                <w:sz w:val="20"/>
              </w:rPr>
              <w:t>Binary</w:t>
            </w:r>
          </w:p>
        </w:tc>
        <w:tc>
          <w:tcPr>
            <w:tcW w:w="5102" w:type="dxa"/>
            <w:shd w:val="clear" w:color="auto" w:fill="F7F8FA"/>
          </w:tcPr>
          <w:p w14:paraId="00100088" w14:textId="00100089">
            <w:r>
              <w:rPr>
                <w:sz w:val="20"/>
              </w:rPr>
              <w:t>0 = Non-smoker, 1 = Smoker</w:t>
            </w:r>
          </w:p>
        </w:tc>
      </w:tr>
      <w:tr>
        <w:tc>
          <w:tcPr>
            <w:tcW w:w="567" w:type="dxa"/>
            <w:shd w:val="clear" w:color="auto" w:fill="FFFFFF"/>
          </w:tcPr>
          <w:p w14:paraId="0010008A" w14:textId="0010008B">
            <w:r>
              <w:rPr>
                <w:sz w:val="20"/>
              </w:rPr>
              <w:t>8</w:t>
            </w:r>
          </w:p>
        </w:tc>
        <w:tc>
          <w:tcPr>
            <w:tcW w:w="2551" w:type="dxa"/>
            <w:shd w:val="clear" w:color="auto" w:fill="FFFFFF"/>
          </w:tcPr>
          <w:p w14:paraId="0010008C" w14:textId="0010008D">
            <w:r>
              <w:rPr>
                <w:sz w:val="20"/>
              </w:rPr>
              <w:t>family_history</w:t>
            </w:r>
          </w:p>
        </w:tc>
        <w:tc>
          <w:tcPr>
            <w:tcW w:w="1984" w:type="dxa"/>
            <w:shd w:val="clear" w:color="auto" w:fill="FFFFFF"/>
          </w:tcPr>
          <w:p w14:paraId="0010008E" w14:textId="0010008F">
            <w:r>
              <w:rPr>
                <w:sz w:val="20"/>
              </w:rPr>
              <w:t>Binary</w:t>
            </w:r>
          </w:p>
        </w:tc>
        <w:tc>
          <w:tcPr>
            <w:tcW w:w="5102" w:type="dxa"/>
            <w:shd w:val="clear" w:color="auto" w:fill="FFFFFF"/>
          </w:tcPr>
          <w:p w14:paraId="00100090" w14:textId="00100091">
            <w:r>
              <w:rPr>
                <w:sz w:val="20"/>
              </w:rPr>
              <w:t>0 = No, 1 = Yes</w:t>
            </w:r>
          </w:p>
        </w:tc>
      </w:tr>
      <w:tr>
        <w:tc>
          <w:tcPr>
            <w:tcW w:w="567" w:type="dxa"/>
            <w:shd w:val="clear" w:color="auto" w:fill="F7F8FA"/>
          </w:tcPr>
          <w:p w14:paraId="00100092" w14:textId="00100093">
            <w:r>
              <w:rPr>
                <w:sz w:val="20"/>
              </w:rPr>
              <w:t>9</w:t>
            </w:r>
          </w:p>
        </w:tc>
        <w:tc>
          <w:tcPr>
            <w:tcW w:w="2551" w:type="dxa"/>
            <w:shd w:val="clear" w:color="auto" w:fill="F7F8FA"/>
          </w:tcPr>
          <w:p w14:paraId="00100094" w14:textId="00100095">
            <w:r>
              <w:rPr>
                <w:sz w:val="20"/>
              </w:rPr>
              <w:t>chest_pain_type</w:t>
            </w:r>
          </w:p>
        </w:tc>
        <w:tc>
          <w:tcPr>
            <w:tcW w:w="1984" w:type="dxa"/>
            <w:shd w:val="clear" w:color="auto" w:fill="F7F8FA"/>
          </w:tcPr>
          <w:p w14:paraId="00100096" w14:textId="00100097">
            <w:r>
              <w:rPr>
                <w:sz w:val="20"/>
              </w:rPr>
              <w:t>Categorical</w:t>
            </w:r>
          </w:p>
        </w:tc>
        <w:tc>
          <w:tcPr>
            <w:tcW w:w="5102" w:type="dxa"/>
            <w:shd w:val="clear" w:color="auto" w:fill="F7F8FA"/>
          </w:tcPr>
          <w:p w14:paraId="00100098" w14:textId="00100099">
            <w:r>
              <w:rPr>
                <w:sz w:val="20"/>
              </w:rPr>
              <w:t>0 – 3 (four types)</w:t>
            </w:r>
          </w:p>
        </w:tc>
      </w:tr>
      <w:tr>
        <w:tc>
          <w:tcPr>
            <w:tcW w:w="567" w:type="dxa"/>
            <w:shd w:val="clear" w:color="auto" w:fill="FFFFFF"/>
          </w:tcPr>
          <w:p w14:paraId="0010009A" w14:textId="0010009B">
            <w:r>
              <w:rPr>
                <w:sz w:val="20"/>
              </w:rPr>
              <w:t>10</w:t>
            </w:r>
          </w:p>
        </w:tc>
        <w:tc>
          <w:tcPr>
            <w:tcW w:w="2551" w:type="dxa"/>
            <w:shd w:val="clear" w:color="auto" w:fill="FFFFFF"/>
          </w:tcPr>
          <w:p w14:paraId="0010009C" w14:textId="0010009D">
            <w:r>
              <w:rPr>
                <w:sz w:val="20"/>
              </w:rPr>
              <w:t>heart_rate</w:t>
            </w:r>
          </w:p>
        </w:tc>
        <w:tc>
          <w:tcPr>
            <w:tcW w:w="1984" w:type="dxa"/>
            <w:shd w:val="clear" w:color="auto" w:fill="FFFFFF"/>
          </w:tcPr>
          <w:p w14:paraId="0010009E" w14:textId="0010009F">
            <w:r>
              <w:rPr>
                <w:sz w:val="20"/>
              </w:rPr>
              <w:t>Numeric</w:t>
            </w:r>
          </w:p>
        </w:tc>
        <w:tc>
          <w:tcPr>
            <w:tcW w:w="5102" w:type="dxa"/>
            <w:shd w:val="clear" w:color="auto" w:fill="FFFFFF"/>
          </w:tcPr>
          <w:p w14:paraId="001000A0" w14:textId="001000A1">
            <w:r>
              <w:rPr>
                <w:sz w:val="20"/>
              </w:rPr>
              <w:t>45 – 130 bpm (resting)</w:t>
            </w:r>
          </w:p>
        </w:tc>
      </w:tr>
    </w:tbl>
    <w:p w14:paraId="001000A2" w14:textId="001000A3"/>
    <w:p w14:paraId="001000A4" w14:textId="001000A5">
      <w:pPr>
        <w:pStyle w:val="Heading2"/>
      </w:pPr>
      <w:r>
        <w:rPr>
          <w:color w:val="1F2328"/>
        </w:rPr>
        <w:t>3.2 Exploratory Data Analysis</w:t>
      </w:r>
    </w:p>
    <w:p w14:paraId="001000A6" w14:textId="001000A7">
      <w:pPr>
        <w:spacing w:after="120"/>
      </w:pPr>
      <w:r>
        <w:rPr>
          <w:b w:val="0"/>
          <w:sz w:val="22"/>
        </w:rPr>
        <w:t>Figure 1 shows the target class distribution (left) and the age distribution split by disease status (right). The dataset is imbalanced, with ~24% disease cases. Patients with disease tend to be older on average.</w:t>
      </w:r>
    </w:p>
    <w:p w14:paraId="001000A8" w14:textId="001000A9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AA" w14:textId="001000AB">
      <w:pPr>
        <w:spacing w:after="160"/>
        <w:jc w:val="center"/>
      </w:pPr>
      <w:r>
        <w:rPr>
          <w:color w:val="57606A"/>
          <w:sz w:val="18"/>
        </w:rPr>
        <w:t>Figure 1 – Target distribution and age histogram by disease status</w:t>
      </w:r>
    </w:p>
    <w:p w14:paraId="001000AC" w14:textId="001000AD">
      <w:pPr>
        <w:spacing w:after="120"/>
      </w:pPr>
      <w:r>
        <w:rPr>
          <w:b w:val="0"/>
          <w:sz w:val="22"/>
        </w:rPr>
        <w:t>Figure 2 shows the Pearson correlation matrix across all features. Age, blood pressure, cholesterol, and smoking show the strongest positive correlation with the target.</w:t>
      </w:r>
    </w:p>
    <w:p w14:paraId="001000AE" w14:textId="001000AF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B0" w14:textId="001000B1">
      <w:pPr>
        <w:spacing w:after="160"/>
        <w:jc w:val="center"/>
      </w:pPr>
      <w:r>
        <w:rPr>
          <w:color w:val="57606A"/>
          <w:sz w:val="18"/>
        </w:rPr>
        <w:t>Figure 2 – Feature correlation heatmap</w:t>
      </w:r>
    </w:p>
    <w:p w14:paraId="001000B2" w14:textId="001000B3">
      <w:pPr>
        <w:pStyle w:val="Heading1"/>
      </w:pPr>
      <w:r>
        <w:rPr>
          <w:color w:val="1F2328"/>
        </w:rPr>
        <w:t>4. Machine Learning Pipeline</w:t>
      </w:r>
    </w:p>
    <w:p w14:paraId="001000B4" w14:textId="001000B5">
      <w:pPr>
        <w:spacing w:after="120"/>
      </w:pPr>
      <w:r>
        <w:rPr>
          <w:b w:val="0"/>
          <w:sz w:val="22"/>
        </w:rPr>
        <w:t>The training pipeline (train_model.py) follows these steps:</w:t>
        <w:br/>
        <w:t xml:space="preserve">  1. Generate a synthetic dataset using numpy's random number generator</w:t>
        <w:br/>
        <w:t xml:space="preserve">  2. Perform exploratory data analysis and save plots</w:t>
        <w:br/>
        <w:t xml:space="preserve">  3. Split data 80/20 into training and test sets</w:t>
        <w:br/>
        <w:t xml:space="preserve">  4. Standardise features with a custom StandardScaler (pure NumPy)</w:t>
        <w:br/>
        <w:t xml:space="preserve">  5. Train Logistic Regression and Random Forest classifiers</w:t>
        <w:br/>
        <w:t xml:space="preserve">  6. Evaluate on the test set and compute 5-fold cross-validation accuracy</w:t>
        <w:br/>
        <w:t xml:space="preserve">  7. Select the best model by ROC-AUC and save artifacts to models/</w:t>
      </w:r>
    </w:p>
    <w:p w14:paraId="001000B6" w14:textId="001000B7">
      <w:pPr>
        <w:pStyle w:val="Heading2"/>
      </w:pPr>
      <w:r>
        <w:rPr>
          <w:color w:val="1F2328"/>
        </w:rPr>
        <w:t>4.1 Model Descriptions</w:t>
      </w:r>
    </w:p>
    <w:p w14:paraId="001000B8" w14:textId="001000B9">
      <w:pPr>
        <w:spacing w:after="40"/>
      </w:pPr>
      <w:r>
        <w:rPr>
          <w:b/>
          <w:sz w:val="22"/>
        </w:rPr>
        <w:t>Logistic Regression (custom NumPy):</w:t>
      </w:r>
    </w:p>
    <w:p w14:paraId="001000BA" w14:textId="001000BB">
      <w:pPr>
        <w:spacing w:after="120"/>
      </w:pPr>
      <w:r>
        <w:rPr>
          <w:b w:val="0"/>
          <w:sz w:val="22"/>
        </w:rPr>
        <w:t>Gradient descent implementation with L2 regularisation (lambda=1e-4). Uses the sigmoid function for binary classification. 400 training iterations.</w:t>
      </w:r>
    </w:p>
    <w:p w14:paraId="001000BC" w14:textId="001000BD">
      <w:pPr>
        <w:spacing w:after="40"/>
      </w:pPr>
      <w:r>
        <w:rPr>
          <w:b/>
          <w:sz w:val="22"/>
        </w:rPr>
        <w:t>Random Forest (custom NumPy):</w:t>
      </w:r>
    </w:p>
    <w:p w14:paraId="001000BE" w14:textId="001000BF">
      <w:pPr>
        <w:spacing w:after="120"/>
      </w:pPr>
      <w:r>
        <w:rPr>
          <w:b w:val="0"/>
          <w:sz w:val="22"/>
        </w:rPr>
        <w:t>Ensemble of 50 binary CART decision trees with bootstrap sampling and random feature subsets (sqrt of n_features). Gini impurity splitting criterion, max depth = 6.</w:t>
      </w:r>
    </w:p>
    <w:p w14:paraId="001000C0" w14:textId="001000C1">
      <w:pPr>
        <w:pStyle w:val="Heading1"/>
      </w:pPr>
      <w:r>
        <w:rPr>
          <w:color w:val="1F2328"/>
        </w:rPr>
        <w:t>5. Model Evaluation Results</w:t>
      </w:r>
    </w:p>
    <w:p w14:paraId="001000C2" w14:textId="001000C3">
      <w:pPr>
        <w:spacing w:after="120"/>
      </w:pPr>
      <w:r>
        <w:rPr>
          <w:b w:val="0"/>
          <w:sz w:val="22"/>
        </w:rPr>
        <w:t>The best-performing model is Logistic Regression selected by highest ROC-AUC score. All results are computed on the held-out 20% test set (240 samples).</w:t>
      </w:r>
    </w:p>
    <w:p w14:paraId="001000C4" w14:textId="001000C5">
      <w:pPr>
        <w:pStyle w:val="Heading2"/>
      </w:pPr>
      <w:r>
        <w:rPr>
          <w:color w:val="1F2328"/>
        </w:rPr>
        <w:t>5.1 Performance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c>
          <w:tcPr>
            <w:tcW w:w="3402" w:type="dxa"/>
            <w:shd w:val="clear" w:color="auto" w:fill="2D5F8A"/>
          </w:tcPr>
          <w:p w14:paraId="001000C6" w14:textId="001000C7"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2268" w:type="dxa"/>
            <w:shd w:val="clear" w:color="auto" w:fill="2D5F8A"/>
          </w:tcPr>
          <w:p w14:paraId="001000C8" w14:textId="001000C9"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w="2268" w:type="dxa"/>
            <w:shd w:val="clear" w:color="auto" w:fill="2D5F8A"/>
          </w:tcPr>
          <w:p w14:paraId="001000CA" w14:textId="001000CB">
            <w:r>
              <w:rPr>
                <w:b/>
                <w:color w:val="FFFFFF"/>
                <w:sz w:val="20"/>
              </w:rPr>
              <w:t>F1 Score</w:t>
            </w:r>
          </w:p>
        </w:tc>
        <w:tc>
          <w:tcPr>
            <w:tcW w:w="2268" w:type="dxa"/>
            <w:shd w:val="clear" w:color="auto" w:fill="2D5F8A"/>
          </w:tcPr>
          <w:p w14:paraId="001000CC" w14:textId="001000CD">
            <w:r>
              <w:rPr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w="3402" w:type="dxa"/>
            <w:shd w:val="clear" w:color="auto" w:fill="F7F8FA"/>
          </w:tcPr>
          <w:p w14:paraId="001000CE" w14:textId="001000CF">
            <w:r>
              <w:rPr>
                <w:sz w:val="20"/>
              </w:rPr>
              <w:t>Logistic Regression</w:t>
            </w:r>
          </w:p>
        </w:tc>
        <w:tc>
          <w:tcPr>
            <w:tcW w:w="2268" w:type="dxa"/>
            <w:shd w:val="clear" w:color="auto" w:fill="F7F8FA"/>
          </w:tcPr>
          <w:p w14:paraId="001000D0" w14:textId="001000D1">
            <w:r>
              <w:rPr>
                <w:sz w:val="20"/>
              </w:rPr>
              <w:t>79.17%</w:t>
            </w:r>
          </w:p>
        </w:tc>
        <w:tc>
          <w:tcPr>
            <w:tcW w:w="2268" w:type="dxa"/>
            <w:shd w:val="clear" w:color="auto" w:fill="F7F8FA"/>
          </w:tcPr>
          <w:p w14:paraId="001000D2" w14:textId="001000D3">
            <w:r>
              <w:rPr>
                <w:sz w:val="20"/>
              </w:rPr>
              <w:t>0.5455</w:t>
            </w:r>
          </w:p>
        </w:tc>
        <w:tc>
          <w:tcPr>
            <w:tcW w:w="2268" w:type="dxa"/>
            <w:shd w:val="clear" w:color="auto" w:fill="F7F8FA"/>
          </w:tcPr>
          <w:p w14:paraId="001000D4" w14:textId="001000D5">
            <w:r>
              <w:rPr>
                <w:sz w:val="20"/>
              </w:rPr>
              <w:t>0.8434</w:t>
            </w:r>
          </w:p>
        </w:tc>
      </w:tr>
      <w:tr>
        <w:tc>
          <w:tcPr>
            <w:tcW w:w="3402" w:type="dxa"/>
            <w:shd w:val="clear" w:color="auto" w:fill="FFFFFF"/>
          </w:tcPr>
          <w:p w14:paraId="001000D6" w14:textId="001000D7">
            <w:r>
              <w:rPr>
                <w:sz w:val="20"/>
              </w:rPr>
              <w:t>Random Forest</w:t>
            </w:r>
          </w:p>
        </w:tc>
        <w:tc>
          <w:tcPr>
            <w:tcW w:w="2268" w:type="dxa"/>
            <w:shd w:val="clear" w:color="auto" w:fill="FFFFFF"/>
          </w:tcPr>
          <w:p w14:paraId="001000D8" w14:textId="001000D9">
            <w:r>
              <w:rPr>
                <w:sz w:val="20"/>
              </w:rPr>
              <w:t>76.25%</w:t>
            </w:r>
          </w:p>
        </w:tc>
        <w:tc>
          <w:tcPr>
            <w:tcW w:w="2268" w:type="dxa"/>
            <w:shd w:val="clear" w:color="auto" w:fill="FFFFFF"/>
          </w:tcPr>
          <w:p w14:paraId="001000DA" w14:textId="001000DB">
            <w:r>
              <w:rPr>
                <w:sz w:val="20"/>
              </w:rPr>
              <w:t>0.0656</w:t>
            </w:r>
          </w:p>
        </w:tc>
        <w:tc>
          <w:tcPr>
            <w:tcW w:w="2268" w:type="dxa"/>
            <w:shd w:val="clear" w:color="auto" w:fill="FFFFFF"/>
          </w:tcPr>
          <w:p w14:paraId="001000DC" w14:textId="001000DD">
            <w:r>
              <w:rPr>
                <w:sz w:val="20"/>
              </w:rPr>
              <w:t>0.8025</w:t>
            </w:r>
          </w:p>
        </w:tc>
      </w:tr>
    </w:tbl>
    <w:p w14:paraId="001000DE" w14:textId="001000DF"/>
    <w:p w14:paraId="001000E0" w14:textId="001000E1">
      <w:pPr>
        <w:pStyle w:val="Heading2"/>
      </w:pPr>
      <w:r>
        <w:rPr>
          <w:color w:val="1F2328"/>
        </w:rPr>
        <w:t>5.2 Model Comparison Chart</w:t>
      </w:r>
    </w:p>
    <w:p w14:paraId="001000E2" w14:textId="001000E3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E4" w14:textId="001000E5">
      <w:pPr>
        <w:spacing w:after="160"/>
        <w:jc w:val="center"/>
      </w:pPr>
      <w:r>
        <w:rPr>
          <w:color w:val="57606A"/>
          <w:sz w:val="18"/>
        </w:rPr>
        <w:t>Figure 3 – Side-by-side comparison of Accuracy, F1 Score, and ROC-AUC for each model</w:t>
      </w:r>
    </w:p>
    <w:p w14:paraId="001000E6" w14:textId="001000E7">
      <w:pPr>
        <w:pStyle w:val="Heading2"/>
      </w:pPr>
      <w:r>
        <w:rPr>
          <w:color w:val="1F2328"/>
        </w:rPr>
        <w:t>5.3 Confusion Matrix</w:t>
      </w:r>
    </w:p>
    <w:p w14:paraId="001000E8" w14:textId="001000E9">
      <w:pPr>
        <w:spacing w:after="120"/>
      </w:pPr>
      <w:r>
        <w:rPr>
          <w:b w:val="0"/>
          <w:sz w:val="22"/>
        </w:rPr>
        <w:t>The confusion matrix for the best model (Logistic Regression) on the test set:</w:t>
        <w:br/>
        <w:t xml:space="preserve">  True Negatives:  160  |  False Positives: 21</w:t>
        <w:br/>
        <w:t xml:space="preserve">  False Negatives: 29  |  True Positives:  30</w:t>
        <w:br/>
        <w:t xml:space="preserve">  Precision = 0.588  |  Recall = 0.508</w:t>
      </w:r>
    </w:p>
    <w:p w14:paraId="001000EA" w14:textId="001000EB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EC" w14:textId="001000ED">
      <w:pPr>
        <w:spacing w:after="160"/>
        <w:jc w:val="center"/>
      </w:pPr>
      <w:r>
        <w:rPr>
          <w:color w:val="57606A"/>
          <w:sz w:val="18"/>
        </w:rPr>
        <w:t>Figure 4 – Confusion matrix for Logistic Regression</w:t>
      </w:r>
    </w:p>
    <w:p w14:paraId="001000EE" w14:textId="001000EF">
      <w:pPr>
        <w:pStyle w:val="Heading2"/>
      </w:pPr>
      <w:r>
        <w:rPr>
          <w:color w:val="1F2328"/>
        </w:rPr>
        <w:t>5.4 Feature Importance</w:t>
      </w:r>
    </w:p>
    <w:p w14:paraId="001000F0" w14:textId="001000F1">
      <w:pPr>
        <w:spacing w:after="120"/>
      </w:pPr>
      <w:r>
        <w:rPr>
          <w:b w:val="0"/>
          <w:sz w:val="22"/>
        </w:rPr>
        <w:t>Figure 5 shows the feature importance scores from the Random Forest model, indicating which features contribute most to the disease prediction. Features with higher importance scores have a stronger influence on the model's decisions.</w:t>
      </w:r>
    </w:p>
    <w:p w14:paraId="001000F2" w14:textId="001000F3">
      <w:r>
        <w:t>[Image not found: feature_importance.png]</w:t>
      </w:r>
    </w:p>
    <w:p w14:paraId="001000F4" w14:textId="001000F5">
      <w:pPr>
        <w:pStyle w:val="Heading1"/>
      </w:pPr>
      <w:r>
        <w:rPr>
          <w:color w:val="1F2328"/>
        </w:rPr>
        <w:t>6. Flask Backend API</w:t>
      </w:r>
    </w:p>
    <w:p w14:paraId="001000F6" w14:textId="001000F7">
      <w:pPr>
        <w:spacing w:after="120"/>
      </w:pPr>
      <w:r>
        <w:rPr>
          <w:b w:val="0"/>
          <w:sz w:val="22"/>
        </w:rPr>
        <w:t>The Flask API (app.py) exposes a RESTful interface for disease predictions. It loads the trained model, scaler, and metadata on startup and serves predictions on port 5000.</w:t>
      </w:r>
    </w:p>
    <w:p w14:paraId="001000F8" w14:textId="001000F9">
      <w:pPr>
        <w:pStyle w:val="Heading2"/>
      </w:pPr>
      <w:r>
        <w:rPr>
          <w:color w:val="1F2328"/>
        </w:rPr>
        <w:t>6.1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c>
          <w:tcPr>
            <w:tcW w:w="1134" w:type="dxa"/>
            <w:shd w:val="clear" w:color="auto" w:fill="2D5F8A"/>
          </w:tcPr>
          <w:p w14:paraId="001000FA" w14:textId="001000FB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835" w:type="dxa"/>
            <w:shd w:val="clear" w:color="auto" w:fill="2D5F8A"/>
          </w:tcPr>
          <w:p w14:paraId="001000FC" w14:textId="001000FD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6236" w:type="dxa"/>
            <w:shd w:val="clear" w:color="auto" w:fill="2D5F8A"/>
          </w:tcPr>
          <w:p w14:paraId="001000FE" w14:textId="001000FF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w="1134" w:type="dxa"/>
            <w:shd w:val="clear" w:color="auto" w:fill="F7F8FA"/>
          </w:tcPr>
          <w:p w14:paraId="00100100" w14:textId="00100101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7F8FA"/>
          </w:tcPr>
          <w:p w14:paraId="00100102" w14:textId="00100103">
            <w:r>
              <w:rPr>
                <w:sz w:val="20"/>
              </w:rPr>
              <w:t>/</w:t>
            </w:r>
          </w:p>
        </w:tc>
        <w:tc>
          <w:tcPr>
            <w:tcW w:w="6236" w:type="dxa"/>
            <w:shd w:val="clear" w:color="auto" w:fill="F7F8FA"/>
          </w:tcPr>
          <w:p w14:paraId="00100104" w14:textId="00100105">
            <w:r>
              <w:rPr>
                <w:sz w:val="20"/>
              </w:rPr>
              <w:t>Health check — returns service status and model name</w:t>
            </w:r>
          </w:p>
        </w:tc>
      </w:tr>
      <w:tr>
        <w:tc>
          <w:tcPr>
            <w:tcW w:w="1134" w:type="dxa"/>
            <w:shd w:val="clear" w:color="auto" w:fill="FFFFFF"/>
          </w:tcPr>
          <w:p w14:paraId="00100106" w14:textId="00100107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00100108" w14:textId="00100109">
            <w:r>
              <w:rPr>
                <w:sz w:val="20"/>
              </w:rPr>
              <w:t>/api/model-info</w:t>
            </w:r>
          </w:p>
        </w:tc>
        <w:tc>
          <w:tcPr>
            <w:tcW w:w="6236" w:type="dxa"/>
            <w:shd w:val="clear" w:color="auto" w:fill="FFFFFF"/>
          </w:tcPr>
          <w:p w14:paraId="0010010A" w14:textId="0010010B">
            <w:r>
              <w:rPr>
                <w:sz w:val="20"/>
              </w:rPr>
              <w:t>Model metrics: accuracy, F1, AUC, CV scores, all models</w:t>
            </w:r>
          </w:p>
        </w:tc>
      </w:tr>
      <w:tr>
        <w:tc>
          <w:tcPr>
            <w:tcW w:w="1134" w:type="dxa"/>
            <w:shd w:val="clear" w:color="auto" w:fill="F7F8FA"/>
          </w:tcPr>
          <w:p w14:paraId="0010010C" w14:textId="0010010D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7F8FA"/>
          </w:tcPr>
          <w:p w14:paraId="0010010E" w14:textId="0010010F">
            <w:r>
              <w:rPr>
                <w:sz w:val="20"/>
              </w:rPr>
              <w:t>/api/dataset-stats</w:t>
            </w:r>
          </w:p>
        </w:tc>
        <w:tc>
          <w:tcPr>
            <w:tcW w:w="6236" w:type="dxa"/>
            <w:shd w:val="clear" w:color="auto" w:fill="F7F8FA"/>
          </w:tcPr>
          <w:p w14:paraId="00100110" w14:textId="00100111">
            <w:r>
              <w:rPr>
                <w:sz w:val="20"/>
              </w:rPr>
              <w:t>Dataset statistics: counts, prevalence, feature stats</w:t>
            </w:r>
          </w:p>
        </w:tc>
      </w:tr>
      <w:tr>
        <w:tc>
          <w:tcPr>
            <w:tcW w:w="1134" w:type="dxa"/>
            <w:shd w:val="clear" w:color="auto" w:fill="FFFFFF"/>
          </w:tcPr>
          <w:p w14:paraId="00100112" w14:textId="00100113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00100114" w14:textId="00100115">
            <w:r>
              <w:rPr>
                <w:sz w:val="20"/>
              </w:rPr>
              <w:t>/api/features</w:t>
            </w:r>
          </w:p>
        </w:tc>
        <w:tc>
          <w:tcPr>
            <w:tcW w:w="6236" w:type="dxa"/>
            <w:shd w:val="clear" w:color="auto" w:fill="FFFFFF"/>
          </w:tcPr>
          <w:p w14:paraId="00100116" w14:textId="00100117">
            <w:r>
              <w:rPr>
                <w:sz w:val="20"/>
              </w:rPr>
              <w:t>Feature list with descriptions</w:t>
            </w:r>
          </w:p>
        </w:tc>
      </w:tr>
      <w:tr>
        <w:tc>
          <w:tcPr>
            <w:tcW w:w="1134" w:type="dxa"/>
            <w:shd w:val="clear" w:color="auto" w:fill="F7F8FA"/>
          </w:tcPr>
          <w:p w14:paraId="00100118" w14:textId="00100119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7F8FA"/>
          </w:tcPr>
          <w:p w14:paraId="0010011A" w14:textId="0010011B">
            <w:r>
              <w:rPr>
                <w:sz w:val="20"/>
              </w:rPr>
              <w:t>/api/predict</w:t>
            </w:r>
          </w:p>
        </w:tc>
        <w:tc>
          <w:tcPr>
            <w:tcW w:w="6236" w:type="dxa"/>
            <w:shd w:val="clear" w:color="auto" w:fill="F7F8FA"/>
          </w:tcPr>
          <w:p w14:paraId="0010011C" w14:textId="0010011D">
            <w:r>
              <w:rPr>
                <w:sz w:val="20"/>
              </w:rPr>
              <w:t>Single patient prediction — returns label + probability + risk</w:t>
            </w:r>
          </w:p>
        </w:tc>
      </w:tr>
      <w:tr>
        <w:tc>
          <w:tcPr>
            <w:tcW w:w="1134" w:type="dxa"/>
            <w:shd w:val="clear" w:color="auto" w:fill="FFFFFF"/>
          </w:tcPr>
          <w:p w14:paraId="0010011E" w14:textId="0010011F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FFFFF"/>
          </w:tcPr>
          <w:p w14:paraId="00100120" w14:textId="00100121">
            <w:r>
              <w:rPr>
                <w:sz w:val="20"/>
              </w:rPr>
              <w:t>/api/predict-batch</w:t>
            </w:r>
          </w:p>
        </w:tc>
        <w:tc>
          <w:tcPr>
            <w:tcW w:w="6236" w:type="dxa"/>
            <w:shd w:val="clear" w:color="auto" w:fill="FFFFFF"/>
          </w:tcPr>
          <w:p w14:paraId="00100122" w14:textId="00100123">
            <w:r>
              <w:rPr>
                <w:sz w:val="20"/>
              </w:rPr>
              <w:t>Batch prediction — JSON array of patient records</w:t>
            </w:r>
          </w:p>
        </w:tc>
      </w:tr>
    </w:tbl>
    <w:p w14:paraId="00100124" w14:textId="00100125"/>
    <w:p w14:paraId="00100126" w14:textId="00100127">
      <w:pPr>
        <w:pStyle w:val="Heading2"/>
      </w:pPr>
      <w:r>
        <w:rPr>
          <w:color w:val="1F2328"/>
        </w:rPr>
        <w:t>6.2 API Response Examples</w:t>
      </w:r>
    </w:p>
    <w:p w14:paraId="00100128" w14:textId="00100129">
      <w:pPr>
        <w:spacing w:after="40"/>
      </w:pPr>
      <w:r>
        <w:rPr>
          <w:b/>
          <w:sz w:val="22"/>
        </w:rPr>
        <w:t>GET /api/model-info response:</w:t>
      </w:r>
    </w:p>
    <w:p w14:paraId="0010012A" w14:textId="0010012B">
      <w:pPr>
        <w:spacing w:after="120"/>
      </w:pPr>
      <w:r>
        <w:rPr>
          <w:b w:val="0"/>
          <w:sz w:val="22"/>
        </w:rPr>
        <w:t xml:space="preserve">  {"model_name": "Logistic Regression", "accuracy": 0.7917, "f1_score": 0.5455, "roc_auc": 0.8434, "cv_mean": 0.849}</w:t>
      </w:r>
    </w:p>
    <w:p w14:paraId="0010012C" w14:textId="0010012D">
      <w:pPr>
        <w:spacing w:after="40"/>
      </w:pPr>
      <w:r>
        <w:rPr>
          <w:b/>
          <w:sz w:val="22"/>
        </w:rPr>
        <w:t>POST /api/predict response (high-risk patient):</w:t>
      </w:r>
    </w:p>
    <w:p w14:paraId="0010012E" w14:textId="0010012F">
      <w:pPr>
        <w:spacing w:after="120"/>
      </w:pPr>
      <w:r>
        <w:rPr>
          <w:b w:val="0"/>
          <w:sz w:val="22"/>
        </w:rPr>
        <w:t xml:space="preserve">  {"prediction": 1, "label": "Disease", "probability": 0.8958, "risk_level": "High"}</w:t>
      </w:r>
    </w:p>
    <w:p w14:paraId="00100130" w14:textId="00100131">
      <w:pPr>
        <w:spacing w:after="40"/>
      </w:pPr>
      <w:r>
        <w:rPr>
          <w:b/>
          <w:sz w:val="22"/>
        </w:rPr>
        <w:t>POST /api/predict response (low-risk patient):</w:t>
      </w:r>
    </w:p>
    <w:p w14:paraId="00100132" w14:textId="00100133">
      <w:pPr>
        <w:spacing w:after="120"/>
      </w:pPr>
      <w:r>
        <w:rPr>
          <w:b w:val="0"/>
          <w:sz w:val="22"/>
        </w:rPr>
        <w:t xml:space="preserve">  {"prediction": 0, "label": "No Disease", "probability": 0.1423, "risk_level": "Low"}</w:t>
      </w:r>
    </w:p>
    <w:p w14:paraId="00100134" w14:textId="00100135">
      <w:pPr>
        <w:pStyle w:val="Heading1"/>
      </w:pPr>
      <w:r>
        <w:rPr>
          <w:color w:val="1F2328"/>
        </w:rPr>
        <w:t>7. Streamlit Frontend UI</w:t>
      </w:r>
    </w:p>
    <w:p w14:paraId="00100136" w14:textId="00100137">
      <w:pPr>
        <w:spacing w:after="120"/>
      </w:pPr>
      <w:r>
        <w:rPr>
          <w:b w:val="0"/>
          <w:sz w:val="22"/>
        </w:rPr>
        <w:t>The Streamlit UI (ui.py) provides a multi-page interactive web dashboard that connects to the Flask backend API. It includes five pages: Home, Predict Disease, Model Insights, Dataset Explorer, and Batch Predict.</w:t>
      </w:r>
    </w:p>
    <w:p w14:paraId="00100138" w14:textId="00100139">
      <w:pPr>
        <w:pStyle w:val="Heading2"/>
      </w:pPr>
      <w:r>
        <w:rPr>
          <w:color w:val="1F2328"/>
        </w:rPr>
        <w:t>7.1 UI Pages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>
        <w:tc>
          <w:tcPr>
            <w:tcW w:w="2551" w:type="dxa"/>
            <w:shd w:val="clear" w:color="auto" w:fill="2D5F8A"/>
          </w:tcPr>
          <w:p w14:paraId="0010013A" w14:textId="0010013B"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7654" w:type="dxa"/>
            <w:shd w:val="clear" w:color="auto" w:fill="2D5F8A"/>
          </w:tcPr>
          <w:p w14:paraId="0010013C" w14:textId="0010013D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w="2551" w:type="dxa"/>
            <w:shd w:val="clear" w:color="auto" w:fill="F7F8FA"/>
          </w:tcPr>
          <w:p w14:paraId="0010013E" w14:textId="0010013F">
            <w:r>
              <w:rPr>
                <w:sz w:val="20"/>
              </w:rPr>
              <w:t>Home</w:t>
            </w:r>
          </w:p>
        </w:tc>
        <w:tc>
          <w:tcPr>
            <w:tcW w:w="7654" w:type="dxa"/>
            <w:shd w:val="clear" w:color="auto" w:fill="F7F8FA"/>
          </w:tcPr>
          <w:p w14:paraId="00100140" w14:textId="00100141">
            <w:r>
              <w:rPr>
                <w:sz w:val="20"/>
              </w:rPr>
              <w:t>System KPIs, class distribution pie chart, quick-start guide</w:t>
            </w:r>
          </w:p>
        </w:tc>
      </w:tr>
      <w:tr>
        <w:tc>
          <w:tcPr>
            <w:tcW w:w="2551" w:type="dxa"/>
            <w:shd w:val="clear" w:color="auto" w:fill="FFFFFF"/>
          </w:tcPr>
          <w:p w14:paraId="00100142" w14:textId="00100143">
            <w:r>
              <w:rPr>
                <w:sz w:val="20"/>
              </w:rPr>
              <w:t>Predict Disease</w:t>
            </w:r>
          </w:p>
        </w:tc>
        <w:tc>
          <w:tcPr>
            <w:tcW w:w="7654" w:type="dxa"/>
            <w:shd w:val="clear" w:color="auto" w:fill="FFFFFF"/>
          </w:tcPr>
          <w:p w14:paraId="00100144" w14:textId="00100145">
            <w:r>
              <w:rPr>
                <w:sz w:val="20"/>
              </w:rPr>
              <w:t>Patient input form with sliders and dropdowns; real-time prediction result</w:t>
            </w:r>
          </w:p>
        </w:tc>
      </w:tr>
      <w:tr>
        <w:tc>
          <w:tcPr>
            <w:tcW w:w="2551" w:type="dxa"/>
            <w:shd w:val="clear" w:color="auto" w:fill="F7F8FA"/>
          </w:tcPr>
          <w:p w14:paraId="00100146" w14:textId="00100147">
            <w:r>
              <w:rPr>
                <w:sz w:val="20"/>
              </w:rPr>
              <w:t>Model Insights</w:t>
            </w:r>
          </w:p>
        </w:tc>
        <w:tc>
          <w:tcPr>
            <w:tcW w:w="7654" w:type="dxa"/>
            <w:shd w:val="clear" w:color="auto" w:fill="F7F8FA"/>
          </w:tcPr>
          <w:p w14:paraId="00100148" w14:textId="00100149">
            <w:r>
              <w:rPr>
                <w:sz w:val="20"/>
              </w:rPr>
              <w:t>Performance bar charts, model comparison table, cross-validation scores</w:t>
            </w:r>
          </w:p>
        </w:tc>
      </w:tr>
      <w:tr>
        <w:tc>
          <w:tcPr>
            <w:tcW w:w="2551" w:type="dxa"/>
            <w:shd w:val="clear" w:color="auto" w:fill="FFFFFF"/>
          </w:tcPr>
          <w:p w14:paraId="0010014A" w14:textId="0010014B">
            <w:r>
              <w:rPr>
                <w:sz w:val="20"/>
              </w:rPr>
              <w:t>Dataset Explorer</w:t>
            </w:r>
          </w:p>
        </w:tc>
        <w:tc>
          <w:tcPr>
            <w:tcW w:w="7654" w:type="dxa"/>
            <w:shd w:val="clear" w:color="auto" w:fill="FFFFFF"/>
          </w:tcPr>
          <w:p w14:paraId="0010014C" w14:textId="0010014D">
            <w:r>
              <w:rPr>
                <w:sz w:val="20"/>
              </w:rPr>
              <w:t>Feature statistics table, mean/std bar chart with error bars</w:t>
            </w:r>
          </w:p>
        </w:tc>
      </w:tr>
      <w:tr>
        <w:tc>
          <w:tcPr>
            <w:tcW w:w="2551" w:type="dxa"/>
            <w:shd w:val="clear" w:color="auto" w:fill="F7F8FA"/>
          </w:tcPr>
          <w:p w14:paraId="0010014E" w14:textId="0010014F">
            <w:r>
              <w:rPr>
                <w:sz w:val="20"/>
              </w:rPr>
              <w:t>Batch Predict</w:t>
            </w:r>
          </w:p>
        </w:tc>
        <w:tc>
          <w:tcPr>
            <w:tcW w:w="7654" w:type="dxa"/>
            <w:shd w:val="clear" w:color="auto" w:fill="F7F8FA"/>
          </w:tcPr>
          <w:p w14:paraId="00100150" w14:textId="00100151">
            <w:r>
              <w:rPr>
                <w:sz w:val="20"/>
              </w:rPr>
              <w:t>CSV file upload or JSON paste for bulk prediction with summary pie chart</w:t>
            </w:r>
          </w:p>
        </w:tc>
      </w:tr>
    </w:tbl>
    <w:p w14:paraId="00100152" w14:textId="00100153"/>
    <w:p w14:paraId="00100154" w14:textId="00100155">
      <w:pPr>
        <w:pStyle w:val="Heading2"/>
      </w:pPr>
      <w:r>
        <w:rPr>
          <w:color w:val="1F2328"/>
        </w:rPr>
        <w:t>7.2 UI Screenshots</w:t>
      </w:r>
    </w:p>
    <w:p w14:paraId="00100156" w14:textId="00100157"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99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99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58" w14:textId="00100159">
      <w:pPr>
        <w:spacing w:after="160"/>
        <w:jc w:val="center"/>
      </w:pPr>
      <w:r>
        <w:rPr>
          <w:color w:val="57606A"/>
          <w:sz w:val="18"/>
        </w:rPr>
        <w:t>Figure 6 – Home page showing KPI cards and class distribution</w:t>
      </w:r>
    </w:p>
    <w:p w14:paraId="0010015A" w14:textId="0010015B"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99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redi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99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5C" w14:textId="0010015D">
      <w:pPr>
        <w:spacing w:after="160"/>
        <w:jc w:val="center"/>
      </w:pPr>
      <w:r>
        <w:rPr>
          <w:color w:val="57606A"/>
          <w:sz w:val="18"/>
        </w:rPr>
        <w:t>Figure 7 – Predict Disease page with patient form and result card</w:t>
      </w:r>
    </w:p>
    <w:p w14:paraId="0010015E" w14:textId="0010015F"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99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del_insigh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99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60" w14:textId="00100161">
      <w:pPr>
        <w:spacing w:after="160"/>
        <w:jc w:val="center"/>
      </w:pPr>
      <w:r>
        <w:rPr>
          <w:color w:val="57606A"/>
          <w:sz w:val="18"/>
        </w:rPr>
        <w:t>Figure 8 – Model Insights page with comparison chart and table</w:t>
      </w:r>
    </w:p>
    <w:p w14:paraId="00100162" w14:textId="00100163"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99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atas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99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64" w14:textId="00100165">
      <w:pPr>
        <w:spacing w:after="160"/>
        <w:jc w:val="center"/>
      </w:pPr>
      <w:r>
        <w:rPr>
          <w:color w:val="57606A"/>
          <w:sz w:val="18"/>
        </w:rPr>
        <w:t>Figure 9 – Dataset Explorer page with feature statistics</w:t>
      </w:r>
    </w:p>
    <w:p w14:paraId="00100166" w14:textId="00100167">
      <w:pPr>
        <w:pStyle w:val="Heading1"/>
      </w:pPr>
      <w:r>
        <w:rPr>
          <w:color w:val="1F2328"/>
        </w:rPr>
        <w:t>8. Run Instructions</w:t>
      </w:r>
    </w:p>
    <w:p w14:paraId="00100168" w14:textId="00100169">
      <w:pPr>
        <w:spacing w:after="40"/>
      </w:pPr>
      <w:r>
        <w:rPr>
          <w:b/>
          <w:sz w:val="22"/>
        </w:rPr>
        <w:t>Step 1 — Install dependencies</w:t>
      </w:r>
    </w:p>
    <w:p w14:paraId="0010016A" w14:textId="0010016B">
      <w:pPr>
        <w:spacing w:after="120"/>
      </w:pPr>
      <w:r>
        <w:rPr>
          <w:b w:val="0"/>
          <w:sz w:val="22"/>
        </w:rPr>
        <w:t xml:space="preserve">    pip install -r requirements.txt</w:t>
      </w:r>
    </w:p>
    <w:p w14:paraId="0010016C" w14:textId="0010016D">
      <w:pPr>
        <w:spacing w:after="40"/>
      </w:pPr>
      <w:r>
        <w:rPr>
          <w:b/>
          <w:sz w:val="22"/>
        </w:rPr>
        <w:t>Step 2 — Train the ML model</w:t>
      </w:r>
    </w:p>
    <w:p w14:paraId="0010016E" w14:textId="0010016F">
      <w:pPr>
        <w:spacing w:after="120"/>
      </w:pPr>
      <w:r>
        <w:rPr>
          <w:b w:val="0"/>
          <w:sz w:val="22"/>
        </w:rPr>
        <w:t xml:space="preserve">    python train_model.py</w:t>
      </w:r>
    </w:p>
    <w:p w14:paraId="00100170" w14:textId="00100171">
      <w:pPr>
        <w:spacing w:after="40"/>
      </w:pPr>
      <w:r>
        <w:rPr>
          <w:b/>
          <w:sz w:val="22"/>
        </w:rPr>
        <w:t>Step 3 — Start the Flask backend (Terminal 1)</w:t>
      </w:r>
    </w:p>
    <w:p w14:paraId="00100172" w14:textId="00100173">
      <w:pPr>
        <w:spacing w:after="120"/>
      </w:pPr>
      <w:r>
        <w:rPr>
          <w:b w:val="0"/>
          <w:sz w:val="22"/>
        </w:rPr>
        <w:t xml:space="preserve">    python app.py   →  API live at http://127.0.0.1:5000</w:t>
      </w:r>
    </w:p>
    <w:p w14:paraId="00100174" w14:textId="00100175">
      <w:pPr>
        <w:spacing w:after="40"/>
      </w:pPr>
      <w:r>
        <w:rPr>
          <w:b/>
          <w:sz w:val="22"/>
        </w:rPr>
        <w:t>Step 4 — Launch the Streamlit frontend (Terminal 2)</w:t>
      </w:r>
    </w:p>
    <w:p w14:paraId="00100176" w14:textId="00100177">
      <w:pPr>
        <w:spacing w:after="120"/>
      </w:pPr>
      <w:r>
        <w:rPr>
          <w:b w:val="0"/>
          <w:sz w:val="22"/>
        </w:rPr>
        <w:t xml:space="preserve">    streamlit run ui.py   →  UI at http://localhost:8501</w:t>
      </w:r>
    </w:p>
    <w:p w14:paraId="00100178" w14:textId="00100179">
      <w:pPr>
        <w:pStyle w:val="Heading1"/>
      </w:pPr>
      <w:r>
        <w:rPr>
          <w:color w:val="1F2328"/>
        </w:rPr>
        <w:t>9. Conclusion</w:t>
      </w:r>
    </w:p>
    <w:p w14:paraId="0010017A" w14:textId="0010017B">
      <w:pPr>
        <w:spacing w:after="120"/>
      </w:pPr>
      <w:r>
        <w:rPr>
          <w:b w:val="0"/>
          <w:sz w:val="22"/>
        </w:rPr>
        <w:t>This project successfully demonstrates an end-to-end machine learning pipeline for cardiovascular disease prediction, running entirely on Python 3.14 without any compiled native libraries. The custom pure-NumPy implementations of Logistic Regression and Random Forest provide interpretability and full portability. The Flask + Streamlit architecture cleanly separates the ML inference layer from the UI, allowing independent scaling and testing of each component. The Logistic Regression model achieves an ROC-AUC of 0.8434, demonstrating good discriminative ability for cardiovascular risk stratification.</w:t>
      </w:r>
    </w:p>
    <w:p w14:paraId="0010017C" w14:textId="0010017D">
      <w:pPr>
        <w:spacing w:after="120"/>
      </w:pPr>
      <w:r>
        <w:rPr>
          <w:b w:val="0"/>
          <w:sz w:val="22"/>
        </w:rPr>
        <w:t>Future improvements could include: integrating real UCI Heart Disease or Kaggle cardiovascular datasets, adding SHAP explainability for individual predictions, implementing model retraining on new data through the API, and deploying with a production WSGI server such as Gunicorn.</w:t>
      </w:r>
    </w:p>
    <w:sectPr w:rsidRPr="0006063C" w:rsidR="00FC693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2026-10-10T19:33:20Z</vt:lpwstr>
  </op:property>
</op:Properties>
</file>