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2D6B"/>
          <w:sz w:val="36"/>
        </w:rPr>
        <w:t>POST-MORTEM REPORT — INC0001234</w:t>
      </w:r>
    </w:p>
    <w:p/>
    <w:p>
      <w:r>
        <w:rPr>
          <w:b/>
          <w:sz w:val="20"/>
        </w:rPr>
        <w:t xml:space="preserve">Incident: </w:t>
      </w:r>
      <w:r>
        <w:rPr>
          <w:color w:val="445577"/>
          <w:sz w:val="20"/>
        </w:rPr>
        <w:t>INC0001234 — P1 APAC BGP Outage</w:t>
      </w:r>
    </w:p>
    <w:p>
      <w:r>
        <w:rPr>
          <w:b/>
          <w:sz w:val="20"/>
        </w:rPr>
        <w:t xml:space="preserve">Date: </w:t>
      </w:r>
      <w:r>
        <w:rPr>
          <w:color w:val="445577"/>
          <w:sz w:val="20"/>
        </w:rPr>
        <w:t>14 January 2025  |  03:47–06:22 UTC</w:t>
      </w:r>
    </w:p>
    <w:p>
      <w:r>
        <w:rPr>
          <w:b/>
          <w:sz w:val="20"/>
        </w:rPr>
        <w:t xml:space="preserve">Duration: </w:t>
      </w:r>
      <w:r>
        <w:rPr>
          <w:color w:val="445577"/>
          <w:sz w:val="20"/>
        </w:rPr>
        <w:t>2 hours 35 minutes  (SLA BREACH by 35 minutes)</w:t>
      </w:r>
    </w:p>
    <w:p>
      <w:r>
        <w:rPr>
          <w:b/>
          <w:sz w:val="20"/>
        </w:rPr>
        <w:t xml:space="preserve">Author: </w:t>
      </w:r>
      <w:r>
        <w:rPr>
          <w:color w:val="445577"/>
          <w:sz w:val="20"/>
        </w:rPr>
        <w:t>James Wu (CTO)  |  Reviewed: Angela Brooks (IT Director)</w:t>
      </w:r>
    </w:p>
    <w:p>
      <w:r>
        <w:rPr>
          <w:b/>
          <w:sz w:val="20"/>
        </w:rPr>
        <w:t xml:space="preserve">Status: </w:t>
      </w:r>
      <w:r>
        <w:rPr>
          <w:color w:val="445577"/>
          <w:sz w:val="20"/>
        </w:rPr>
        <w:t>Post-mortem complete — all corrective actions tracked</w:t>
      </w:r>
    </w:p>
    <w:p/>
    <w:p>
      <w:pPr>
        <w:pStyle w:val="Heading1"/>
      </w:pPr>
      <w:r>
        <w:rPr>
          <w:color w:val="0D2D6B"/>
          <w:sz w:val="28"/>
        </w:rPr>
        <w:t>1. Executive Summary</w:t>
      </w:r>
    </w:p>
    <w:p>
      <w:r>
        <w:t>A Priority 1 BGP routing outage affecting all APAC network connections began at 03:47 UTC on 14 January 2025. The outage was caused by Ansible Tower automation job AT-4421 applying a Disaster Recovery BGP community filter to production routers due to a CI/CD approval gate defect. 847 users across Singapore, Sydney, and Tokyo were unable to access corporate systems for 2 hours 35 minutes, resulting in a total business impact of USD 142,000.</w:t>
      </w:r>
    </w:p>
    <w:p>
      <w:r>
        <w:drawing>
          <wp:inline xmlns:a="http://schemas.openxmlformats.org/drawingml/2006/main" xmlns:pic="http://schemas.openxmlformats.org/drawingml/2006/picture">
            <wp:extent cx="5486400" cy="1389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9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Figure 1: INC0001234 Key Performance Metrics</w:t>
      </w:r>
    </w:p>
    <w:p/>
    <w:p>
      <w:pPr>
        <w:pStyle w:val="Heading1"/>
      </w:pPr>
      <w:r>
        <w:rPr>
          <w:color w:val="0D2D6B"/>
          <w:sz w:val="28"/>
        </w:rPr>
        <w:t>2. Impact Analysis</w:t>
      </w:r>
    </w:p>
    <w:p>
      <w:r>
        <w:drawing>
          <wp:inline xmlns:a="http://schemas.openxmlformats.org/drawingml/2006/main" xmlns:pic="http://schemas.openxmlformats.org/drawingml/2006/picture">
            <wp:extent cx="5669280" cy="24188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18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Figure 2: INC0001234 Incident Timeline</w:t>
      </w:r>
    </w:p>
    <w:p/>
    <w:p>
      <w:pPr>
        <w:pStyle w:val="Heading2"/>
      </w:pPr>
      <w:r>
        <w:rPr>
          <w:color w:val="1A4F9E"/>
          <w:sz w:val="24"/>
        </w:rPr>
        <w:t>2.1 Financial Impact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02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Impact Category</w:t>
            </w:r>
          </w:p>
        </w:tc>
        <w:tc>
          <w:tcPr>
            <w:tcW w:type="dxa" w:w="360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Systems Affected</w:t>
            </w:r>
          </w:p>
        </w:tc>
        <w:tc>
          <w:tcPr>
            <w:tcW w:type="dxa" w:w="144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872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Cost (USD)</w:t>
            </w:r>
          </w:p>
        </w:tc>
      </w:tr>
      <w:tr>
        <w:tc>
          <w:tcPr>
            <w:tcW w:type="dxa" w:w="3024"/>
            <w:shd w:val="clear" w:color="auto" w:fill="F0F4FF"/>
          </w:tcPr>
          <w:p>
            <w:r>
              <w:rPr>
                <w:sz w:val="18"/>
              </w:rPr>
              <w:t>SAP ERP — EDI Transactions</w:t>
            </w:r>
          </w:p>
        </w:tc>
        <w:tc>
          <w:tcPr>
            <w:tcW w:type="dxa" w:w="3600"/>
            <w:shd w:val="clear" w:color="auto" w:fill="F0F4FF"/>
          </w:tcPr>
          <w:p>
            <w:r>
              <w:rPr>
                <w:sz w:val="18"/>
              </w:rPr>
              <w:t>APAC app servers — logistics EDI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sz w:val="18"/>
              </w:rPr>
              <w:t>2h 35min</w:t>
            </w:r>
          </w:p>
        </w:tc>
        <w:tc>
          <w:tcPr>
            <w:tcW w:type="dxa" w:w="1872"/>
            <w:shd w:val="clear" w:color="auto" w:fill="F0F4FF"/>
          </w:tcPr>
          <w:p>
            <w:r>
              <w:rPr>
                <w:sz w:val="18"/>
              </w:rPr>
              <w:t>$94,000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Staff Productivity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847 APAC users — all corporate apps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2h 35min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$48,000</w:t>
            </w:r>
          </w:p>
        </w:tc>
      </w:tr>
      <w:tr>
        <w:tc>
          <w:tcPr>
            <w:tcW w:type="dxa" w:w="3024"/>
            <w:shd w:val="clear" w:color="auto" w:fill="F0F4FF"/>
          </w:tcPr>
          <w:p>
            <w:r>
              <w:rPr>
                <w:sz w:val="18"/>
              </w:rPr>
              <w:t>Salesforce CRM</w:t>
            </w:r>
          </w:p>
        </w:tc>
        <w:tc>
          <w:tcPr>
            <w:tcW w:type="dxa" w:w="3600"/>
            <w:shd w:val="clear" w:color="auto" w:fill="F0F4FF"/>
          </w:tcPr>
          <w:p>
            <w:r>
              <w:rPr>
                <w:sz w:val="18"/>
              </w:rPr>
              <w:t>Sales team unable to update opportunities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sz w:val="18"/>
              </w:rPr>
              <w:t>2h 35min</w:t>
            </w:r>
          </w:p>
        </w:tc>
        <w:tc>
          <w:tcPr>
            <w:tcW w:type="dxa" w:w="1872"/>
            <w:shd w:val="clear" w:color="auto" w:fill="F0F4FF"/>
          </w:tcPr>
          <w:p>
            <w:r>
              <w:rPr>
                <w:sz w:val="18"/>
              </w:rPr>
              <w:t>$28,000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Customer SLA Credits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Acme Global, Pacific Logistics, SG Financial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$12,000</w:t>
            </w:r>
          </w:p>
        </w:tc>
      </w:tr>
      <w:tr>
        <w:tc>
          <w:tcPr>
            <w:tcW w:type="dxa" w:w="3024"/>
            <w:shd w:val="clear" w:color="auto" w:fill="F0F4FF"/>
          </w:tcPr>
          <w:p>
            <w:r>
              <w:rPr>
                <w:sz w:val="18"/>
              </w:rPr>
              <w:t>Incident Response Overtime</w:t>
            </w:r>
          </w:p>
        </w:tc>
        <w:tc>
          <w:tcPr>
            <w:tcW w:type="dxa" w:w="3600"/>
            <w:shd w:val="clear" w:color="auto" w:fill="F0F4FF"/>
          </w:tcPr>
          <w:p>
            <w:r>
              <w:rPr>
                <w:sz w:val="18"/>
              </w:rPr>
              <w:t>NOC, Network, DevOps after-hours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sz w:val="18"/>
              </w:rPr>
              <w:t>3.5 hours</w:t>
            </w:r>
          </w:p>
        </w:tc>
        <w:tc>
          <w:tcPr>
            <w:tcW w:type="dxa" w:w="1872"/>
            <w:shd w:val="clear" w:color="auto" w:fill="F0F4FF"/>
          </w:tcPr>
          <w:p>
            <w:r>
              <w:rPr>
                <w:sz w:val="18"/>
              </w:rPr>
              <w:t>$2,040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USD 142,000</w:t>
            </w:r>
          </w:p>
        </w:tc>
      </w:tr>
    </w:tbl>
    <w:p/>
    <w:p>
      <w:pPr>
        <w:pStyle w:val="Heading1"/>
      </w:pPr>
      <w:r>
        <w:rPr>
          <w:color w:val="0D2D6B"/>
          <w:sz w:val="28"/>
        </w:rPr>
        <w:t>3. Root Cause and Contributing Factors</w:t>
      </w:r>
    </w:p>
    <w:p>
      <w:r>
        <w:t>The primary root cause was a defect in the Jenkinsfile CI/CD pipeline approval gate. The gate evaluated the condition 'build.state != Cancelled' — meaning any job not explicitly cancelled would pass, regardless of approval status. This allowed Ansible Tower job AT-4421 to execute against production APAC core routers (R1, R2, R3) without Network CAB review.</w:t>
      </w:r>
    </w:p>
    <w:p>
      <w:r>
        <w:drawing>
          <wp:inline xmlns:a="http://schemas.openxmlformats.org/drawingml/2006/main" xmlns:pic="http://schemas.openxmlformats.org/drawingml/2006/picture">
            <wp:extent cx="5486400" cy="31350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Figure 3: Corrective Action Completion Status</w:t>
      </w:r>
    </w:p>
    <w:p/>
    <w:p>
      <w:pPr>
        <w:pStyle w:val="Heading2"/>
      </w:pPr>
      <w:r>
        <w:rPr>
          <w:color w:val="1A4F9E"/>
          <w:sz w:val="24"/>
        </w:rPr>
        <w:t>3.1 Contributing Factors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Factor</w:t>
            </w:r>
          </w:p>
        </w:tc>
        <w:tc>
          <w:tcPr>
            <w:tcW w:type="dxa" w:w="432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360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Control Gap</w:t>
            </w:r>
          </w:p>
        </w:tc>
      </w:tr>
      <w:tr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CI/CD gate defect</w:t>
            </w:r>
          </w:p>
        </w:tc>
        <w:tc>
          <w:tcPr>
            <w:tcW w:type="dxa" w:w="4320"/>
            <w:shd w:val="clear" w:color="auto" w:fill="F0F4FF"/>
          </w:tcPr>
          <w:p>
            <w:r>
              <w:rPr>
                <w:sz w:val="18"/>
              </w:rPr>
              <w:t>Jenkinsfile: state != Cancelled instead of state == Approved</w:t>
            </w:r>
          </w:p>
        </w:tc>
        <w:tc>
          <w:tcPr>
            <w:tcW w:type="dxa" w:w="3600"/>
            <w:shd w:val="clear" w:color="auto" w:fill="F0F4FF"/>
          </w:tcPr>
          <w:p>
            <w:r>
              <w:rPr>
                <w:sz w:val="18"/>
              </w:rPr>
              <w:t>Code review did not test boolean logic edge cases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Shared inventory tag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DR and production APAC routers both tagged 'APAC' in Ansible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No environment segregation in Ansible Tower inventory</w:t>
            </w:r>
          </w:p>
        </w:tc>
      </w:tr>
      <w:tr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No pre-flight diff</w:t>
            </w:r>
          </w:p>
        </w:tc>
        <w:tc>
          <w:tcPr>
            <w:tcW w:type="dxa" w:w="4320"/>
            <w:shd w:val="clear" w:color="auto" w:fill="F0F4FF"/>
          </w:tcPr>
          <w:p>
            <w:r>
              <w:rPr>
                <w:sz w:val="18"/>
              </w:rPr>
              <w:t>Ansible playbook lacked dry-run step before executing</w:t>
            </w:r>
          </w:p>
        </w:tc>
        <w:tc>
          <w:tcPr>
            <w:tcW w:type="dxa" w:w="3600"/>
            <w:shd w:val="clear" w:color="auto" w:fill="F0F4FF"/>
          </w:tcPr>
          <w:p>
            <w:r>
              <w:rPr>
                <w:sz w:val="18"/>
              </w:rPr>
              <w:t>Validation step not included in playbook design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Automation not a Change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AT-4421 exempt from CAB — classified as routine automation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Automated network jobs not subject to change management</w:t>
            </w:r>
          </w:p>
        </w:tc>
      </w:tr>
    </w:tbl>
    <w:p/>
    <w:p>
      <w:pPr>
        <w:pStyle w:val="Heading1"/>
      </w:pPr>
      <w:r>
        <w:rPr>
          <w:color w:val="0D2D6B"/>
          <w:sz w:val="28"/>
        </w:rPr>
        <w:t>4. SLA Context</w:t>
      </w:r>
    </w:p>
    <w:p>
      <w:r>
        <w:drawing>
          <wp:inline xmlns:a="http://schemas.openxmlformats.org/drawingml/2006/main" xmlns:pic="http://schemas.openxmlformats.org/drawingml/2006/picture">
            <wp:extent cx="5029200" cy="27241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2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Figure 4: P1 SLA Compliance — Q1 2025 vs Target</w:t>
      </w:r>
    </w:p>
    <w:p/>
    <w:p>
      <w:r>
        <w:t>The January 2025 P1 SLA compliance of 50.0% represents a severe breach of the 99.0% target. INC0001234 alone caused 2 of 4 P1 incidents in January to breach SLA. The Q1 trend shows continued deterioration in February (40.0%) before partial recovery in March.</w:t>
      </w:r>
    </w:p>
    <w:p>
      <w:r>
        <w:rPr>
          <w:b/>
          <w:color w:val="555555"/>
          <w:sz w:val="18"/>
        </w:rPr>
        <w:t>Table 4: P1 SLA Compliance Context — Q1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0D2D6B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234"/>
            <w:shd w:val="clear" w:fill="0D2D6B"/>
          </w:tcPr>
          <w:p>
            <w:r/>
            <w:r>
              <w:rPr>
                <w:b/>
                <w:color w:val="FFFFFF"/>
                <w:sz w:val="18"/>
              </w:rPr>
              <w:t>Jan 2025</w:t>
            </w:r>
          </w:p>
        </w:tc>
        <w:tc>
          <w:tcPr>
            <w:tcW w:type="dxa" w:w="1234"/>
            <w:shd w:val="clear" w:fill="0D2D6B"/>
          </w:tcPr>
          <w:p>
            <w:r/>
            <w:r>
              <w:rPr>
                <w:b/>
                <w:color w:val="FFFFFF"/>
                <w:sz w:val="18"/>
              </w:rPr>
              <w:t>Feb 2025</w:t>
            </w:r>
          </w:p>
        </w:tc>
        <w:tc>
          <w:tcPr>
            <w:tcW w:type="dxa" w:w="1234"/>
            <w:shd w:val="clear" w:fill="0D2D6B"/>
          </w:tcPr>
          <w:p>
            <w:r/>
            <w:r>
              <w:rPr>
                <w:b/>
                <w:color w:val="FFFFFF"/>
                <w:sz w:val="18"/>
              </w:rPr>
              <w:t>Mar 2025</w:t>
            </w:r>
          </w:p>
        </w:tc>
        <w:tc>
          <w:tcPr>
            <w:tcW w:type="dxa" w:w="1234"/>
            <w:shd w:val="clear" w:fill="0D2D6B"/>
          </w:tcPr>
          <w:p>
            <w:r/>
            <w:r>
              <w:rPr>
                <w:b/>
                <w:color w:val="FFFFFF"/>
                <w:sz w:val="18"/>
              </w:rPr>
              <w:t>Q1 2025</w:t>
            </w:r>
          </w:p>
        </w:tc>
        <w:tc>
          <w:tcPr>
            <w:tcW w:type="dxa" w:w="1234"/>
            <w:shd w:val="clear" w:fill="0D2D6B"/>
          </w:tcPr>
          <w:p>
            <w:r/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234"/>
            <w:shd w:val="clear" w:fill="0D2D6B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234"/>
            <w:shd w:val="clear" w:fill="F2F6FF"/>
          </w:tcPr>
          <w:p>
            <w:r/>
            <w:r>
              <w:rPr>
                <w:sz w:val="18"/>
              </w:rPr>
              <w:t>P1 SLA %</w:t>
            </w:r>
          </w:p>
        </w:tc>
        <w:tc>
          <w:tcPr>
            <w:tcW w:type="dxa" w:w="1234"/>
            <w:shd w:val="clear" w:fill="F2F6FF"/>
          </w:tcPr>
          <w:p>
            <w:r/>
            <w:r>
              <w:rPr>
                <w:sz w:val="18"/>
              </w:rPr>
              <w:t>50.0%</w:t>
            </w:r>
          </w:p>
        </w:tc>
        <w:tc>
          <w:tcPr>
            <w:tcW w:type="dxa" w:w="1234"/>
            <w:shd w:val="clear" w:fill="F2F6FF"/>
          </w:tcPr>
          <w:p>
            <w:r/>
            <w:r>
              <w:rPr>
                <w:sz w:val="18"/>
              </w:rPr>
              <w:t>91.7%</w:t>
            </w:r>
          </w:p>
        </w:tc>
        <w:tc>
          <w:tcPr>
            <w:tcW w:type="dxa" w:w="1234"/>
            <w:shd w:val="clear" w:fill="F2F6FF"/>
          </w:tcPr>
          <w:p>
            <w:r/>
            <w:r>
              <w:rPr>
                <w:sz w:val="18"/>
              </w:rPr>
              <w:t>94.0%</w:t>
            </w:r>
          </w:p>
        </w:tc>
        <w:tc>
          <w:tcPr>
            <w:tcW w:type="dxa" w:w="1234"/>
            <w:shd w:val="clear" w:fill="F2F6FF"/>
          </w:tcPr>
          <w:p>
            <w:r/>
            <w:r>
              <w:rPr>
                <w:sz w:val="18"/>
              </w:rPr>
              <w:t>84.2%</w:t>
            </w:r>
          </w:p>
        </w:tc>
        <w:tc>
          <w:tcPr>
            <w:tcW w:type="dxa" w:w="1234"/>
            <w:shd w:val="clear" w:fill="F2F6FF"/>
          </w:tcPr>
          <w:p>
            <w:r/>
            <w:r>
              <w:rPr>
                <w:sz w:val="18"/>
              </w:rPr>
              <w:t>99.0%</w:t>
            </w:r>
          </w:p>
        </w:tc>
        <w:tc>
          <w:tcPr>
            <w:tcW w:type="dxa" w:w="1234"/>
            <w:shd w:val="clear" w:fill="F2F6FF"/>
          </w:tcPr>
          <w:p>
            <w:r/>
            <w:r>
              <w:rPr>
                <w:b/>
                <w:color w:val="A32D2D"/>
                <w:sz w:val="18"/>
              </w:rPr>
              <w:t>BREACH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P2 SLA 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89.0%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91.0%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95.0%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91.7%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95.0%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A32D2D"/>
                <w:sz w:val="18"/>
              </w:rPr>
              <w:t>BREACH</w:t>
            </w:r>
          </w:p>
        </w:tc>
      </w:tr>
      <w:tr>
        <w:tc>
          <w:tcPr>
            <w:tcW w:type="dxa" w:w="1234"/>
            <w:shd w:val="clear" w:fill="F2F6FF"/>
          </w:tcPr>
          <w:p>
            <w:r/>
            <w:r>
              <w:rPr>
                <w:sz w:val="18"/>
              </w:rPr>
              <w:t>P3 SLA %</w:t>
            </w:r>
          </w:p>
        </w:tc>
        <w:tc>
          <w:tcPr>
            <w:tcW w:type="dxa" w:w="1234"/>
            <w:shd w:val="clear" w:fill="F2F6FF"/>
          </w:tcPr>
          <w:p>
            <w:r/>
            <w:r>
              <w:rPr>
                <w:sz w:val="18"/>
              </w:rPr>
              <w:t>93.0%</w:t>
            </w:r>
          </w:p>
        </w:tc>
        <w:tc>
          <w:tcPr>
            <w:tcW w:type="dxa" w:w="1234"/>
            <w:shd w:val="clear" w:fill="F2F6FF"/>
          </w:tcPr>
          <w:p>
            <w:r/>
            <w:r>
              <w:rPr>
                <w:sz w:val="18"/>
              </w:rPr>
              <w:t>94.0%</w:t>
            </w:r>
          </w:p>
        </w:tc>
        <w:tc>
          <w:tcPr>
            <w:tcW w:type="dxa" w:w="1234"/>
            <w:shd w:val="clear" w:fill="F2F6FF"/>
          </w:tcPr>
          <w:p>
            <w:r/>
            <w:r>
              <w:rPr>
                <w:sz w:val="18"/>
              </w:rPr>
              <w:t>95.0%</w:t>
            </w:r>
          </w:p>
        </w:tc>
        <w:tc>
          <w:tcPr>
            <w:tcW w:type="dxa" w:w="1234"/>
            <w:shd w:val="clear" w:fill="F2F6FF"/>
          </w:tcPr>
          <w:p>
            <w:r/>
            <w:r>
              <w:rPr>
                <w:sz w:val="18"/>
              </w:rPr>
              <w:t>94.0%</w:t>
            </w:r>
          </w:p>
        </w:tc>
        <w:tc>
          <w:tcPr>
            <w:tcW w:type="dxa" w:w="1234"/>
            <w:shd w:val="clear" w:fill="F2F6FF"/>
          </w:tcPr>
          <w:p>
            <w:r/>
            <w:r>
              <w:rPr>
                <w:sz w:val="18"/>
              </w:rPr>
              <w:t>90.0%</w:t>
            </w:r>
          </w:p>
        </w:tc>
        <w:tc>
          <w:tcPr>
            <w:tcW w:type="dxa" w:w="1234"/>
            <w:shd w:val="clear" w:fill="F2F6FF"/>
          </w:tcPr>
          <w:p>
            <w:r/>
            <w:r>
              <w:rPr>
                <w:b/>
                <w:color w:val="1B5E20"/>
                <w:sz w:val="18"/>
              </w:rPr>
              <w:t>MET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Availability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99.68%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99.70%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99.75%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99.71%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99.90%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A32D2D"/>
                <w:sz w:val="18"/>
              </w:rPr>
              <w:t>BREACH</w:t>
            </w:r>
          </w:p>
        </w:tc>
      </w:tr>
      <w:tr>
        <w:tc>
          <w:tcPr>
            <w:tcW w:type="dxa" w:w="1234"/>
            <w:shd w:val="clear" w:fill="F2F6FF"/>
          </w:tcPr>
          <w:p>
            <w:r/>
            <w:r>
              <w:rPr>
                <w:sz w:val="18"/>
              </w:rPr>
              <w:t>MTTR (P1)</w:t>
            </w:r>
          </w:p>
        </w:tc>
        <w:tc>
          <w:tcPr>
            <w:tcW w:type="dxa" w:w="1234"/>
            <w:shd w:val="clear" w:fill="F2F6FF"/>
          </w:tcPr>
          <w:p>
            <w:r/>
            <w:r>
              <w:rPr>
                <w:sz w:val="18"/>
              </w:rPr>
              <w:t>95min</w:t>
            </w:r>
          </w:p>
        </w:tc>
        <w:tc>
          <w:tcPr>
            <w:tcW w:type="dxa" w:w="1234"/>
            <w:shd w:val="clear" w:fill="F2F6FF"/>
          </w:tcPr>
          <w:p>
            <w:r/>
            <w:r>
              <w:rPr>
                <w:sz w:val="18"/>
              </w:rPr>
              <w:t>88min</w:t>
            </w:r>
          </w:p>
        </w:tc>
        <w:tc>
          <w:tcPr>
            <w:tcW w:type="dxa" w:w="1234"/>
            <w:shd w:val="clear" w:fill="F2F6FF"/>
          </w:tcPr>
          <w:p>
            <w:r/>
            <w:r>
              <w:rPr>
                <w:sz w:val="18"/>
              </w:rPr>
              <w:t>82min</w:t>
            </w:r>
          </w:p>
        </w:tc>
        <w:tc>
          <w:tcPr>
            <w:tcW w:type="dxa" w:w="1234"/>
            <w:shd w:val="clear" w:fill="F2F6FF"/>
          </w:tcPr>
          <w:p>
            <w:r/>
            <w:r>
              <w:rPr>
                <w:sz w:val="18"/>
              </w:rPr>
              <w:t>88min</w:t>
            </w:r>
          </w:p>
        </w:tc>
        <w:tc>
          <w:tcPr>
            <w:tcW w:type="dxa" w:w="1234"/>
            <w:shd w:val="clear" w:fill="F2F6FF"/>
          </w:tcPr>
          <w:p>
            <w:r/>
            <w:r>
              <w:rPr>
                <w:sz w:val="18"/>
              </w:rPr>
              <w:t>60min</w:t>
            </w:r>
          </w:p>
        </w:tc>
        <w:tc>
          <w:tcPr>
            <w:tcW w:type="dxa" w:w="1234"/>
            <w:shd w:val="clear" w:fill="F2F6FF"/>
          </w:tcPr>
          <w:p>
            <w:r/>
            <w:r>
              <w:rPr>
                <w:b/>
                <w:color w:val="A32D2D"/>
                <w:sz w:val="18"/>
              </w:rPr>
              <w:t>BREACH</w:t>
            </w:r>
          </w:p>
        </w:tc>
      </w:tr>
    </w:tbl>
    <w:p>
      <w:pPr>
        <w:pStyle w:val="Heading1"/>
      </w:pPr>
      <w:r>
        <w:rPr>
          <w:color w:val="0D2D6B"/>
          <w:sz w:val="28"/>
        </w:rPr>
        <w:t>5. Corrective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4032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216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Due</w:t>
            </w:r>
          </w:p>
        </w:tc>
        <w:tc>
          <w:tcPr>
            <w:tcW w:type="dxa" w:w="144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720"/>
            <w:shd w:val="clear" w:color="auto" w:fill="F0F4FF"/>
          </w:tcPr>
          <w:p>
            <w:r>
              <w:rPr>
                <w:sz w:val="18"/>
              </w:rPr>
              <w:t>CA-01</w:t>
            </w:r>
          </w:p>
        </w:tc>
        <w:tc>
          <w:tcPr>
            <w:tcW w:type="dxa" w:w="4032"/>
            <w:shd w:val="clear" w:color="auto" w:fill="F0F4FF"/>
          </w:tcPr>
          <w:p>
            <w:r>
              <w:rPr>
                <w:sz w:val="18"/>
              </w:rPr>
              <w:t>Fix Jenkinsfile gate: state == Approved with Allow-list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Platform Engineering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2025-01-21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sz w:val="18"/>
              </w:rPr>
              <w:t>In Progress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CA-02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Add pre-flight BGP diff check — abort if &gt; 5-line diff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Automation Team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2025-01-28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In Progress</w:t>
            </w:r>
          </w:p>
        </w:tc>
      </w:tr>
      <w:tr>
        <w:tc>
          <w:tcPr>
            <w:tcW w:type="dxa" w:w="720"/>
            <w:shd w:val="clear" w:color="auto" w:fill="F0F4FF"/>
          </w:tcPr>
          <w:p>
            <w:r>
              <w:rPr>
                <w:sz w:val="18"/>
              </w:rPr>
              <w:t>CA-03</w:t>
            </w:r>
          </w:p>
        </w:tc>
        <w:tc>
          <w:tcPr>
            <w:tcW w:type="dxa" w:w="4032"/>
            <w:shd w:val="clear" w:color="auto" w:fill="F0F4FF"/>
          </w:tcPr>
          <w:p>
            <w:r>
              <w:rPr>
                <w:sz w:val="18"/>
              </w:rPr>
              <w:t>Separate DR and production Ansible inventory by env prefix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Mike Torres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2025-01-24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sz w:val="18"/>
              </w:rPr>
              <w:t>Complete ✓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CA-04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Classify automated network jobs as Changes requiring CAB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Change Manager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2025-01-21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Complete ✓</w:t>
            </w:r>
          </w:p>
        </w:tc>
      </w:tr>
      <w:tr>
        <w:tc>
          <w:tcPr>
            <w:tcW w:type="dxa" w:w="720"/>
            <w:shd w:val="clear" w:color="auto" w:fill="F0F4FF"/>
          </w:tcPr>
          <w:p>
            <w:r>
              <w:rPr>
                <w:sz w:val="18"/>
              </w:rPr>
              <w:t>CA-05</w:t>
            </w:r>
          </w:p>
        </w:tc>
        <w:tc>
          <w:tcPr>
            <w:tcW w:type="dxa" w:w="4032"/>
            <w:shd w:val="clear" w:color="auto" w:fill="F0F4FF"/>
          </w:tcPr>
          <w:p>
            <w:r>
              <w:rPr>
                <w:sz w:val="18"/>
              </w:rPr>
              <w:t>Ansible Tower runbook: add BGP peer count validation step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Sarah Chen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2025-01-24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CA-06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Audit all 47 Ansible templates for gate logic defects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Automation Team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2025-02-07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720"/>
            <w:shd w:val="clear" w:color="auto" w:fill="F0F4FF"/>
          </w:tcPr>
          <w:p>
            <w:r>
              <w:rPr>
                <w:sz w:val="18"/>
              </w:rPr>
              <w:t>CA-07</w:t>
            </w:r>
          </w:p>
        </w:tc>
        <w:tc>
          <w:tcPr>
            <w:tcW w:type="dxa" w:w="4032"/>
            <w:shd w:val="clear" w:color="auto" w:fill="F0F4FF"/>
          </w:tcPr>
          <w:p>
            <w:r>
              <w:rPr>
                <w:sz w:val="18"/>
              </w:rPr>
              <w:t>Full post-mortem with all stakeholders — CTO chaired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James Wu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2025-01-16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sz w:val="18"/>
              </w:rPr>
              <w:t>Complete ✓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