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D2D6B"/>
          <w:sz w:val="36"/>
        </w:rPr>
        <w:t>INFRASTRUCTURE CAPACITY PLANNING REPORT — H1 2025</w:t>
      </w:r>
    </w:p>
    <w:p/>
    <w:p>
      <w:r>
        <w:rPr>
          <w:b/>
          <w:sz w:val="20"/>
        </w:rPr>
        <w:t xml:space="preserve">Owner: </w:t>
      </w:r>
      <w:r>
        <w:rPr>
          <w:color w:val="445577"/>
          <w:sz w:val="20"/>
        </w:rPr>
        <w:t>Infrastructure Architecture | Angela Brooks</w:t>
      </w:r>
    </w:p>
    <w:p>
      <w:r>
        <w:rPr>
          <w:b/>
          <w:sz w:val="20"/>
        </w:rPr>
        <w:t xml:space="preserve">Date: </w:t>
      </w:r>
      <w:r>
        <w:rPr>
          <w:color w:val="445577"/>
          <w:sz w:val="20"/>
        </w:rPr>
        <w:t>12 January 2025</w:t>
      </w:r>
    </w:p>
    <w:p>
      <w:r>
        <w:rPr>
          <w:b/>
          <w:sz w:val="20"/>
        </w:rPr>
        <w:t xml:space="preserve">Scope: </w:t>
      </w:r>
      <w:r>
        <w:rPr>
          <w:color w:val="445577"/>
          <w:sz w:val="20"/>
        </w:rPr>
        <w:t>All production infrastructure — 9 critical systems assessed</w:t>
      </w:r>
    </w:p>
    <w:p>
      <w:r>
        <w:rPr>
          <w:b/>
          <w:sz w:val="20"/>
        </w:rPr>
        <w:t xml:space="preserve">Critical Decisions: </w:t>
      </w:r>
      <w:r>
        <w:rPr>
          <w:color w:val="445577"/>
          <w:sz w:val="20"/>
        </w:rPr>
        <w:t>2 required by end of January (GPU-Farm and VMware-02 APAC)</w:t>
      </w:r>
    </w:p>
    <w:p/>
    <w:p>
      <w:pPr>
        <w:pStyle w:val="Heading1"/>
      </w:pPr>
      <w:r>
        <w:rPr>
          <w:color w:val="0D2D6B"/>
          <w:sz w:val="28"/>
        </w:rPr>
        <w:t>1. Infrastructure Overview</w:t>
      </w:r>
    </w:p>
    <w:p>
      <w:r>
        <w:t>This report assesses current infrastructure utilisation and projects capacity requirements through H2 2025. Two systems are at CRITICAL risk and require immediate investment decisions. The GPU Farm is at 98.1% peak utilisation; without expansion by 24 January, ML training job ML-TRAIN-0047 scheduled for February will evict production inference pods. The PROD-VMware-02 APAC cluster is at 94.7% CPU, with Q2 APAC workload growth projecting full contention by March.</w:t>
      </w:r>
    </w:p>
    <w:p>
      <w:r>
        <w:drawing>
          <wp:inline xmlns:a="http://schemas.openxmlformats.org/drawingml/2006/main" xmlns:pic="http://schemas.openxmlformats.org/drawingml/2006/picture">
            <wp:extent cx="5669280" cy="30992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9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Figure 1: APAC Network Topology — Impact Zone of INC0001234 (DOWN nodes shown in red)</w:t>
      </w:r>
    </w:p>
    <w:p/>
    <w:p>
      <w:pPr>
        <w:pStyle w:val="Heading1"/>
      </w:pPr>
      <w:r>
        <w:rPr>
          <w:color w:val="0D2D6B"/>
          <w:sz w:val="28"/>
        </w:rPr>
        <w:t>2. Capacity Risk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2160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System</w:t>
            </w:r>
          </w:p>
        </w:tc>
        <w:tc>
          <w:tcPr>
            <w:tcW w:type="dxa" w:w="129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1152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Current Util</w:t>
            </w:r>
          </w:p>
        </w:tc>
        <w:tc>
          <w:tcPr>
            <w:tcW w:type="dxa" w:w="1152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Risk</w:t>
            </w:r>
          </w:p>
        </w:tc>
        <w:tc>
          <w:tcPr>
            <w:tcW w:type="dxa" w:w="129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Months to Full</w:t>
            </w:r>
          </w:p>
        </w:tc>
        <w:tc>
          <w:tcPr>
            <w:tcW w:type="dxa" w:w="2592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Action Required</w:t>
            </w:r>
          </w:p>
        </w:tc>
        <w:tc>
          <w:tcPr>
            <w:tcW w:type="dxa" w:w="1440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Cost (USD)</w:t>
            </w:r>
          </w:p>
        </w:tc>
        <w:tc>
          <w:tcPr>
            <w:tcW w:type="dxa" w:w="1440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Decision Date</w:t>
            </w:r>
          </w:p>
        </w:tc>
      </w:tr>
      <w:tr>
        <w:tc>
          <w:tcPr>
            <w:tcW w:type="dxa" w:w="2160"/>
            <w:shd w:val="clear" w:color="auto" w:fill="F0F4FF"/>
          </w:tcPr>
          <w:p>
            <w:r>
              <w:rPr>
                <w:sz w:val="18"/>
              </w:rPr>
              <w:t>GPU-Farm-01 A100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8"/>
              </w:rPr>
              <w:t>98.1%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592"/>
            <w:shd w:val="clear" w:color="auto" w:fill="F0F4FF"/>
          </w:tcPr>
          <w:p>
            <w:r>
              <w:rPr>
                <w:sz w:val="18"/>
              </w:rPr>
              <w:t>Add 4x p3.8xl reserved</w:t>
            </w:r>
          </w:p>
        </w:tc>
        <w:tc>
          <w:tcPr>
            <w:tcW w:type="dxa" w:w="1440"/>
            <w:shd w:val="clear" w:color="auto" w:fill="F0F4FF"/>
          </w:tcPr>
          <w:p>
            <w:r>
              <w:rPr>
                <w:sz w:val="18"/>
              </w:rPr>
              <w:t>$220,000/yr</w:t>
            </w:r>
          </w:p>
        </w:tc>
        <w:tc>
          <w:tcPr>
            <w:tcW w:type="dxa" w:w="1440"/>
            <w:shd w:val="clear" w:color="auto" w:fill="F0F4FF"/>
          </w:tcPr>
          <w:p>
            <w:r>
              <w:rPr>
                <w:sz w:val="18"/>
              </w:rPr>
              <w:t>2025-01-24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PROD-VMware-02 APAC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Compute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94.7%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Order 2x HPE BL460c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$84,000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2025-01-31</w:t>
            </w:r>
          </w:p>
        </w:tc>
      </w:tr>
      <w:tr>
        <w:tc>
          <w:tcPr>
            <w:tcW w:type="dxa" w:w="2160"/>
            <w:shd w:val="clear" w:color="auto" w:fill="F0F4FF"/>
          </w:tcPr>
          <w:p>
            <w:r>
              <w:rPr>
                <w:sz w:val="18"/>
              </w:rPr>
              <w:t>SAN Primary FA-400C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8"/>
              </w:rPr>
              <w:t>70.6%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9.3 mo</w:t>
            </w:r>
          </w:p>
        </w:tc>
        <w:tc>
          <w:tcPr>
            <w:tcW w:type="dxa" w:w="2592"/>
            <w:shd w:val="clear" w:color="auto" w:fill="F0F4FF"/>
          </w:tcPr>
          <w:p>
            <w:r>
              <w:rPr>
                <w:sz w:val="18"/>
              </w:rPr>
              <w:t>Order 300TB expansion</w:t>
            </w:r>
          </w:p>
        </w:tc>
        <w:tc>
          <w:tcPr>
            <w:tcW w:type="dxa" w:w="1440"/>
            <w:shd w:val="clear" w:color="auto" w:fill="F0F4FF"/>
          </w:tcPr>
          <w:p>
            <w:r>
              <w:rPr>
                <w:sz w:val="18"/>
              </w:rPr>
              <w:t>$310,000</w:t>
            </w:r>
          </w:p>
        </w:tc>
        <w:tc>
          <w:tcPr>
            <w:tcW w:type="dxa" w:w="1440"/>
            <w:shd w:val="clear" w:color="auto" w:fill="F0F4FF"/>
          </w:tcPr>
          <w:p>
            <w:r>
              <w:rPr>
                <w:sz w:val="18"/>
              </w:rPr>
              <w:t>2025-03-15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Backup Target ME5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81.2%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6.3 mo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Add Azure Blob overflow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$43,200/yr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2025-02-28</w:t>
            </w:r>
          </w:p>
        </w:tc>
      </w:tr>
      <w:tr>
        <w:tc>
          <w:tcPr>
            <w:tcW w:type="dxa" w:w="2160"/>
            <w:shd w:val="clear" w:color="auto" w:fill="F0F4FF"/>
          </w:tcPr>
          <w:p>
            <w:r>
              <w:rPr>
                <w:sz w:val="18"/>
              </w:rPr>
              <w:t>APAC Internet 5G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Network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8"/>
              </w:rPr>
              <w:t>91.0%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592"/>
            <w:shd w:val="clear" w:color="auto" w:fill="F0F4FF"/>
          </w:tcPr>
          <w:p>
            <w:r>
              <w:rPr>
                <w:sz w:val="18"/>
              </w:rPr>
              <w:t>Upgrade to 10G</w:t>
            </w:r>
          </w:p>
        </w:tc>
        <w:tc>
          <w:tcPr>
            <w:tcW w:type="dxa" w:w="1440"/>
            <w:shd w:val="clear" w:color="auto" w:fill="F0F4FF"/>
          </w:tcPr>
          <w:p>
            <w:r>
              <w:rPr>
                <w:sz w:val="18"/>
              </w:rPr>
              <w:t>$48,000/yr</w:t>
            </w:r>
          </w:p>
        </w:tc>
        <w:tc>
          <w:tcPr>
            <w:tcW w:type="dxa" w:w="1440"/>
            <w:shd w:val="clear" w:color="auto" w:fill="F0F4FF"/>
          </w:tcPr>
          <w:p>
            <w:r>
              <w:rPr>
                <w:sz w:val="18"/>
              </w:rPr>
              <w:t>2025-02-15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K8s-Prod-02 APAC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73.1%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Add 8 nodes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$25,200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2025-02-01</w:t>
            </w:r>
          </w:p>
        </w:tc>
      </w:tr>
      <w:tr>
        <w:tc>
          <w:tcPr>
            <w:tcW w:type="dxa" w:w="2160"/>
            <w:shd w:val="clear" w:color="auto" w:fill="F0F4FF"/>
          </w:tcPr>
          <w:p>
            <w:r>
              <w:rPr>
                <w:sz w:val="18"/>
              </w:rPr>
              <w:t>PROD-VMware-01 EMEA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Compute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8"/>
              </w:rPr>
              <w:t>68.2%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592"/>
            <w:shd w:val="clear" w:color="auto" w:fill="F0F4FF"/>
          </w:tcPr>
          <w:p>
            <w:r>
              <w:rPr>
                <w:sz w:val="18"/>
              </w:rPr>
              <w:t>No action</w:t>
            </w:r>
          </w:p>
        </w:tc>
        <w:tc>
          <w:tcPr>
            <w:tcW w:type="dxa" w:w="1440"/>
            <w:shd w:val="clear" w:color="auto" w:fill="F0F4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  <w:shd w:val="clear" w:color="auto" w:fill="F0F4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SAN Secondary AFF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64.0%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13.1 mo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No action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30567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6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Figure 2: Current Infrastructure Utilisation — January 2025</w:t>
      </w:r>
    </w:p>
    <w:p/>
    <w:p>
      <w:pPr>
        <w:pStyle w:val="Heading1"/>
      </w:pPr>
      <w:r>
        <w:rPr>
          <w:color w:val="0D2D6B"/>
          <w:sz w:val="28"/>
        </w:rPr>
        <w:t>3. Growth Trend Analysis</w:t>
      </w:r>
    </w:p>
    <w:p>
      <w:r>
        <w:t>The following charts show 12-month utilisation growth for the three highest-risk systems. GPU-Farm growth is driven by ML model training demand increasing 40% QoQ. VMware-02 APAC growth reflects the Q1 2025 application migration from Rackspace (8 workloads). SAN Primary growth is linear at ~13TB/week.</w:t>
      </w:r>
    </w:p>
    <w:p>
      <w:r>
        <w:drawing>
          <wp:inline xmlns:a="http://schemas.openxmlformats.org/drawingml/2006/main" xmlns:pic="http://schemas.openxmlformats.org/drawingml/2006/picture">
            <wp:extent cx="5303520" cy="26109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0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Figure 3: GPU-Farm-01 Peak Utilisation Growth — 13-Month Trend</w:t>
      </w:r>
    </w:p>
    <w:p/>
    <w:p>
      <w:r>
        <w:drawing>
          <wp:inline xmlns:a="http://schemas.openxmlformats.org/drawingml/2006/main" xmlns:pic="http://schemas.openxmlformats.org/drawingml/2006/picture">
            <wp:extent cx="5303520" cy="26109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0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Figure 4: SAN Primary Storage Growth — January through December 2024</w:t>
      </w:r>
    </w:p>
    <w:p/>
    <w:p>
      <w:pPr>
        <w:pStyle w:val="Heading1"/>
      </w:pPr>
      <w:r>
        <w:rPr>
          <w:color w:val="0D2D6B"/>
          <w:sz w:val="28"/>
        </w:rPr>
        <w:t>4. Investment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73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Investment Item</w:t>
            </w:r>
          </w:p>
        </w:tc>
        <w:tc>
          <w:tcPr>
            <w:tcW w:type="dxa" w:w="129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129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FY2025 Capex</w:t>
            </w:r>
          </w:p>
        </w:tc>
        <w:tc>
          <w:tcPr>
            <w:tcW w:type="dxa" w:w="129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Annual Opex</w:t>
            </w:r>
          </w:p>
        </w:tc>
        <w:tc>
          <w:tcPr>
            <w:tcW w:type="dxa" w:w="1152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374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ROI Justification</w:t>
            </w:r>
          </w:p>
        </w:tc>
      </w:tr>
      <w:tr>
        <w:tc>
          <w:tcPr>
            <w:tcW w:type="dxa" w:w="2736"/>
            <w:shd w:val="clear" w:color="auto" w:fill="F0F4FF"/>
          </w:tcPr>
          <w:p>
            <w:r>
              <w:rPr>
                <w:sz w:val="18"/>
              </w:rPr>
              <w:t>GPU Farm p3.8xl (4 instances)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$220,000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3744"/>
            <w:shd w:val="clear" w:color="auto" w:fill="F0F4FF"/>
          </w:tcPr>
          <w:p>
            <w:r>
              <w:rPr>
                <w:sz w:val="18"/>
              </w:rPr>
              <w:t>Prevents $180K/mo inference revenue loss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>VMware APAC (2x HPE BL460c)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Compute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$84,000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Prevents Q2 APAC app contention</w:t>
            </w:r>
          </w:p>
        </w:tc>
      </w:tr>
      <w:tr>
        <w:tc>
          <w:tcPr>
            <w:tcW w:type="dxa" w:w="2736"/>
            <w:shd w:val="clear" w:color="auto" w:fill="F0F4FF"/>
          </w:tcPr>
          <w:p>
            <w:r>
              <w:rPr>
                <w:sz w:val="18"/>
              </w:rPr>
              <w:t>SAN Primary 300TB expansion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$310,000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744"/>
            <w:shd w:val="clear" w:color="auto" w:fill="F0F4FF"/>
          </w:tcPr>
          <w:p>
            <w:r>
              <w:rPr>
                <w:sz w:val="18"/>
              </w:rPr>
              <w:t>9.3-month runway without action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>Azure Blob backup overflow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$43,200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Avoids $600K emergency purchase</w:t>
            </w:r>
          </w:p>
        </w:tc>
      </w:tr>
      <w:tr>
        <w:tc>
          <w:tcPr>
            <w:tcW w:type="dxa" w:w="2736"/>
            <w:shd w:val="clear" w:color="auto" w:fill="F0F4FF"/>
          </w:tcPr>
          <w:p>
            <w:r>
              <w:rPr>
                <w:sz w:val="18"/>
              </w:rPr>
              <w:t>APAC Internet 10G upgrade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Network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$48,000</w:t>
            </w:r>
          </w:p>
        </w:tc>
        <w:tc>
          <w:tcPr>
            <w:tcW w:type="dxa" w:w="1152"/>
            <w:shd w:val="clear" w:color="auto" w:fill="F0F4FF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744"/>
            <w:shd w:val="clear" w:color="auto" w:fill="F0F4FF"/>
          </w:tcPr>
          <w:p>
            <w:r>
              <w:rPr>
                <w:sz w:val="18"/>
              </w:rPr>
              <w:t>Eliminates customer-facing congestion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>K8s APAC 8-node expansion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$25,200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Memory headroom for new services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