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2D6B"/>
          <w:sz w:val="36"/>
        </w:rPr>
        <w:t>VENDOR PERFORMANCE PACK — Q1 2025</w:t>
      </w:r>
    </w:p>
    <w:p/>
    <w:p>
      <w:r>
        <w:rPr>
          <w:b/>
          <w:sz w:val="20"/>
        </w:rPr>
        <w:t xml:space="preserve">Owner: </w:t>
      </w:r>
      <w:r>
        <w:rPr>
          <w:color w:val="445577"/>
          <w:sz w:val="20"/>
        </w:rPr>
        <w:t>Angela Brooks (IT Director)</w:t>
      </w:r>
    </w:p>
    <w:p>
      <w:r>
        <w:rPr>
          <w:b/>
          <w:sz w:val="20"/>
        </w:rPr>
        <w:t xml:space="preserve">Period: </w:t>
      </w:r>
      <w:r>
        <w:rPr>
          <w:color w:val="445577"/>
          <w:sz w:val="20"/>
        </w:rPr>
        <w:t>Q1 2025 — January through March</w:t>
      </w:r>
    </w:p>
    <w:p>
      <w:r>
        <w:rPr>
          <w:b/>
          <w:sz w:val="20"/>
        </w:rPr>
        <w:t xml:space="preserve">Total Providers: </w:t>
      </w:r>
      <w:r>
        <w:rPr>
          <w:color w:val="445577"/>
          <w:sz w:val="20"/>
        </w:rPr>
        <w:t>23 third-party IT vendors — total spend: USD 4.3M/yr</w:t>
      </w:r>
    </w:p>
    <w:p/>
    <w:p>
      <w:pPr>
        <w:pStyle w:val="Heading1"/>
      </w:pPr>
      <w:r>
        <w:rPr>
          <w:color w:val="0D2D6B"/>
          <w:sz w:val="28"/>
        </w:rPr>
        <w:t>1. Scorecard Summary</w:t>
      </w:r>
    </w:p>
    <w:p>
      <w:r>
        <w:t>This pack summarises performance across all major IT service providers for Q1 2025. Two vendors require immediate management action: Wipro MSP (Performance Improvement Notice issued) and Rackspace (contract non-renewal recommendation for July 2025). NetGuard Systems achieved the highest score at 94/100.</w:t>
      </w:r>
    </w:p>
    <w:p>
      <w:r>
        <w:drawing>
          <wp:inline xmlns:a="http://schemas.openxmlformats.org/drawingml/2006/main" xmlns:pic="http://schemas.openxmlformats.org/drawingml/2006/picture">
            <wp:extent cx="5486400" cy="131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1: Q1 2025 Vendor Portfolio Overview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978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2: Q1 2025 Vendor Scores — All Providers</w:t>
      </w:r>
    </w:p>
    <w:p/>
    <w:p>
      <w:pPr>
        <w:pStyle w:val="Heading2"/>
      </w:pPr>
      <w:r>
        <w:rPr>
          <w:color w:val="1A4F9E"/>
          <w:sz w:val="24"/>
        </w:rPr>
        <w:t>1.1 Vendor Scorecard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Provider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Annual Spend</w:t>
            </w:r>
          </w:p>
        </w:tc>
        <w:tc>
          <w:tcPr>
            <w:tcW w:type="dxa" w:w="10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Q1 Score</w:t>
            </w:r>
          </w:p>
        </w:tc>
        <w:tc>
          <w:tcPr>
            <w:tcW w:type="dxa" w:w="122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SLA Breaches</w:t>
            </w:r>
          </w:p>
        </w:tc>
        <w:tc>
          <w:tcPr>
            <w:tcW w:type="dxa" w:w="108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Trend</w:t>
            </w:r>
          </w:p>
        </w:tc>
        <w:tc>
          <w:tcPr>
            <w:tcW w:type="dxa" w:w="374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Accenture — ITSM Programme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$340,000</w:t>
            </w:r>
          </w:p>
        </w:tc>
        <w:tc>
          <w:tcPr>
            <w:tcW w:type="dxa" w:w="1080"/>
            <w:shd w:val="clear" w:color="auto" w:fill="F0F4FF"/>
          </w:tcPr>
          <w:p>
            <w:r>
              <w:rPr>
                <w:sz w:val="18"/>
              </w:rPr>
              <w:t>82/100</w:t>
            </w:r>
          </w:p>
        </w:tc>
        <w:tc>
          <w:tcPr>
            <w:tcW w:type="dxa" w:w="1224"/>
            <w:shd w:val="clear" w:color="auto" w:fill="F0F4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0F4FF"/>
          </w:tcPr>
          <w:p>
            <w:r>
              <w:rPr>
                <w:sz w:val="18"/>
              </w:rPr>
              <w:t>↑ stable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8"/>
              </w:rPr>
              <w:t>Continue — negotiate fixed-fee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Wipro — Infrastructure MSP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$1,200,000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71/100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↓ -8pp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Issue PIN by Feb 2025</w:t>
            </w:r>
          </w:p>
        </w:tc>
      </w:tr>
      <w:tr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DataVault Inc. — Archival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$284,000</w:t>
            </w:r>
          </w:p>
        </w:tc>
        <w:tc>
          <w:tcPr>
            <w:tcW w:type="dxa" w:w="1080"/>
            <w:shd w:val="clear" w:color="auto" w:fill="F0F4FF"/>
          </w:tcPr>
          <w:p>
            <w:r>
              <w:rPr>
                <w:sz w:val="18"/>
              </w:rPr>
              <w:t>76/100</w:t>
            </w:r>
          </w:p>
        </w:tc>
        <w:tc>
          <w:tcPr>
            <w:tcW w:type="dxa" w:w="1224"/>
            <w:shd w:val="clear" w:color="auto" w:fill="F0F4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  <w:shd w:val="clear" w:color="auto" w:fill="F0F4FF"/>
          </w:tcPr>
          <w:p>
            <w:r>
              <w:rPr>
                <w:sz w:val="18"/>
              </w:rPr>
              <w:t>↓ -4pp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8"/>
              </w:rPr>
              <w:t>Add SLA penalty clause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Cognizant — App Support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$780,000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85/100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↑ +2pp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Extend 2yr + 5% rate cut</w:t>
            </w:r>
          </w:p>
        </w:tc>
      </w:tr>
      <w:tr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Rackspace — Legacy Hosting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$240,000</w:t>
            </w:r>
          </w:p>
        </w:tc>
        <w:tc>
          <w:tcPr>
            <w:tcW w:type="dxa" w:w="1080"/>
            <w:shd w:val="clear" w:color="auto" w:fill="F0F4FF"/>
          </w:tcPr>
          <w:p>
            <w:r>
              <w:rPr>
                <w:sz w:val="18"/>
              </w:rPr>
              <w:t>64/100</w:t>
            </w:r>
          </w:p>
        </w:tc>
        <w:tc>
          <w:tcPr>
            <w:tcW w:type="dxa" w:w="1224"/>
            <w:shd w:val="clear" w:color="auto" w:fill="F0F4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0F4FF"/>
          </w:tcPr>
          <w:p>
            <w:r>
              <w:rPr>
                <w:sz w:val="18"/>
              </w:rPr>
              <w:t>↓ -12pp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8"/>
              </w:rPr>
              <w:t>DO NOT RENEW Jul 2025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IBM — Mainframe Operations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$420,000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88/100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→ steady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Retain — renegotiate fee</w:t>
            </w:r>
          </w:p>
        </w:tc>
      </w:tr>
      <w:tr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NetGuard Systems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$95,000</w:t>
            </w:r>
          </w:p>
        </w:tc>
        <w:tc>
          <w:tcPr>
            <w:tcW w:type="dxa" w:w="1080"/>
            <w:shd w:val="clear" w:color="auto" w:fill="F0F4FF"/>
          </w:tcPr>
          <w:p>
            <w:r>
              <w:rPr>
                <w:sz w:val="18"/>
              </w:rPr>
              <w:t>94/100</w:t>
            </w:r>
          </w:p>
        </w:tc>
        <w:tc>
          <w:tcPr>
            <w:tcW w:type="dxa" w:w="1224"/>
            <w:shd w:val="clear" w:color="auto" w:fill="F0F4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0F4FF"/>
          </w:tcPr>
          <w:p>
            <w:r>
              <w:rPr>
                <w:sz w:val="18"/>
              </w:rPr>
              <w:t>↑ +3pp</w:t>
            </w:r>
          </w:p>
        </w:tc>
        <w:tc>
          <w:tcPr>
            <w:tcW w:type="dxa" w:w="3744"/>
            <w:shd w:val="clear" w:color="auto" w:fill="F0F4FF"/>
          </w:tcPr>
          <w:p>
            <w:r>
              <w:rPr>
                <w:sz w:val="18"/>
              </w:rPr>
              <w:t>EXCELLENT — expand scope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PwC — IT Audit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$95,000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91/100</w:t>
            </w:r>
          </w:p>
        </w:tc>
        <w:tc>
          <w:tcPr>
            <w:tcW w:type="dxa" w:w="122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  <w:shd w:val="clear" w:color="auto" w:fill="FFFFFF"/>
          </w:tcPr>
          <w:p>
            <w:r>
              <w:rPr>
                <w:sz w:val="18"/>
              </w:rPr>
              <w:t>↑ +2pp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Expand FY2026 scope</w:t>
            </w:r>
          </w:p>
        </w:tc>
      </w:tr>
    </w:tbl>
    <w:p/>
    <w:p>
      <w:pPr>
        <w:pStyle w:val="Heading1"/>
      </w:pPr>
      <w:r>
        <w:rPr>
          <w:color w:val="0D2D6B"/>
          <w:sz w:val="28"/>
        </w:rPr>
        <w:t>2. Wipro MSP — Performance Improvement Notice</w:t>
      </w:r>
    </w:p>
    <w:p>
      <w:r>
        <w:t>Wipro Infrastructure MSP's SLA compliance has declined from 97% to 89% over the past six months — a drop of 8 percentage points. Three P1-equivalent SLA breaches were recorded in Q1 2025. Staff turnover on our account reached 4 lead engineers replaced in 12 months. A formal Performance Improvement Notice will be issued by 28 February 2025 with a 90-day improvement window. KPIs: NOC SLA must return to 95%, account staff turnover below 25%.</w:t>
      </w:r>
    </w:p>
    <w:p>
      <w:r>
        <w:drawing>
          <wp:inline xmlns:a="http://schemas.openxmlformats.org/drawingml/2006/main" xmlns:pic="http://schemas.openxmlformats.org/drawingml/2006/picture">
            <wp:extent cx="5029200" cy="2598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8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799"/>
          <w:sz w:val="18"/>
        </w:rPr>
        <w:t>Figure 3: Wipro MSP SLA Compliance — Declining Trend (Jul 2024–Mar 2025)</w:t>
      </w:r>
    </w:p>
    <w:p/>
    <w:p>
      <w:pPr>
        <w:pStyle w:val="Heading1"/>
      </w:pPr>
      <w:r>
        <w:rPr>
          <w:color w:val="0D2D6B"/>
          <w:sz w:val="28"/>
        </w:rPr>
        <w:t>3. Rackspace — Contract Exit Plan</w:t>
      </w:r>
    </w:p>
    <w:p>
      <w:r>
        <w:t>Rackspace Legacy Hosting is recommended for non-renewal at its July 2025 contract expiry. Three infrastructure incidents in Q4 2024 were directly attributed to Rackspace: a 7-day patching delay on CVE-2024-38112 (vs our 72-hour policy), a firewall misconfiguration that exposed a legacy app to the internet for 4 hours, and an unplanned 2-hour maintenance outage without advance notification. Net annual saving from non-renewal: $240,000.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Workload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Current Host</w:t>
            </w:r>
          </w:p>
        </w:tc>
        <w:tc>
          <w:tcPr>
            <w:tcW w:type="dxa" w:w="2448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Migration Target</w:t>
            </w:r>
          </w:p>
        </w:tc>
        <w:tc>
          <w:tcPr>
            <w:tcW w:type="dxa" w:w="1296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Target Date</w:t>
            </w:r>
          </w:p>
        </w:tc>
        <w:tc>
          <w:tcPr>
            <w:tcW w:type="dxa" w:w="1584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440"/>
            <w:shd w:val="clear" w:color="auto" w:fill="0D2D6B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Legacy HRMS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AWS EC2 ap-southeast-1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2025-05-31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Planning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Legacy Finance App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AWS RDS + EC2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2025-04-30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Planning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Test/Dev Environment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AWS Dev Account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2025-03-31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Archive Web Server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S3 + CloudFront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2025-04-15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Ravi Patel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Legacy CRM API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AWS Lambda + API GW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2025-05-15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Ravi Patel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Batch Processing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AWS Batch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2025-05-31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2304"/>
            <w:shd w:val="clear" w:color="auto" w:fill="F0F4FF"/>
          </w:tcPr>
          <w:p>
            <w:r>
              <w:rPr>
                <w:sz w:val="18"/>
              </w:rPr>
              <w:t>Legacy Reporting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2448"/>
            <w:shd w:val="clear" w:color="auto" w:fill="F0F4FF"/>
          </w:tcPr>
          <w:p>
            <w:r>
              <w:rPr>
                <w:sz w:val="18"/>
              </w:rPr>
              <w:t>AWS QuickSight</w:t>
            </w:r>
          </w:p>
        </w:tc>
        <w:tc>
          <w:tcPr>
            <w:tcW w:type="dxa" w:w="1296"/>
            <w:shd w:val="clear" w:color="auto" w:fill="F0F4FF"/>
          </w:tcPr>
          <w:p>
            <w:r>
              <w:rPr>
                <w:sz w:val="18"/>
              </w:rPr>
              <w:t>2025-06-15</w:t>
            </w:r>
          </w:p>
        </w:tc>
        <w:tc>
          <w:tcPr>
            <w:tcW w:type="dxa" w:w="1584"/>
            <w:shd w:val="clear" w:color="auto" w:fill="F0F4FF"/>
          </w:tcPr>
          <w:p>
            <w:r>
              <w:rPr>
                <w:sz w:val="18"/>
              </w:rPr>
              <w:t>Angela Brooks</w:t>
            </w:r>
          </w:p>
        </w:tc>
        <w:tc>
          <w:tcPr>
            <w:tcW w:type="dxa" w:w="1440"/>
            <w:shd w:val="clear" w:color="auto" w:fill="F0F4FF"/>
          </w:tcPr>
          <w:p>
            <w:r>
              <w:rPr>
                <w:sz w:val="18"/>
              </w:rPr>
              <w:t>Not Started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DR Relay Server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Rackspace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AWS Transit Gateway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2025-06-30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Mike Torres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Not Started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