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2D6B"/>
          <w:sz w:val="36"/>
        </w:rPr>
        <w:t>INCIDENT REPORT — INC0001234</w:t>
      </w:r>
    </w:p>
    <w:p/>
    <w:p>
      <w:r>
        <w:rPr>
          <w:b/>
          <w:color w:val="192846"/>
          <w:sz w:val="20"/>
        </w:rPr>
        <w:t xml:space="preserve">Incident ID: </w:t>
      </w:r>
      <w:r>
        <w:rPr>
          <w:color w:val="445577"/>
          <w:sz w:val="20"/>
        </w:rPr>
        <w:t>INC0001234</w:t>
      </w:r>
    </w:p>
    <w:p>
      <w:r>
        <w:rPr>
          <w:b/>
          <w:color w:val="192846"/>
          <w:sz w:val="20"/>
        </w:rPr>
        <w:t xml:space="preserve">Priority: </w:t>
      </w:r>
      <w:r>
        <w:rPr>
          <w:color w:val="445577"/>
          <w:sz w:val="20"/>
        </w:rPr>
        <w:t>P1 — Critical</w:t>
      </w:r>
    </w:p>
    <w:p>
      <w:r>
        <w:rPr>
          <w:b/>
          <w:color w:val="192846"/>
          <w:sz w:val="20"/>
        </w:rPr>
        <w:t xml:space="preserve">Status: </w:t>
      </w:r>
      <w:r>
        <w:rPr>
          <w:color w:val="445577"/>
          <w:sz w:val="20"/>
        </w:rPr>
        <w:t>Resolved</w:t>
      </w:r>
    </w:p>
    <w:p>
      <w:r>
        <w:rPr>
          <w:b/>
          <w:color w:val="192846"/>
          <w:sz w:val="20"/>
        </w:rPr>
        <w:t xml:space="preserve">Opened: </w:t>
      </w:r>
      <w:r>
        <w:rPr>
          <w:color w:val="445577"/>
          <w:sz w:val="20"/>
        </w:rPr>
        <w:t>2025-01-14  03:47 UTC</w:t>
      </w:r>
    </w:p>
    <w:p>
      <w:r>
        <w:rPr>
          <w:b/>
          <w:color w:val="192846"/>
          <w:sz w:val="20"/>
        </w:rPr>
        <w:t xml:space="preserve">Resolved: </w:t>
      </w:r>
      <w:r>
        <w:rPr>
          <w:color w:val="445577"/>
          <w:sz w:val="20"/>
        </w:rPr>
        <w:t>2025-01-14  06:22 UTC</w:t>
      </w:r>
    </w:p>
    <w:p>
      <w:r>
        <w:rPr>
          <w:b/>
          <w:color w:val="192846"/>
          <w:sz w:val="20"/>
        </w:rPr>
        <w:t xml:space="preserve">Duration: </w:t>
      </w:r>
      <w:r>
        <w:rPr>
          <w:color w:val="445577"/>
          <w:sz w:val="20"/>
        </w:rPr>
        <w:t>2 hours 35 minutes  (SLA target: 2 hours — BREACH by 35 min)</w:t>
      </w:r>
    </w:p>
    <w:p>
      <w:r>
        <w:rPr>
          <w:b/>
          <w:color w:val="192846"/>
          <w:sz w:val="20"/>
        </w:rPr>
        <w:t xml:space="preserve">Affected Users: </w:t>
      </w:r>
      <w:r>
        <w:rPr>
          <w:color w:val="445577"/>
          <w:sz w:val="20"/>
        </w:rPr>
        <w:t>847 (APAC region — Singapore, Sydney, Tokyo)</w:t>
      </w:r>
    </w:p>
    <w:p>
      <w:r>
        <w:rPr>
          <w:b/>
          <w:color w:val="192846"/>
          <w:sz w:val="20"/>
        </w:rPr>
        <w:t xml:space="preserve">Business Impact: </w:t>
      </w:r>
      <w:r>
        <w:rPr>
          <w:color w:val="445577"/>
          <w:sz w:val="20"/>
        </w:rPr>
        <w:t>USD 142,000 (SAP EDI: $94K, staff productivity: $48K, SLA credits: $12K)</w:t>
      </w:r>
    </w:p>
    <w:p>
      <w:r>
        <w:rPr>
          <w:b/>
          <w:color w:val="192846"/>
          <w:sz w:val="20"/>
        </w:rPr>
        <w:t xml:space="preserve">Incident Manager: </w:t>
      </w:r>
      <w:r>
        <w:rPr>
          <w:color w:val="445577"/>
          <w:sz w:val="20"/>
        </w:rPr>
        <w:t>James Wu (CTO)</w:t>
      </w:r>
    </w:p>
    <w:p>
      <w:r>
        <w:rPr>
          <w:b/>
          <w:color w:val="192846"/>
          <w:sz w:val="20"/>
        </w:rPr>
        <w:t xml:space="preserve">Technical Lead: </w:t>
      </w:r>
      <w:r>
        <w:rPr>
          <w:color w:val="445577"/>
          <w:sz w:val="20"/>
        </w:rPr>
        <w:t>Mike Torres (Senior Network Architect)</w:t>
      </w:r>
    </w:p>
    <w:p/>
    <w:p>
      <w:pPr>
        <w:pStyle w:val="Heading1"/>
      </w:pPr>
      <w:r>
        <w:rPr>
          <w:color w:val="0D2D6B"/>
          <w:sz w:val="28"/>
        </w:rPr>
        <w:t>1. Executive Summary</w:t>
      </w:r>
    </w:p>
    <w:p>
      <w:r>
        <w:rPr>
          <w:b w:val="0"/>
          <w:sz w:val="22"/>
        </w:rPr>
        <w:t>A Priority 1 BGP routing outage affecting all APAC network connections began at 03:47 UTC on 14 January 2025. The outage was caused by an Ansible Tower automation job (AT-4421) that incorrectly applied a Disaster Recovery BGP community filter to production routers. The job bypassed the Network Change Advisory Board approval gate due to a defect in the CI/CD pipeline approval logic. Three APAC core routers (APAC-CORE-R1, R2, and R3) lost all six BGP peer sessions simultaneously. 847 users across Singapore, Sydney, and Tokyo were unable to access corporate systems including SAP ERP, ServiceNow, and Salesforce CRM for the duration. The incident was resolved by rolling back the Ansible job and restoring BGP configuration at 06:22 UTC, 2 hours 35 minutes after initial impact.</w:t>
      </w:r>
    </w:p>
    <w:p>
      <w:pPr>
        <w:pStyle w:val="Heading1"/>
      </w:pPr>
      <w:r>
        <w:rPr>
          <w:color w:val="0D2D6B"/>
          <w:sz w:val="28"/>
        </w:rPr>
        <w:t>2. Incident Timeline</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val="clear" w:color="auto" w:fill="0D2D6B"/>
          </w:tcPr>
          <w:p>
            <w:pPr>
              <w:jc w:val="left"/>
            </w:pPr>
            <w:r>
              <w:rPr>
                <w:b/>
                <w:color w:val="FFFFFF"/>
                <w:sz w:val="20"/>
              </w:rPr>
              <w:t>Time (UTC)</w:t>
            </w:r>
          </w:p>
        </w:tc>
        <w:tc>
          <w:tcPr>
            <w:tcW w:type="dxa" w:w="3168"/>
            <w:shd w:val="clear" w:color="auto" w:fill="0D2D6B"/>
          </w:tcPr>
          <w:p>
            <w:pPr>
              <w:jc w:val="left"/>
            </w:pPr>
            <w:r>
              <w:rPr>
                <w:b/>
                <w:color w:val="FFFFFF"/>
                <w:sz w:val="20"/>
              </w:rPr>
              <w:t>Event</w:t>
            </w:r>
          </w:p>
        </w:tc>
        <w:tc>
          <w:tcPr>
            <w:tcW w:type="dxa" w:w="3600"/>
            <w:shd w:val="clear" w:color="auto" w:fill="0D2D6B"/>
          </w:tcPr>
          <w:p>
            <w:pPr>
              <w:jc w:val="left"/>
            </w:pPr>
            <w:r>
              <w:rPr>
                <w:b/>
                <w:color w:val="FFFFFF"/>
                <w:sz w:val="20"/>
              </w:rPr>
              <w:t>Action Taken</w:t>
            </w:r>
          </w:p>
        </w:tc>
        <w:tc>
          <w:tcPr>
            <w:tcW w:type="dxa" w:w="2592"/>
            <w:shd w:val="clear" w:color="auto" w:fill="0D2D6B"/>
          </w:tcPr>
          <w:p>
            <w:pPr>
              <w:jc w:val="left"/>
            </w:pPr>
            <w:r>
              <w:rPr>
                <w:b/>
                <w:color w:val="FFFFFF"/>
                <w:sz w:val="20"/>
              </w:rPr>
              <w:t>By Whom</w:t>
            </w:r>
          </w:p>
        </w:tc>
      </w:tr>
      <w:tr>
        <w:tc>
          <w:tcPr>
            <w:tcW w:type="dxa" w:w="1440"/>
            <w:shd w:val="clear" w:color="auto" w:fill="F0F4FF"/>
          </w:tcPr>
          <w:p>
            <w:r>
              <w:rPr>
                <w:sz w:val="19"/>
              </w:rPr>
              <w:t>03:47</w:t>
            </w:r>
          </w:p>
        </w:tc>
        <w:tc>
          <w:tcPr>
            <w:tcW w:type="dxa" w:w="3168"/>
            <w:shd w:val="clear" w:color="auto" w:fill="F0F4FF"/>
          </w:tcPr>
          <w:p>
            <w:r>
              <w:rPr>
                <w:sz w:val="19"/>
              </w:rPr>
              <w:t>BGP peer loss detected — APAC-CORE-R1 alert fired in Datadog</w:t>
            </w:r>
          </w:p>
        </w:tc>
        <w:tc>
          <w:tcPr>
            <w:tcW w:type="dxa" w:w="3600"/>
            <w:shd w:val="clear" w:color="auto" w:fill="F0F4FF"/>
          </w:tcPr>
          <w:p>
            <w:r>
              <w:rPr>
                <w:sz w:val="19"/>
              </w:rPr>
              <w:t>NOC acknowledges P1 alert</w:t>
            </w:r>
          </w:p>
        </w:tc>
        <w:tc>
          <w:tcPr>
            <w:tcW w:type="dxa" w:w="2592"/>
            <w:shd w:val="clear" w:color="auto" w:fill="F0F4FF"/>
          </w:tcPr>
          <w:p>
            <w:r>
              <w:rPr>
                <w:sz w:val="19"/>
              </w:rPr>
              <w:t>NOC L1 — Priya Sharma</w:t>
            </w:r>
          </w:p>
        </w:tc>
      </w:tr>
      <w:tr>
        <w:tc>
          <w:tcPr>
            <w:tcW w:type="dxa" w:w="1440"/>
            <w:shd w:val="clear" w:color="auto" w:fill="FFFFFF"/>
          </w:tcPr>
          <w:p>
            <w:r>
              <w:rPr>
                <w:sz w:val="19"/>
              </w:rPr>
              <w:t>03:49</w:t>
            </w:r>
          </w:p>
        </w:tc>
        <w:tc>
          <w:tcPr>
            <w:tcW w:type="dxa" w:w="3168"/>
            <w:shd w:val="clear" w:color="auto" w:fill="FFFFFF"/>
          </w:tcPr>
          <w:p>
            <w:r>
              <w:rPr>
                <w:sz w:val="19"/>
              </w:rPr>
              <w:t>Confirmed P1 — all 6 BGP peers on R1 showing 'Idle' state</w:t>
            </w:r>
          </w:p>
        </w:tc>
        <w:tc>
          <w:tcPr>
            <w:tcW w:type="dxa" w:w="3600"/>
            <w:shd w:val="clear" w:color="auto" w:fill="FFFFFF"/>
          </w:tcPr>
          <w:p>
            <w:r>
              <w:rPr>
                <w:sz w:val="19"/>
              </w:rPr>
              <w:t>Incident bridge opened: #inc-1234 in Slack</w:t>
            </w:r>
          </w:p>
        </w:tc>
        <w:tc>
          <w:tcPr>
            <w:tcW w:type="dxa" w:w="2592"/>
            <w:shd w:val="clear" w:color="auto" w:fill="FFFFFF"/>
          </w:tcPr>
          <w:p>
            <w:r>
              <w:rPr>
                <w:sz w:val="19"/>
              </w:rPr>
              <w:t>NOC L1 — Priya Sharma</w:t>
            </w:r>
          </w:p>
        </w:tc>
      </w:tr>
      <w:tr>
        <w:tc>
          <w:tcPr>
            <w:tcW w:type="dxa" w:w="1440"/>
            <w:shd w:val="clear" w:color="auto" w:fill="F0F4FF"/>
          </w:tcPr>
          <w:p>
            <w:r>
              <w:rPr>
                <w:sz w:val="19"/>
              </w:rPr>
              <w:t>03:52</w:t>
            </w:r>
          </w:p>
        </w:tc>
        <w:tc>
          <w:tcPr>
            <w:tcW w:type="dxa" w:w="3168"/>
            <w:shd w:val="clear" w:color="auto" w:fill="F0F4FF"/>
          </w:tcPr>
          <w:p>
            <w:r>
              <w:rPr>
                <w:sz w:val="19"/>
              </w:rPr>
              <w:t>APAC-CORE-R2 and R3 also lose all BGP peers — full APAC outage confirmed</w:t>
            </w:r>
          </w:p>
        </w:tc>
        <w:tc>
          <w:tcPr>
            <w:tcW w:type="dxa" w:w="3600"/>
            <w:shd w:val="clear" w:color="auto" w:fill="F0F4FF"/>
          </w:tcPr>
          <w:p>
            <w:r>
              <w:rPr>
                <w:sz w:val="19"/>
              </w:rPr>
              <w:t>Incident Commander declared — James Wu paged</w:t>
            </w:r>
          </w:p>
        </w:tc>
        <w:tc>
          <w:tcPr>
            <w:tcW w:type="dxa" w:w="2592"/>
            <w:shd w:val="clear" w:color="auto" w:fill="F0F4FF"/>
          </w:tcPr>
          <w:p>
            <w:r>
              <w:rPr>
                <w:sz w:val="19"/>
              </w:rPr>
              <w:t>NOC L2 — David Park</w:t>
            </w:r>
          </w:p>
        </w:tc>
      </w:tr>
      <w:tr>
        <w:tc>
          <w:tcPr>
            <w:tcW w:type="dxa" w:w="1440"/>
            <w:shd w:val="clear" w:color="auto" w:fill="FFFFFF"/>
          </w:tcPr>
          <w:p>
            <w:r>
              <w:rPr>
                <w:sz w:val="19"/>
              </w:rPr>
              <w:t>03:55</w:t>
            </w:r>
          </w:p>
        </w:tc>
        <w:tc>
          <w:tcPr>
            <w:tcW w:type="dxa" w:w="3168"/>
            <w:shd w:val="clear" w:color="auto" w:fill="FFFFFF"/>
          </w:tcPr>
          <w:p>
            <w:r>
              <w:rPr>
                <w:sz w:val="19"/>
              </w:rPr>
              <w:t>Mike Torres joins bridge — begins BGP configuration review</w:t>
            </w:r>
          </w:p>
        </w:tc>
        <w:tc>
          <w:tcPr>
            <w:tcW w:type="dxa" w:w="3600"/>
            <w:shd w:val="clear" w:color="auto" w:fill="FFFFFF"/>
          </w:tcPr>
          <w:p>
            <w:r>
              <w:rPr>
                <w:sz w:val="19"/>
              </w:rPr>
              <w:t>Ansible Tower job log review begins</w:t>
            </w:r>
          </w:p>
        </w:tc>
        <w:tc>
          <w:tcPr>
            <w:tcW w:type="dxa" w:w="2592"/>
            <w:shd w:val="clear" w:color="auto" w:fill="FFFFFF"/>
          </w:tcPr>
          <w:p>
            <w:r>
              <w:rPr>
                <w:sz w:val="19"/>
              </w:rPr>
              <w:t>Mike Torres</w:t>
            </w:r>
          </w:p>
        </w:tc>
      </w:tr>
      <w:tr>
        <w:tc>
          <w:tcPr>
            <w:tcW w:type="dxa" w:w="1440"/>
            <w:shd w:val="clear" w:color="auto" w:fill="F0F4FF"/>
          </w:tcPr>
          <w:p>
            <w:r>
              <w:rPr>
                <w:sz w:val="19"/>
              </w:rPr>
              <w:t>04:08</w:t>
            </w:r>
          </w:p>
        </w:tc>
        <w:tc>
          <w:tcPr>
            <w:tcW w:type="dxa" w:w="3168"/>
            <w:shd w:val="clear" w:color="auto" w:fill="F0F4FF"/>
          </w:tcPr>
          <w:p>
            <w:r>
              <w:rPr>
                <w:sz w:val="19"/>
              </w:rPr>
              <w:t>Root cause identified: AT-4421 applied DR BGP community filter to production</w:t>
            </w:r>
          </w:p>
        </w:tc>
        <w:tc>
          <w:tcPr>
            <w:tcW w:type="dxa" w:w="3600"/>
            <w:shd w:val="clear" w:color="auto" w:fill="F0F4FF"/>
          </w:tcPr>
          <w:p>
            <w:r>
              <w:rPr>
                <w:sz w:val="19"/>
              </w:rPr>
              <w:t>Approval gate defect confirmed in Jenkinsfile</w:t>
            </w:r>
          </w:p>
        </w:tc>
        <w:tc>
          <w:tcPr>
            <w:tcW w:type="dxa" w:w="2592"/>
            <w:shd w:val="clear" w:color="auto" w:fill="F0F4FF"/>
          </w:tcPr>
          <w:p>
            <w:r>
              <w:rPr>
                <w:sz w:val="19"/>
              </w:rPr>
              <w:t>Mike Torres + DevOps</w:t>
            </w:r>
          </w:p>
        </w:tc>
      </w:tr>
      <w:tr>
        <w:tc>
          <w:tcPr>
            <w:tcW w:type="dxa" w:w="1440"/>
            <w:shd w:val="clear" w:color="auto" w:fill="FFFFFF"/>
          </w:tcPr>
          <w:p>
            <w:r>
              <w:rPr>
                <w:sz w:val="19"/>
              </w:rPr>
              <w:t>04:15</w:t>
            </w:r>
          </w:p>
        </w:tc>
        <w:tc>
          <w:tcPr>
            <w:tcW w:type="dxa" w:w="3168"/>
            <w:shd w:val="clear" w:color="auto" w:fill="FFFFFF"/>
          </w:tcPr>
          <w:p>
            <w:r>
              <w:rPr>
                <w:sz w:val="19"/>
              </w:rPr>
              <w:t>Change Board emergency approval obtained for rollback</w:t>
            </w:r>
          </w:p>
        </w:tc>
        <w:tc>
          <w:tcPr>
            <w:tcW w:type="dxa" w:w="3600"/>
            <w:shd w:val="clear" w:color="auto" w:fill="FFFFFF"/>
          </w:tcPr>
          <w:p>
            <w:r>
              <w:rPr>
                <w:sz w:val="19"/>
              </w:rPr>
              <w:t>Emergency CAB approval via phone bridge</w:t>
            </w:r>
          </w:p>
        </w:tc>
        <w:tc>
          <w:tcPr>
            <w:tcW w:type="dxa" w:w="2592"/>
            <w:shd w:val="clear" w:color="auto" w:fill="FFFFFF"/>
          </w:tcPr>
          <w:p>
            <w:r>
              <w:rPr>
                <w:sz w:val="19"/>
              </w:rPr>
              <w:t>James Wu</w:t>
            </w:r>
          </w:p>
        </w:tc>
      </w:tr>
      <w:tr>
        <w:tc>
          <w:tcPr>
            <w:tcW w:type="dxa" w:w="1440"/>
            <w:shd w:val="clear" w:color="auto" w:fill="F0F4FF"/>
          </w:tcPr>
          <w:p>
            <w:r>
              <w:rPr>
                <w:sz w:val="19"/>
              </w:rPr>
              <w:t>04:22</w:t>
            </w:r>
          </w:p>
        </w:tc>
        <w:tc>
          <w:tcPr>
            <w:tcW w:type="dxa" w:w="3168"/>
            <w:shd w:val="clear" w:color="auto" w:fill="F0F4FF"/>
          </w:tcPr>
          <w:p>
            <w:r>
              <w:rPr>
                <w:sz w:val="19"/>
              </w:rPr>
              <w:t>Rollback script executed on APAC-CORE-R1 — BGP config restored</w:t>
            </w:r>
          </w:p>
        </w:tc>
        <w:tc>
          <w:tcPr>
            <w:tcW w:type="dxa" w:w="3600"/>
            <w:shd w:val="clear" w:color="auto" w:fill="F0F4FF"/>
          </w:tcPr>
          <w:p>
            <w:r>
              <w:rPr>
                <w:sz w:val="19"/>
              </w:rPr>
              <w:t>BGP peers begin re-establishing</w:t>
            </w:r>
          </w:p>
        </w:tc>
        <w:tc>
          <w:tcPr>
            <w:tcW w:type="dxa" w:w="2592"/>
            <w:shd w:val="clear" w:color="auto" w:fill="F0F4FF"/>
          </w:tcPr>
          <w:p>
            <w:r>
              <w:rPr>
                <w:sz w:val="19"/>
              </w:rPr>
              <w:t>Mike Torres</w:t>
            </w:r>
          </w:p>
        </w:tc>
      </w:tr>
      <w:tr>
        <w:tc>
          <w:tcPr>
            <w:tcW w:type="dxa" w:w="1440"/>
            <w:shd w:val="clear" w:color="auto" w:fill="FFFFFF"/>
          </w:tcPr>
          <w:p>
            <w:r>
              <w:rPr>
                <w:sz w:val="19"/>
              </w:rPr>
              <w:t>05:48</w:t>
            </w:r>
          </w:p>
        </w:tc>
        <w:tc>
          <w:tcPr>
            <w:tcW w:type="dxa" w:w="3168"/>
            <w:shd w:val="clear" w:color="auto" w:fill="FFFFFF"/>
          </w:tcPr>
          <w:p>
            <w:r>
              <w:rPr>
                <w:sz w:val="19"/>
              </w:rPr>
              <w:t>APAC-CORE-R1 BGP fully converged — R2 and R3 restoration in progress</w:t>
            </w:r>
          </w:p>
        </w:tc>
        <w:tc>
          <w:tcPr>
            <w:tcW w:type="dxa" w:w="3600"/>
            <w:shd w:val="clear" w:color="auto" w:fill="FFFFFF"/>
          </w:tcPr>
          <w:p>
            <w:r>
              <w:rPr>
                <w:sz w:val="19"/>
              </w:rPr>
              <w:t>User communications sent — ETA 30 minutes</w:t>
            </w:r>
          </w:p>
        </w:tc>
        <w:tc>
          <w:tcPr>
            <w:tcW w:type="dxa" w:w="2592"/>
            <w:shd w:val="clear" w:color="auto" w:fill="FFFFFF"/>
          </w:tcPr>
          <w:p>
            <w:r>
              <w:rPr>
                <w:sz w:val="19"/>
              </w:rPr>
              <w:t>Comms team</w:t>
            </w:r>
          </w:p>
        </w:tc>
      </w:tr>
      <w:tr>
        <w:tc>
          <w:tcPr>
            <w:tcW w:type="dxa" w:w="1440"/>
            <w:shd w:val="clear" w:color="auto" w:fill="F0F4FF"/>
          </w:tcPr>
          <w:p>
            <w:r>
              <w:rPr>
                <w:sz w:val="19"/>
              </w:rPr>
              <w:t>06:22</w:t>
            </w:r>
          </w:p>
        </w:tc>
        <w:tc>
          <w:tcPr>
            <w:tcW w:type="dxa" w:w="3168"/>
            <w:shd w:val="clear" w:color="auto" w:fill="F0F4FF"/>
          </w:tcPr>
          <w:p>
            <w:r>
              <w:rPr>
                <w:sz w:val="19"/>
              </w:rPr>
              <w:t>All APAC BGP peers restored — full connectivity confirmed</w:t>
            </w:r>
          </w:p>
        </w:tc>
        <w:tc>
          <w:tcPr>
            <w:tcW w:type="dxa" w:w="3600"/>
            <w:shd w:val="clear" w:color="auto" w:fill="F0F4FF"/>
          </w:tcPr>
          <w:p>
            <w:r>
              <w:rPr>
                <w:sz w:val="19"/>
              </w:rPr>
              <w:t>Incident resolved, users notified</w:t>
            </w:r>
          </w:p>
        </w:tc>
        <w:tc>
          <w:tcPr>
            <w:tcW w:type="dxa" w:w="2592"/>
            <w:shd w:val="clear" w:color="auto" w:fill="F0F4FF"/>
          </w:tcPr>
          <w:p>
            <w:r>
              <w:rPr>
                <w:sz w:val="19"/>
              </w:rPr>
              <w:t>Mike Torres</w:t>
            </w:r>
          </w:p>
        </w:tc>
      </w:tr>
      <w:tr>
        <w:tc>
          <w:tcPr>
            <w:tcW w:type="dxa" w:w="1440"/>
            <w:shd w:val="clear" w:color="auto" w:fill="FFFFFF"/>
          </w:tcPr>
          <w:p>
            <w:r>
              <w:rPr>
                <w:sz w:val="19"/>
              </w:rPr>
              <w:t>06:45</w:t>
            </w:r>
          </w:p>
        </w:tc>
        <w:tc>
          <w:tcPr>
            <w:tcW w:type="dxa" w:w="3168"/>
            <w:shd w:val="clear" w:color="auto" w:fill="FFFFFF"/>
          </w:tcPr>
          <w:p>
            <w:r>
              <w:rPr>
                <w:sz w:val="19"/>
              </w:rPr>
              <w:t>Post-mortem scheduled for 2025-01-16 10:00 UTC</w:t>
            </w:r>
          </w:p>
        </w:tc>
        <w:tc>
          <w:tcPr>
            <w:tcW w:type="dxa" w:w="3600"/>
            <w:shd w:val="clear" w:color="auto" w:fill="FFFFFF"/>
          </w:tcPr>
          <w:p>
            <w:r>
              <w:rPr>
                <w:sz w:val="19"/>
              </w:rPr>
              <w:t>All corrective actions logged in ServiceNow</w:t>
            </w:r>
          </w:p>
        </w:tc>
        <w:tc>
          <w:tcPr>
            <w:tcW w:type="dxa" w:w="2592"/>
            <w:shd w:val="clear" w:color="auto" w:fill="FFFFFF"/>
          </w:tcPr>
          <w:p>
            <w:r>
              <w:rPr>
                <w:sz w:val="19"/>
              </w:rPr>
              <w:t>James Wu</w:t>
            </w:r>
          </w:p>
        </w:tc>
      </w:tr>
    </w:tbl>
    <w:p/>
    <w:p>
      <w:pPr>
        <w:pStyle w:val="Heading1"/>
      </w:pPr>
      <w:r>
        <w:rPr>
          <w:color w:val="0D2D6B"/>
          <w:sz w:val="28"/>
        </w:rPr>
        <w:t>3. Root Cause Analysis</w:t>
      </w:r>
    </w:p>
    <w:p>
      <w:pPr>
        <w:pStyle w:val="Heading2"/>
      </w:pPr>
      <w:r>
        <w:rPr>
          <w:color w:val="1A4F9E"/>
          <w:sz w:val="24"/>
        </w:rPr>
        <w:t>3.1 Technical Root Cause</w:t>
      </w:r>
    </w:p>
    <w:p>
      <w:r>
        <w:rPr>
          <w:b w:val="0"/>
          <w:sz w:val="22"/>
        </w:rPr>
        <w:t>Ansible Tower automation job AT-4421 was designed to apply Disaster Recovery BGP policies to DR-environment routers only. The CI/CD pipeline approval gate in Jenkinsfile evaluated the condition 'state != Cancelled' rather than 'state == Approved', meaning any job that had not been explicitly cancelled would pass the gate — including unapproved jobs targeting production infrastructure. This allowed AT-4421 to execute against APAC production routers (APAC-CORE-R1, R2, R3) without Network CAB review. The DR BGP community filter overwrote production BGP policy, causing all six peer sessions to be withdrawn simultaneously.</w:t>
      </w:r>
    </w:p>
    <w:p>
      <w:pPr>
        <w:pStyle w:val="Heading2"/>
      </w:pPr>
      <w:r>
        <w:rPr>
          <w:color w:val="1A4F9E"/>
          <w:sz w:val="24"/>
        </w:rPr>
        <w:t>3.2 Contributing Factors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0D2D6B"/>
          </w:tcPr>
          <w:p>
            <w:pPr>
              <w:jc w:val="left"/>
            </w:pPr>
            <w:r>
              <w:rPr>
                <w:b/>
                <w:color w:val="FFFFFF"/>
                <w:sz w:val="20"/>
              </w:rPr>
              <w:t>Factor</w:t>
            </w:r>
          </w:p>
        </w:tc>
        <w:tc>
          <w:tcPr>
            <w:tcW w:type="dxa" w:w="4320"/>
            <w:shd w:val="clear" w:color="auto" w:fill="0D2D6B"/>
          </w:tcPr>
          <w:p>
            <w:pPr>
              <w:jc w:val="left"/>
            </w:pPr>
            <w:r>
              <w:rPr>
                <w:b/>
                <w:color w:val="FFFFFF"/>
                <w:sz w:val="20"/>
              </w:rPr>
              <w:t>Description</w:t>
            </w:r>
          </w:p>
        </w:tc>
        <w:tc>
          <w:tcPr>
            <w:tcW w:type="dxa" w:w="3888"/>
            <w:shd w:val="clear" w:color="auto" w:fill="0D2D6B"/>
          </w:tcPr>
          <w:p>
            <w:pPr>
              <w:jc w:val="left"/>
            </w:pPr>
            <w:r>
              <w:rPr>
                <w:b/>
                <w:color w:val="FFFFFF"/>
                <w:sz w:val="20"/>
              </w:rPr>
              <w:t>Control Gap</w:t>
            </w:r>
          </w:p>
        </w:tc>
      </w:tr>
      <w:tr>
        <w:tc>
          <w:tcPr>
            <w:tcW w:type="dxa" w:w="2592"/>
            <w:shd w:val="clear" w:color="auto" w:fill="F0F4FF"/>
          </w:tcPr>
          <w:p>
            <w:r>
              <w:rPr>
                <w:sz w:val="19"/>
              </w:rPr>
              <w:t>CI/CD approval gate defect</w:t>
            </w:r>
          </w:p>
        </w:tc>
        <w:tc>
          <w:tcPr>
            <w:tcW w:type="dxa" w:w="4320"/>
            <w:shd w:val="clear" w:color="auto" w:fill="F0F4FF"/>
          </w:tcPr>
          <w:p>
            <w:r>
              <w:rPr>
                <w:sz w:val="19"/>
              </w:rPr>
              <w:t>Jenkinsfile gate evaluated state != Cancelled instead of state == Approved — passed all non-cancelled jobs</w:t>
            </w:r>
          </w:p>
        </w:tc>
        <w:tc>
          <w:tcPr>
            <w:tcW w:type="dxa" w:w="3888"/>
            <w:shd w:val="clear" w:color="auto" w:fill="F0F4FF"/>
          </w:tcPr>
          <w:p>
            <w:r>
              <w:rPr>
                <w:sz w:val="19"/>
              </w:rPr>
              <w:t>Code review did not catch the logic inversion — boolean logic tested only happy path</w:t>
            </w:r>
          </w:p>
        </w:tc>
      </w:tr>
      <w:tr>
        <w:tc>
          <w:tcPr>
            <w:tcW w:type="dxa" w:w="2592"/>
            <w:shd w:val="clear" w:color="auto" w:fill="FFFFFF"/>
          </w:tcPr>
          <w:p>
            <w:r>
              <w:rPr>
                <w:sz w:val="19"/>
              </w:rPr>
              <w:t>Router inventory tagging</w:t>
            </w:r>
          </w:p>
        </w:tc>
        <w:tc>
          <w:tcPr>
            <w:tcW w:type="dxa" w:w="4320"/>
            <w:shd w:val="clear" w:color="auto" w:fill="FFFFFF"/>
          </w:tcPr>
          <w:p>
            <w:r>
              <w:rPr>
                <w:sz w:val="19"/>
              </w:rPr>
              <w:t>AT-4421 targeted routers tagged 'APAC' — both DR and production APAC routers share this tag</w:t>
            </w:r>
          </w:p>
        </w:tc>
        <w:tc>
          <w:tcPr>
            <w:tcW w:type="dxa" w:w="3888"/>
            <w:shd w:val="clear" w:color="auto" w:fill="FFFFFF"/>
          </w:tcPr>
          <w:p>
            <w:r>
              <w:rPr>
                <w:sz w:val="19"/>
              </w:rPr>
              <w:t>DR and production environments use overlapping Ansible inventory tags — no environment segregation</w:t>
            </w:r>
          </w:p>
        </w:tc>
      </w:tr>
      <w:tr>
        <w:tc>
          <w:tcPr>
            <w:tcW w:type="dxa" w:w="2592"/>
            <w:shd w:val="clear" w:color="auto" w:fill="F0F4FF"/>
          </w:tcPr>
          <w:p>
            <w:r>
              <w:rPr>
                <w:sz w:val="19"/>
              </w:rPr>
              <w:t>Pre-flight validation absent</w:t>
            </w:r>
          </w:p>
        </w:tc>
        <w:tc>
          <w:tcPr>
            <w:tcW w:type="dxa" w:w="4320"/>
            <w:shd w:val="clear" w:color="auto" w:fill="F0F4FF"/>
          </w:tcPr>
          <w:p>
            <w:r>
              <w:rPr>
                <w:sz w:val="19"/>
              </w:rPr>
              <w:t>No mechanism to diff intended BGP config change against current production state before executing</w:t>
            </w:r>
          </w:p>
        </w:tc>
        <w:tc>
          <w:tcPr>
            <w:tcW w:type="dxa" w:w="3888"/>
            <w:shd w:val="clear" w:color="auto" w:fill="F0F4FF"/>
          </w:tcPr>
          <w:p>
            <w:r>
              <w:rPr>
                <w:sz w:val="19"/>
              </w:rPr>
              <w:t>Ansible playbook did not include a dry-run or pre-flight validation step</w:t>
            </w:r>
          </w:p>
        </w:tc>
      </w:tr>
      <w:tr>
        <w:tc>
          <w:tcPr>
            <w:tcW w:type="dxa" w:w="2592"/>
            <w:shd w:val="clear" w:color="auto" w:fill="FFFFFF"/>
          </w:tcPr>
          <w:p>
            <w:r>
              <w:rPr>
                <w:sz w:val="19"/>
              </w:rPr>
              <w:t>Change Board bypass</w:t>
            </w:r>
          </w:p>
        </w:tc>
        <w:tc>
          <w:tcPr>
            <w:tcW w:type="dxa" w:w="4320"/>
            <w:shd w:val="clear" w:color="auto" w:fill="FFFFFF"/>
          </w:tcPr>
          <w:p>
            <w:r>
              <w:rPr>
                <w:sz w:val="19"/>
              </w:rPr>
              <w:t>Emergency changes require CAB review, but AT-4421 was classified as automated routine, not a change</w:t>
            </w:r>
          </w:p>
        </w:tc>
        <w:tc>
          <w:tcPr>
            <w:tcW w:type="dxa" w:w="3888"/>
            <w:shd w:val="clear" w:color="auto" w:fill="FFFFFF"/>
          </w:tcPr>
          <w:p>
            <w:r>
              <w:rPr>
                <w:sz w:val="19"/>
              </w:rPr>
              <w:t>Automated jobs touching network configuration not classified as changes requiring CAB approval</w:t>
            </w:r>
          </w:p>
        </w:tc>
      </w:tr>
    </w:tbl>
    <w:p/>
    <w:p>
      <w:pPr>
        <w:pStyle w:val="Heading1"/>
      </w:pPr>
      <w:r>
        <w:rPr>
          <w:color w:val="0D2D6B"/>
          <w:sz w:val="28"/>
        </w:rPr>
        <w:t>4. Business Impact</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A4F9E"/>
          </w:tcPr>
          <w:p>
            <w:pPr>
              <w:jc w:val="left"/>
            </w:pPr>
            <w:r>
              <w:rPr>
                <w:b/>
                <w:color w:val="FFFFFF"/>
                <w:sz w:val="20"/>
              </w:rPr>
              <w:t>Impact Category</w:t>
            </w:r>
          </w:p>
        </w:tc>
        <w:tc>
          <w:tcPr>
            <w:tcW w:type="dxa" w:w="4032"/>
            <w:shd w:val="clear" w:color="auto" w:fill="1A4F9E"/>
          </w:tcPr>
          <w:p>
            <w:pPr>
              <w:jc w:val="left"/>
            </w:pPr>
            <w:r>
              <w:rPr>
                <w:b/>
                <w:color w:val="FFFFFF"/>
                <w:sz w:val="20"/>
              </w:rPr>
              <w:t>Systems / Services Affected</w:t>
            </w:r>
          </w:p>
        </w:tc>
        <w:tc>
          <w:tcPr>
            <w:tcW w:type="dxa" w:w="1584"/>
            <w:shd w:val="clear" w:color="auto" w:fill="1A4F9E"/>
          </w:tcPr>
          <w:p>
            <w:pPr>
              <w:jc w:val="left"/>
            </w:pPr>
            <w:r>
              <w:rPr>
                <w:b/>
                <w:color w:val="FFFFFF"/>
                <w:sz w:val="20"/>
              </w:rPr>
              <w:t>Duration</w:t>
            </w:r>
          </w:p>
        </w:tc>
        <w:tc>
          <w:tcPr>
            <w:tcW w:type="dxa" w:w="2592"/>
            <w:shd w:val="clear" w:color="auto" w:fill="1A4F9E"/>
          </w:tcPr>
          <w:p>
            <w:pPr>
              <w:jc w:val="left"/>
            </w:pPr>
            <w:r>
              <w:rPr>
                <w:b/>
                <w:color w:val="FFFFFF"/>
                <w:sz w:val="20"/>
              </w:rPr>
              <w:t>Financial Cost</w:t>
            </w:r>
          </w:p>
        </w:tc>
      </w:tr>
      <w:tr>
        <w:tc>
          <w:tcPr>
            <w:tcW w:type="dxa" w:w="2592"/>
            <w:shd w:val="clear" w:color="auto" w:fill="F0F4FF"/>
          </w:tcPr>
          <w:p>
            <w:r>
              <w:rPr>
                <w:sz w:val="19"/>
              </w:rPr>
              <w:t>SAP ERP — EDI Transactions</w:t>
            </w:r>
          </w:p>
        </w:tc>
        <w:tc>
          <w:tcPr>
            <w:tcW w:type="dxa" w:w="4032"/>
            <w:shd w:val="clear" w:color="auto" w:fill="F0F4FF"/>
          </w:tcPr>
          <w:p>
            <w:r>
              <w:rPr>
                <w:sz w:val="19"/>
              </w:rPr>
              <w:t>All APAC SAP application servers — EDI interface to logistics partners</w:t>
            </w:r>
          </w:p>
        </w:tc>
        <w:tc>
          <w:tcPr>
            <w:tcW w:type="dxa" w:w="1584"/>
            <w:shd w:val="clear" w:color="auto" w:fill="F0F4FF"/>
          </w:tcPr>
          <w:p>
            <w:r>
              <w:rPr>
                <w:sz w:val="19"/>
              </w:rPr>
              <w:t>2 hr 35 min</w:t>
            </w:r>
          </w:p>
        </w:tc>
        <w:tc>
          <w:tcPr>
            <w:tcW w:type="dxa" w:w="2592"/>
            <w:shd w:val="clear" w:color="auto" w:fill="F0F4FF"/>
          </w:tcPr>
          <w:p>
            <w:r>
              <w:rPr>
                <w:sz w:val="19"/>
              </w:rPr>
              <w:t>USD 94,000</w:t>
            </w:r>
          </w:p>
        </w:tc>
      </w:tr>
      <w:tr>
        <w:tc>
          <w:tcPr>
            <w:tcW w:type="dxa" w:w="2592"/>
            <w:shd w:val="clear" w:color="auto" w:fill="FFFFFF"/>
          </w:tcPr>
          <w:p>
            <w:r>
              <w:rPr>
                <w:sz w:val="19"/>
              </w:rPr>
              <w:t>Staff Productivity</w:t>
            </w:r>
          </w:p>
        </w:tc>
        <w:tc>
          <w:tcPr>
            <w:tcW w:type="dxa" w:w="4032"/>
            <w:shd w:val="clear" w:color="auto" w:fill="FFFFFF"/>
          </w:tcPr>
          <w:p>
            <w:r>
              <w:rPr>
                <w:sz w:val="19"/>
              </w:rPr>
              <w:t>847 APAC users unable to access corporate applications</w:t>
            </w:r>
          </w:p>
        </w:tc>
        <w:tc>
          <w:tcPr>
            <w:tcW w:type="dxa" w:w="1584"/>
            <w:shd w:val="clear" w:color="auto" w:fill="FFFFFF"/>
          </w:tcPr>
          <w:p>
            <w:r>
              <w:rPr>
                <w:sz w:val="19"/>
              </w:rPr>
              <w:t>2 hr 35 min</w:t>
            </w:r>
          </w:p>
        </w:tc>
        <w:tc>
          <w:tcPr>
            <w:tcW w:type="dxa" w:w="2592"/>
            <w:shd w:val="clear" w:color="auto" w:fill="FFFFFF"/>
          </w:tcPr>
          <w:p>
            <w:r>
              <w:rPr>
                <w:sz w:val="19"/>
              </w:rPr>
              <w:t>USD 48,000</w:t>
            </w:r>
          </w:p>
        </w:tc>
      </w:tr>
      <w:tr>
        <w:tc>
          <w:tcPr>
            <w:tcW w:type="dxa" w:w="2592"/>
            <w:shd w:val="clear" w:color="auto" w:fill="F0F4FF"/>
          </w:tcPr>
          <w:p>
            <w:r>
              <w:rPr>
                <w:sz w:val="19"/>
              </w:rPr>
              <w:t>Customer SLA Credits</w:t>
            </w:r>
          </w:p>
        </w:tc>
        <w:tc>
          <w:tcPr>
            <w:tcW w:type="dxa" w:w="4032"/>
            <w:shd w:val="clear" w:color="auto" w:fill="F0F4FF"/>
          </w:tcPr>
          <w:p>
            <w:r>
              <w:rPr>
                <w:sz w:val="19"/>
              </w:rPr>
              <w:t>3 enterprise customers in SG/AU triggered SLA breach credits</w:t>
            </w:r>
          </w:p>
        </w:tc>
        <w:tc>
          <w:tcPr>
            <w:tcW w:type="dxa" w:w="1584"/>
            <w:shd w:val="clear" w:color="auto" w:fill="F0F4FF"/>
          </w:tcPr>
          <w:p>
            <w:r>
              <w:rPr>
                <w:sz w:val="19"/>
              </w:rPr>
              <w:t>N/A — credit applied</w:t>
            </w:r>
          </w:p>
        </w:tc>
        <w:tc>
          <w:tcPr>
            <w:tcW w:type="dxa" w:w="2592"/>
            <w:shd w:val="clear" w:color="auto" w:fill="F0F4FF"/>
          </w:tcPr>
          <w:p>
            <w:r>
              <w:rPr>
                <w:sz w:val="19"/>
              </w:rPr>
              <w:t>USD 12,000</w:t>
            </w:r>
          </w:p>
        </w:tc>
      </w:tr>
      <w:tr>
        <w:tc>
          <w:tcPr>
            <w:tcW w:type="dxa" w:w="2592"/>
            <w:shd w:val="clear" w:color="auto" w:fill="FFFFFF"/>
          </w:tcPr>
          <w:p>
            <w:r>
              <w:rPr>
                <w:sz w:val="19"/>
              </w:rPr>
              <w:t>Salesforce CRM Access</w:t>
            </w:r>
          </w:p>
        </w:tc>
        <w:tc>
          <w:tcPr>
            <w:tcW w:type="dxa" w:w="4032"/>
            <w:shd w:val="clear" w:color="auto" w:fill="FFFFFF"/>
          </w:tcPr>
          <w:p>
            <w:r>
              <w:rPr>
                <w:sz w:val="19"/>
              </w:rPr>
              <w:t>Sales team unable to update opportunities during APAC business hours</w:t>
            </w:r>
          </w:p>
        </w:tc>
        <w:tc>
          <w:tcPr>
            <w:tcW w:type="dxa" w:w="1584"/>
            <w:shd w:val="clear" w:color="auto" w:fill="FFFFFF"/>
          </w:tcPr>
          <w:p>
            <w:r>
              <w:rPr>
                <w:sz w:val="19"/>
              </w:rPr>
              <w:t>2 hr 35 min</w:t>
            </w:r>
          </w:p>
        </w:tc>
        <w:tc>
          <w:tcPr>
            <w:tcW w:type="dxa" w:w="2592"/>
            <w:shd w:val="clear" w:color="auto" w:fill="FFFFFF"/>
          </w:tcPr>
          <w:p>
            <w:r>
              <w:rPr>
                <w:sz w:val="19"/>
              </w:rPr>
              <w:t>USD 28,000</w:t>
            </w:r>
          </w:p>
        </w:tc>
      </w:tr>
      <w:tr>
        <w:tc>
          <w:tcPr>
            <w:tcW w:type="dxa" w:w="2592"/>
            <w:shd w:val="clear" w:color="auto" w:fill="F0F4FF"/>
          </w:tcPr>
          <w:p>
            <w:r>
              <w:rPr>
                <w:sz w:val="19"/>
              </w:rPr>
              <w:t>Incident Response Overtime</w:t>
            </w:r>
          </w:p>
        </w:tc>
        <w:tc>
          <w:tcPr>
            <w:tcW w:type="dxa" w:w="4032"/>
            <w:shd w:val="clear" w:color="auto" w:fill="F0F4FF"/>
          </w:tcPr>
          <w:p>
            <w:r>
              <w:rPr>
                <w:sz w:val="19"/>
              </w:rPr>
              <w:t>NOC, Network, and DevOps teams — after-hours response</w:t>
            </w:r>
          </w:p>
        </w:tc>
        <w:tc>
          <w:tcPr>
            <w:tcW w:type="dxa" w:w="1584"/>
            <w:shd w:val="clear" w:color="auto" w:fill="F0F4FF"/>
          </w:tcPr>
          <w:p>
            <w:r>
              <w:rPr>
                <w:sz w:val="19"/>
              </w:rPr>
              <w:t>N/A</w:t>
            </w:r>
          </w:p>
        </w:tc>
        <w:tc>
          <w:tcPr>
            <w:tcW w:type="dxa" w:w="2592"/>
            <w:shd w:val="clear" w:color="auto" w:fill="F0F4FF"/>
          </w:tcPr>
          <w:p>
            <w:r>
              <w:rPr>
                <w:sz w:val="19"/>
              </w:rPr>
              <w:t>USD 2,040</w:t>
            </w:r>
          </w:p>
        </w:tc>
      </w:tr>
      <w:tr>
        <w:tc>
          <w:tcPr>
            <w:tcW w:type="dxa" w:w="2592"/>
            <w:shd w:val="clear" w:color="auto" w:fill="FFFFFF"/>
          </w:tcPr>
          <w:p>
            <w:r>
              <w:rPr>
                <w:sz w:val="19"/>
              </w:rPr>
              <w:t>TOTAL</w:t>
            </w:r>
          </w:p>
        </w:tc>
        <w:tc>
          <w:tcPr>
            <w:tcW w:type="dxa" w:w="4032"/>
            <w:shd w:val="clear" w:color="auto" w:fill="FFFFFF"/>
          </w:tcPr>
          <w:p>
            <w:r>
              <w:rPr>
                <w:sz w:val="19"/>
              </w:rPr>
            </w:r>
          </w:p>
        </w:tc>
        <w:tc>
          <w:tcPr>
            <w:tcW w:type="dxa" w:w="1584"/>
            <w:shd w:val="clear" w:color="auto" w:fill="FFFFFF"/>
          </w:tcPr>
          <w:p>
            <w:r>
              <w:rPr>
                <w:sz w:val="19"/>
              </w:rPr>
            </w:r>
          </w:p>
        </w:tc>
        <w:tc>
          <w:tcPr>
            <w:tcW w:type="dxa" w:w="2592"/>
            <w:shd w:val="clear" w:color="auto" w:fill="FFFFFF"/>
          </w:tcPr>
          <w:p>
            <w:r>
              <w:rPr>
                <w:sz w:val="19"/>
              </w:rPr>
              <w:t>USD 142,000</w:t>
            </w:r>
          </w:p>
        </w:tc>
      </w:tr>
    </w:tbl>
    <w:p/>
    <w:p>
      <w:pPr>
        <w:pStyle w:val="Heading1"/>
      </w:pPr>
      <w:r>
        <w:rPr>
          <w:color w:val="0D2D6B"/>
          <w:sz w:val="28"/>
        </w:rPr>
        <w:t>5. Corrective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1A4F9E"/>
          </w:tcPr>
          <w:p>
            <w:pPr>
              <w:jc w:val="left"/>
            </w:pPr>
            <w:r>
              <w:rPr>
                <w:b/>
                <w:color w:val="FFFFFF"/>
                <w:sz w:val="20"/>
              </w:rPr>
              <w:t>ID</w:t>
            </w:r>
          </w:p>
        </w:tc>
        <w:tc>
          <w:tcPr>
            <w:tcW w:type="dxa" w:w="4032"/>
            <w:shd w:val="clear" w:color="auto" w:fill="1A4F9E"/>
          </w:tcPr>
          <w:p>
            <w:pPr>
              <w:jc w:val="left"/>
            </w:pPr>
            <w:r>
              <w:rPr>
                <w:b/>
                <w:color w:val="FFFFFF"/>
                <w:sz w:val="20"/>
              </w:rPr>
              <w:t>Action</w:t>
            </w:r>
          </w:p>
        </w:tc>
        <w:tc>
          <w:tcPr>
            <w:tcW w:type="dxa" w:w="2160"/>
            <w:shd w:val="clear" w:color="auto" w:fill="1A4F9E"/>
          </w:tcPr>
          <w:p>
            <w:pPr>
              <w:jc w:val="left"/>
            </w:pPr>
            <w:r>
              <w:rPr>
                <w:b/>
                <w:color w:val="FFFFFF"/>
                <w:sz w:val="20"/>
              </w:rPr>
              <w:t>Owner</w:t>
            </w:r>
          </w:p>
        </w:tc>
        <w:tc>
          <w:tcPr>
            <w:tcW w:type="dxa" w:w="1440"/>
            <w:shd w:val="clear" w:color="auto" w:fill="1A4F9E"/>
          </w:tcPr>
          <w:p>
            <w:pPr>
              <w:jc w:val="left"/>
            </w:pPr>
            <w:r>
              <w:rPr>
                <w:b/>
                <w:color w:val="FFFFFF"/>
                <w:sz w:val="20"/>
              </w:rPr>
              <w:t>Due Date</w:t>
            </w:r>
          </w:p>
        </w:tc>
        <w:tc>
          <w:tcPr>
            <w:tcW w:type="dxa" w:w="1440"/>
            <w:shd w:val="clear" w:color="auto" w:fill="1A4F9E"/>
          </w:tcPr>
          <w:p>
            <w:pPr>
              <w:jc w:val="left"/>
            </w:pPr>
            <w:r>
              <w:rPr>
                <w:b/>
                <w:color w:val="FFFFFF"/>
                <w:sz w:val="20"/>
              </w:rPr>
              <w:t>Status</w:t>
            </w:r>
          </w:p>
        </w:tc>
      </w:tr>
      <w:tr>
        <w:tc>
          <w:tcPr>
            <w:tcW w:type="dxa" w:w="720"/>
            <w:shd w:val="clear" w:color="auto" w:fill="F0F4FF"/>
          </w:tcPr>
          <w:p>
            <w:r>
              <w:rPr>
                <w:sz w:val="19"/>
              </w:rPr>
              <w:t>CA-01</w:t>
            </w:r>
          </w:p>
        </w:tc>
        <w:tc>
          <w:tcPr>
            <w:tcW w:type="dxa" w:w="4032"/>
            <w:shd w:val="clear" w:color="auto" w:fill="F0F4FF"/>
          </w:tcPr>
          <w:p>
            <w:r>
              <w:rPr>
                <w:sz w:val="19"/>
              </w:rPr>
              <w:t>Fix Jenkinsfile approval gate: change condition from state != Cancelled to state == Approved with explicit Allow-list of permitted states</w:t>
            </w:r>
          </w:p>
        </w:tc>
        <w:tc>
          <w:tcPr>
            <w:tcW w:type="dxa" w:w="2160"/>
            <w:shd w:val="clear" w:color="auto" w:fill="F0F4FF"/>
          </w:tcPr>
          <w:p>
            <w:r>
              <w:rPr>
                <w:sz w:val="19"/>
              </w:rPr>
              <w:t>Platform Engineering</w:t>
            </w:r>
          </w:p>
        </w:tc>
        <w:tc>
          <w:tcPr>
            <w:tcW w:type="dxa" w:w="1440"/>
            <w:shd w:val="clear" w:color="auto" w:fill="F0F4FF"/>
          </w:tcPr>
          <w:p>
            <w:r>
              <w:rPr>
                <w:sz w:val="19"/>
              </w:rPr>
              <w:t>2025-01-21</w:t>
            </w:r>
          </w:p>
        </w:tc>
        <w:tc>
          <w:tcPr>
            <w:tcW w:type="dxa" w:w="1440"/>
            <w:shd w:val="clear" w:color="auto" w:fill="F0F4FF"/>
          </w:tcPr>
          <w:p>
            <w:r>
              <w:rPr>
                <w:sz w:val="19"/>
              </w:rPr>
              <w:t>In Progress</w:t>
            </w:r>
          </w:p>
        </w:tc>
      </w:tr>
      <w:tr>
        <w:tc>
          <w:tcPr>
            <w:tcW w:type="dxa" w:w="720"/>
            <w:shd w:val="clear" w:color="auto" w:fill="FFFFFF"/>
          </w:tcPr>
          <w:p>
            <w:r>
              <w:rPr>
                <w:sz w:val="19"/>
              </w:rPr>
              <w:t>CA-02</w:t>
            </w:r>
          </w:p>
        </w:tc>
        <w:tc>
          <w:tcPr>
            <w:tcW w:type="dxa" w:w="4032"/>
            <w:shd w:val="clear" w:color="auto" w:fill="FFFFFF"/>
          </w:tcPr>
          <w:p>
            <w:r>
              <w:rPr>
                <w:sz w:val="19"/>
              </w:rPr>
              <w:t>Add pre-flight diff check to Ansible playbooks affecting network devices — abort if diff exceeds 5-line threshold</w:t>
            </w:r>
          </w:p>
        </w:tc>
        <w:tc>
          <w:tcPr>
            <w:tcW w:type="dxa" w:w="2160"/>
            <w:shd w:val="clear" w:color="auto" w:fill="FFFFFF"/>
          </w:tcPr>
          <w:p>
            <w:r>
              <w:rPr>
                <w:sz w:val="19"/>
              </w:rPr>
              <w:t>Automation Team</w:t>
            </w:r>
          </w:p>
        </w:tc>
        <w:tc>
          <w:tcPr>
            <w:tcW w:type="dxa" w:w="1440"/>
            <w:shd w:val="clear" w:color="auto" w:fill="FFFFFF"/>
          </w:tcPr>
          <w:p>
            <w:r>
              <w:rPr>
                <w:sz w:val="19"/>
              </w:rPr>
              <w:t>2025-01-28</w:t>
            </w:r>
          </w:p>
        </w:tc>
        <w:tc>
          <w:tcPr>
            <w:tcW w:type="dxa" w:w="1440"/>
            <w:shd w:val="clear" w:color="auto" w:fill="FFFFFF"/>
          </w:tcPr>
          <w:p>
            <w:r>
              <w:rPr>
                <w:sz w:val="19"/>
              </w:rPr>
              <w:t>In Progress</w:t>
            </w:r>
          </w:p>
        </w:tc>
      </w:tr>
      <w:tr>
        <w:tc>
          <w:tcPr>
            <w:tcW w:type="dxa" w:w="720"/>
            <w:shd w:val="clear" w:color="auto" w:fill="F0F4FF"/>
          </w:tcPr>
          <w:p>
            <w:r>
              <w:rPr>
                <w:sz w:val="19"/>
              </w:rPr>
              <w:t>CA-03</w:t>
            </w:r>
          </w:p>
        </w:tc>
        <w:tc>
          <w:tcPr>
            <w:tcW w:type="dxa" w:w="4032"/>
            <w:shd w:val="clear" w:color="auto" w:fill="F0F4FF"/>
          </w:tcPr>
          <w:p>
            <w:r>
              <w:rPr>
                <w:sz w:val="19"/>
              </w:rPr>
              <w:t>Separate DR and production Ansible inventory by environment prefix — never share APAC tag across both</w:t>
            </w:r>
          </w:p>
        </w:tc>
        <w:tc>
          <w:tcPr>
            <w:tcW w:type="dxa" w:w="2160"/>
            <w:shd w:val="clear" w:color="auto" w:fill="F0F4FF"/>
          </w:tcPr>
          <w:p>
            <w:r>
              <w:rPr>
                <w:sz w:val="19"/>
              </w:rPr>
              <w:t>Mike Torres</w:t>
            </w:r>
          </w:p>
        </w:tc>
        <w:tc>
          <w:tcPr>
            <w:tcW w:type="dxa" w:w="1440"/>
            <w:shd w:val="clear" w:color="auto" w:fill="F0F4FF"/>
          </w:tcPr>
          <w:p>
            <w:r>
              <w:rPr>
                <w:sz w:val="19"/>
              </w:rPr>
              <w:t>2025-01-24</w:t>
            </w:r>
          </w:p>
        </w:tc>
        <w:tc>
          <w:tcPr>
            <w:tcW w:type="dxa" w:w="1440"/>
            <w:shd w:val="clear" w:color="auto" w:fill="F0F4FF"/>
          </w:tcPr>
          <w:p>
            <w:r>
              <w:rPr>
                <w:sz w:val="19"/>
              </w:rPr>
              <w:t>Complete</w:t>
            </w:r>
          </w:p>
        </w:tc>
      </w:tr>
      <w:tr>
        <w:tc>
          <w:tcPr>
            <w:tcW w:type="dxa" w:w="720"/>
            <w:shd w:val="clear" w:color="auto" w:fill="FFFFFF"/>
          </w:tcPr>
          <w:p>
            <w:r>
              <w:rPr>
                <w:sz w:val="19"/>
              </w:rPr>
              <w:t>CA-04</w:t>
            </w:r>
          </w:p>
        </w:tc>
        <w:tc>
          <w:tcPr>
            <w:tcW w:type="dxa" w:w="4032"/>
            <w:shd w:val="clear" w:color="auto" w:fill="FFFFFF"/>
          </w:tcPr>
          <w:p>
            <w:r>
              <w:rPr>
                <w:sz w:val="19"/>
              </w:rPr>
              <w:t>Add change classification for all automated jobs touching Tier 1 network devices — require CAB approval</w:t>
            </w:r>
          </w:p>
        </w:tc>
        <w:tc>
          <w:tcPr>
            <w:tcW w:type="dxa" w:w="2160"/>
            <w:shd w:val="clear" w:color="auto" w:fill="FFFFFF"/>
          </w:tcPr>
          <w:p>
            <w:r>
              <w:rPr>
                <w:sz w:val="19"/>
              </w:rPr>
              <w:t>Change Manager</w:t>
            </w:r>
          </w:p>
        </w:tc>
        <w:tc>
          <w:tcPr>
            <w:tcW w:type="dxa" w:w="1440"/>
            <w:shd w:val="clear" w:color="auto" w:fill="FFFFFF"/>
          </w:tcPr>
          <w:p>
            <w:r>
              <w:rPr>
                <w:sz w:val="19"/>
              </w:rPr>
              <w:t>2025-01-21</w:t>
            </w:r>
          </w:p>
        </w:tc>
        <w:tc>
          <w:tcPr>
            <w:tcW w:type="dxa" w:w="1440"/>
            <w:shd w:val="clear" w:color="auto" w:fill="FFFFFF"/>
          </w:tcPr>
          <w:p>
            <w:r>
              <w:rPr>
                <w:sz w:val="19"/>
              </w:rPr>
              <w:t>Complete</w:t>
            </w:r>
          </w:p>
        </w:tc>
      </w:tr>
      <w:tr>
        <w:tc>
          <w:tcPr>
            <w:tcW w:type="dxa" w:w="720"/>
            <w:shd w:val="clear" w:color="auto" w:fill="F0F4FF"/>
          </w:tcPr>
          <w:p>
            <w:r>
              <w:rPr>
                <w:sz w:val="19"/>
              </w:rPr>
              <w:t>CA-05</w:t>
            </w:r>
          </w:p>
        </w:tc>
        <w:tc>
          <w:tcPr>
            <w:tcW w:type="dxa" w:w="4032"/>
            <w:shd w:val="clear" w:color="auto" w:fill="F0F4FF"/>
          </w:tcPr>
          <w:p>
            <w:r>
              <w:rPr>
                <w:sz w:val="19"/>
              </w:rPr>
              <w:t>Update Ansible Tower runbook: add mandatory peer count validation step before executing BGP config changes</w:t>
            </w:r>
          </w:p>
        </w:tc>
        <w:tc>
          <w:tcPr>
            <w:tcW w:type="dxa" w:w="2160"/>
            <w:shd w:val="clear" w:color="auto" w:fill="F0F4FF"/>
          </w:tcPr>
          <w:p>
            <w:r>
              <w:rPr>
                <w:sz w:val="19"/>
              </w:rPr>
              <w:t>Sarah Chen</w:t>
            </w:r>
          </w:p>
        </w:tc>
        <w:tc>
          <w:tcPr>
            <w:tcW w:type="dxa" w:w="1440"/>
            <w:shd w:val="clear" w:color="auto" w:fill="F0F4FF"/>
          </w:tcPr>
          <w:p>
            <w:r>
              <w:rPr>
                <w:sz w:val="19"/>
              </w:rPr>
              <w:t>2025-01-24</w:t>
            </w:r>
          </w:p>
        </w:tc>
        <w:tc>
          <w:tcPr>
            <w:tcW w:type="dxa" w:w="1440"/>
            <w:shd w:val="clear" w:color="auto" w:fill="F0F4FF"/>
          </w:tcPr>
          <w:p>
            <w:r>
              <w:rPr>
                <w:sz w:val="19"/>
              </w:rPr>
              <w:t>Pending</w:t>
            </w:r>
          </w:p>
        </w:tc>
      </w:tr>
      <w:tr>
        <w:tc>
          <w:tcPr>
            <w:tcW w:type="dxa" w:w="720"/>
            <w:shd w:val="clear" w:color="auto" w:fill="FFFFFF"/>
          </w:tcPr>
          <w:p>
            <w:r>
              <w:rPr>
                <w:sz w:val="19"/>
              </w:rPr>
              <w:t>CA-06</w:t>
            </w:r>
          </w:p>
        </w:tc>
        <w:tc>
          <w:tcPr>
            <w:tcW w:type="dxa" w:w="4032"/>
            <w:shd w:val="clear" w:color="auto" w:fill="FFFFFF"/>
          </w:tcPr>
          <w:p>
            <w:r>
              <w:rPr>
                <w:sz w:val="19"/>
              </w:rPr>
              <w:t>Audit all 47 existing Ansible templates for incorrect approval gate logic — auto-scan with regex check</w:t>
            </w:r>
          </w:p>
        </w:tc>
        <w:tc>
          <w:tcPr>
            <w:tcW w:type="dxa" w:w="2160"/>
            <w:shd w:val="clear" w:color="auto" w:fill="FFFFFF"/>
          </w:tcPr>
          <w:p>
            <w:r>
              <w:rPr>
                <w:sz w:val="19"/>
              </w:rPr>
              <w:t>Automation Team</w:t>
            </w:r>
          </w:p>
        </w:tc>
        <w:tc>
          <w:tcPr>
            <w:tcW w:type="dxa" w:w="1440"/>
            <w:shd w:val="clear" w:color="auto" w:fill="FFFFFF"/>
          </w:tcPr>
          <w:p>
            <w:r>
              <w:rPr>
                <w:sz w:val="19"/>
              </w:rPr>
              <w:t>2025-02-07</w:t>
            </w:r>
          </w:p>
        </w:tc>
        <w:tc>
          <w:tcPr>
            <w:tcW w:type="dxa" w:w="1440"/>
            <w:shd w:val="clear" w:color="auto" w:fill="FFFFFF"/>
          </w:tcPr>
          <w:p>
            <w:r>
              <w:rPr>
                <w:sz w:val="19"/>
              </w:rPr>
              <w:t>Pending</w:t>
            </w:r>
          </w:p>
        </w:tc>
      </w:tr>
      <w:tr>
        <w:tc>
          <w:tcPr>
            <w:tcW w:type="dxa" w:w="720"/>
            <w:shd w:val="clear" w:color="auto" w:fill="F0F4FF"/>
          </w:tcPr>
          <w:p>
            <w:r>
              <w:rPr>
                <w:sz w:val="19"/>
              </w:rPr>
              <w:t>CA-07</w:t>
            </w:r>
          </w:p>
        </w:tc>
        <w:tc>
          <w:tcPr>
            <w:tcW w:type="dxa" w:w="4032"/>
            <w:shd w:val="clear" w:color="auto" w:fill="F0F4FF"/>
          </w:tcPr>
          <w:p>
            <w:r>
              <w:rPr>
                <w:sz w:val="19"/>
              </w:rPr>
              <w:t>Full post-mortem with all stakeholders including CTO and Head of Infrastructure</w:t>
            </w:r>
          </w:p>
        </w:tc>
        <w:tc>
          <w:tcPr>
            <w:tcW w:type="dxa" w:w="2160"/>
            <w:shd w:val="clear" w:color="auto" w:fill="F0F4FF"/>
          </w:tcPr>
          <w:p>
            <w:r>
              <w:rPr>
                <w:sz w:val="19"/>
              </w:rPr>
              <w:t>James Wu</w:t>
            </w:r>
          </w:p>
        </w:tc>
        <w:tc>
          <w:tcPr>
            <w:tcW w:type="dxa" w:w="1440"/>
            <w:shd w:val="clear" w:color="auto" w:fill="F0F4FF"/>
          </w:tcPr>
          <w:p>
            <w:r>
              <w:rPr>
                <w:sz w:val="19"/>
              </w:rPr>
              <w:t>2025-01-21</w:t>
            </w:r>
          </w:p>
        </w:tc>
        <w:tc>
          <w:tcPr>
            <w:tcW w:type="dxa" w:w="1440"/>
            <w:shd w:val="clear" w:color="auto" w:fill="F0F4FF"/>
          </w:tcPr>
          <w:p>
            <w:r>
              <w:rPr>
                <w:sz w:val="19"/>
              </w:rPr>
              <w:t>Scheduled</w:t>
            </w:r>
          </w:p>
        </w:tc>
      </w:tr>
    </w:tbl>
    <w:p/>
    <w:p>
      <w:pPr>
        <w:pStyle w:val="Heading1"/>
      </w:pPr>
      <w:r>
        <w:rPr>
          <w:color w:val="0D2D6B"/>
          <w:sz w:val="28"/>
        </w:rPr>
        <w:t>6. SLA Assessment</w:t>
      </w:r>
    </w:p>
    <w:p>
      <w:r>
        <w:rPr>
          <w:b w:val="0"/>
          <w:sz w:val="22"/>
        </w:rPr>
        <w:t>This incident constitutes a P1 SLA breach. The contracted resolution time for Priority 1 incidents is 2 hours from time of detection. The actual resolution time was 2 hours 35 minutes — 35 minutes over the contractual SLA. Three enterprise customers have automatic SLA credit triggers for P1 breaches: Acme Global, Pacific Logistics, and SG Financial Services. Combined credit exposure is USD 12,000. The SLA compliance team will process these credits within 5 business days. The Q1 P1 SLA compliance rate is now 84.2% against the 99.0%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