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DA8C3">
      <w:pPr>
        <w:shd w:val="clear" w:color="auto" w:fill="1F4E79"/>
        <w:spacing w:after="0"/>
      </w:pPr>
      <w:r>
        <w:rPr>
          <w:sz w:val="28"/>
        </w:rPr>
        <w:br w:type="textWrapping"/>
      </w:r>
      <w:r>
        <w:rPr>
          <w:sz w:val="28"/>
        </w:rPr>
        <w:br w:type="textWrapping"/>
      </w:r>
      <w:r>
        <w:rPr>
          <w:sz w:val="28"/>
        </w:rPr>
        <w:br w:type="textWrapping"/>
      </w:r>
    </w:p>
    <w:p w14:paraId="73803653">
      <w:pPr>
        <w:shd w:val="clear" w:color="auto" w:fill="1F4E79"/>
        <w:spacing w:after="0"/>
        <w:jc w:val="center"/>
      </w:pPr>
      <w:r>
        <w:rPr>
          <w:rFonts w:ascii="Calibri" w:hAnsi="Calibri"/>
          <w:b/>
          <w:color w:val="FFFFFF"/>
          <w:sz w:val="48"/>
        </w:rPr>
        <w:t>Superstore Retail Sales Analytics</w:t>
      </w:r>
    </w:p>
    <w:p w14:paraId="18B1072A">
      <w:pPr>
        <w:shd w:val="clear" w:color="auto" w:fill="1F4E79"/>
        <w:spacing w:before="80" w:after="0"/>
        <w:jc w:val="center"/>
      </w:pPr>
      <w:r>
        <w:rPr>
          <w:rFonts w:ascii="Calibri" w:hAnsi="Calibri"/>
          <w:b/>
          <w:color w:val="FFFFFF"/>
          <w:sz w:val="48"/>
        </w:rPr>
        <w:t>and Profitability Prediction</w:t>
      </w:r>
    </w:p>
    <w:p w14:paraId="5A6C9738">
      <w:pPr>
        <w:shd w:val="clear" w:color="auto" w:fill="1F4E79"/>
        <w:spacing w:before="160" w:after="0"/>
        <w:jc w:val="center"/>
      </w:pPr>
      <w:r>
        <w:rPr>
          <w:rFonts w:ascii="Calibri" w:hAnsi="Calibri"/>
          <w:color w:val="BDD7EE"/>
          <w:sz w:val="26"/>
        </w:rPr>
        <w:t>A 4-Tier Data Science and Machine Learning Project Report</w:t>
      </w:r>
    </w:p>
    <w:p w14:paraId="12F22BB1">
      <w:pPr>
        <w:shd w:val="clear" w:color="auto" w:fill="1F4E79"/>
      </w:pPr>
      <w:r>
        <w:rPr>
          <w:sz w:val="28"/>
        </w:rPr>
        <w:br w:type="textWrapping"/>
      </w:r>
      <w:r>
        <w:rPr>
          <w:sz w:val="28"/>
        </w:rPr>
        <w:br w:type="textWrapping"/>
      </w:r>
      <w:r>
        <w:rPr>
          <w:sz w:val="28"/>
        </w:rPr>
        <w:br w:type="textWrapping"/>
      </w:r>
    </w:p>
    <w:p w14:paraId="6F82F1CD">
      <w:pPr>
        <w:spacing w:after="400"/>
      </w:pPr>
    </w:p>
    <w:p w14:paraId="63643552">
      <w:pPr>
        <w:spacing w:before="60" w:after="60"/>
        <w:jc w:val="center"/>
        <w:rPr>
          <w:b/>
          <w:bCs/>
          <w:color w:val="404040"/>
        </w:rPr>
      </w:pPr>
      <w:bookmarkStart w:id="0" w:name="_GoBack"/>
      <w:bookmarkEnd w:id="0"/>
      <w:r>
        <w:rPr>
          <w:rFonts w:ascii="Calibri" w:hAnsi="Calibri"/>
          <w:b/>
          <w:color w:val="1F4E79"/>
        </w:rPr>
        <w:t xml:space="preserve">Course:  </w:t>
      </w:r>
      <w:r>
        <w:rPr>
          <w:rFonts w:ascii="Calibri" w:hAnsi="Calibri"/>
          <w:b/>
          <w:bCs/>
          <w:color w:val="1F4E79"/>
        </w:rPr>
        <w:t xml:space="preserve">IBM </w:t>
      </w:r>
      <w:r>
        <w:t>SkillsBuild Data</w:t>
      </w:r>
      <w:r>
        <w:rPr>
          <w:b/>
          <w:bCs/>
          <w:color w:val="404040"/>
        </w:rPr>
        <w:t xml:space="preserve"> </w:t>
      </w:r>
      <w:r>
        <w:rPr>
          <w:color w:val="404040"/>
        </w:rPr>
        <w:t>Analytics with AI</w:t>
      </w:r>
    </w:p>
    <w:p w14:paraId="0AAC9337">
      <w:pPr>
        <w:spacing w:before="60" w:after="60"/>
        <w:jc w:val="center"/>
      </w:pPr>
      <w:r>
        <w:rPr>
          <w:rFonts w:ascii="Calibri" w:hAnsi="Calibri"/>
          <w:b/>
          <w:color w:val="1F4E79"/>
        </w:rPr>
        <w:t xml:space="preserve">Dataset:  </w:t>
      </w:r>
      <w:r>
        <w:rPr>
          <w:rFonts w:ascii="Calibri" w:hAnsi="Calibri"/>
          <w:color w:val="404040"/>
        </w:rPr>
        <w:t>Superstore.csv  —  9,994 Records  |  2011–2014</w:t>
      </w:r>
    </w:p>
    <w:p w14:paraId="1998578F">
      <w:pPr>
        <w:spacing w:before="60" w:after="60"/>
        <w:jc w:val="center"/>
      </w:pPr>
      <w:r>
        <w:rPr>
          <w:rFonts w:ascii="Calibri" w:hAnsi="Calibri"/>
          <w:b/>
          <w:color w:val="1F4E79"/>
        </w:rPr>
        <w:t xml:space="preserve">Model:  </w:t>
      </w:r>
      <w:r>
        <w:rPr>
          <w:rFonts w:ascii="Calibri" w:hAnsi="Calibri"/>
          <w:color w:val="404040"/>
        </w:rPr>
        <w:t>Random Forest Classifier  |  ROC-AUC: 98.49%</w:t>
      </w:r>
    </w:p>
    <w:p w14:paraId="0463D3BB"/>
    <w:p w14:paraId="04BE6B0E">
      <w:pPr>
        <w:pBdr>
          <w:bottom w:val="single" w:color="1F4E79" w:sz="10" w:space="1"/>
        </w:pBdr>
        <w:spacing w:after="40"/>
      </w:pPr>
    </w:p>
    <w:p w14:paraId="181D9B74">
      <w:r>
        <w:br w:type="page"/>
      </w:r>
    </w:p>
    <w:p w14:paraId="42E180CA">
      <w:pPr>
        <w:spacing w:before="360" w:after="120"/>
      </w:pPr>
      <w:r>
        <w:rPr>
          <w:rFonts w:ascii="Calibri" w:hAnsi="Calibri"/>
          <w:b/>
          <w:color w:val="1F4E79"/>
          <w:sz w:val="30"/>
        </w:rPr>
        <w:t>1. Executive Summary</w:t>
      </w:r>
    </w:p>
    <w:p w14:paraId="6016A271">
      <w:pPr>
        <w:pBdr>
          <w:bottom w:val="single" w:color="1F4E79" w:sz="8" w:space="1"/>
        </w:pBdr>
        <w:spacing w:after="40"/>
      </w:pPr>
    </w:p>
    <w:p w14:paraId="5F62B9D1">
      <w:pPr>
        <w:spacing w:before="40" w:after="100"/>
      </w:pPr>
      <w:r>
        <w:rPr>
          <w:rFonts w:ascii="Calibri" w:hAnsi="Calibri"/>
          <w:color w:val="404040"/>
          <w:sz w:val="21"/>
        </w:rPr>
        <w:t>This report presents a complete four-tier retail analytics project built on the Superstore dataset, comprising 9,994 US order line-item records spanning January 2011 – December 2014. The dataset encompasses 5,009 unique orders across three product categories, generating total revenue of $2,297,200.86 and net profit of $286,397.02 over the four-year period.</w:t>
      </w:r>
    </w:p>
    <w:p w14:paraId="697F6EED">
      <w:pPr>
        <w:spacing w:before="40" w:after="100"/>
      </w:pPr>
      <w:r>
        <w:rPr>
          <w:rFonts w:ascii="Calibri" w:hAnsi="Calibri"/>
          <w:color w:val="404040"/>
          <w:sz w:val="21"/>
        </w:rPr>
        <w:t>Analysis reveals that 18.7% of all transactions — 1,871 out of 9,994 order line items — resulted in negative profit. The root cause is unambiguous: discount levels above 40% produce a 100% loss rate in the historical data. The Central region exhibits the highest loss concentration at 31.9%, driven by 80% discounts applied to Binders and Appliances.</w:t>
      </w:r>
    </w:p>
    <w:p w14:paraId="58CF586E">
      <w:pPr>
        <w:spacing w:before="40" w:after="100"/>
      </w:pPr>
      <w:r>
        <w:rPr>
          <w:rFonts w:ascii="Calibri" w:hAnsi="Calibri"/>
          <w:color w:val="404040"/>
          <w:sz w:val="21"/>
        </w:rPr>
        <w:t>A Random Forest binary classifier trained to predict loss-making orders achieves 93.95% accuracy, 98.49% ROC-AUC, 84.76% recall, and 83.97% F1-score on the held-out test set of 1,999 records. Discount accounts for 53.7% of the model's feature importance, confirming it as the dominant risk signal.</w:t>
      </w:r>
    </w:p>
    <w:p w14:paraId="2580681A">
      <w:pPr>
        <w:spacing w:before="40" w:after="100"/>
      </w:pPr>
      <w:r>
        <w:rPr>
          <w:rFonts w:ascii="Calibri" w:hAnsi="Calibri"/>
          <w:color w:val="404040"/>
          <w:sz w:val="21"/>
        </w:rPr>
        <w:t>Prescriptive analysis identifies 1,742 high-risk orders with a total expected loss exposure of $139,939. Targeted intervention on the top 500 highest-risk orders alone can prevent an estimated $125,406 — representing 90% of total exposure addressed through a focused, resource-efficient strategy.</w:t>
      </w:r>
    </w:p>
    <w:p w14:paraId="4A2675C0">
      <w:r>
        <w:br w:type="page"/>
      </w:r>
    </w:p>
    <w:p w14:paraId="40802B74">
      <w:pPr>
        <w:spacing w:before="360" w:after="120"/>
      </w:pPr>
      <w:r>
        <w:rPr>
          <w:rFonts w:ascii="Calibri" w:hAnsi="Calibri"/>
          <w:b/>
          <w:color w:val="1F4E79"/>
          <w:sz w:val="30"/>
        </w:rPr>
        <w:t>2. Introduction</w:t>
      </w:r>
    </w:p>
    <w:p w14:paraId="100FDFC7">
      <w:pPr>
        <w:pBdr>
          <w:bottom w:val="single" w:color="1F4E79" w:sz="8" w:space="1"/>
        </w:pBdr>
        <w:spacing w:after="40"/>
      </w:pPr>
    </w:p>
    <w:p w14:paraId="4C089894">
      <w:pPr>
        <w:spacing w:before="40" w:after="100"/>
      </w:pPr>
      <w:r>
        <w:rPr>
          <w:rFonts w:ascii="Calibri" w:hAnsi="Calibri"/>
          <w:color w:val="404040"/>
          <w:sz w:val="21"/>
        </w:rPr>
        <w:t>Retail businesses operate on thin margins where pricing decisions, discount strategies, and product mix have a direct and immediate impact on profitability. The ability to identify, in advance, which orders are likely to result in a financial loss enables management to intervene before revenue is destroyed. Traditional approaches rely on post-hoc analysis — reviewing losses after they have occurred. A predictive analytics approach enables a fundamentally different operating model: prospective identification and prevention of loss-making transactions.</w:t>
      </w:r>
    </w:p>
    <w:p w14:paraId="00D243F4">
      <w:pPr>
        <w:spacing w:before="40" w:after="100"/>
      </w:pPr>
      <w:r>
        <w:rPr>
          <w:rFonts w:ascii="Calibri" w:hAnsi="Calibri"/>
          <w:color w:val="404040"/>
          <w:sz w:val="21"/>
        </w:rPr>
        <w:t>This project applies the four-tier analytics framework — Descriptive, Diagnostic, Predictive, and Prescriptive — to the Superstore retail dataset. Each tier builds on the previous: descriptive analytics establishes what happened; diagnostic analytics explains why; predictive analytics models what will happen for future orders; and prescriptive analytics recommends exactly what actions to take to prevent losses.</w:t>
      </w:r>
    </w:p>
    <w:p w14:paraId="1D85A77B">
      <w:pPr>
        <w:spacing w:before="40" w:after="100"/>
      </w:pPr>
      <w:r>
        <w:rPr>
          <w:rFonts w:ascii="Calibri" w:hAnsi="Calibri"/>
          <w:color w:val="404040"/>
          <w:sz w:val="21"/>
        </w:rPr>
        <w:t>The project is implemented in Python using pandas, scikit-learn, matplotlib, and Streamlit, with an interactive dashboard for live order-level loss prediction and an intervention priority ranking for business users.</w:t>
      </w:r>
    </w:p>
    <w:p w14:paraId="2B76EA3C">
      <w:pPr>
        <w:spacing w:before="360" w:after="120"/>
      </w:pPr>
      <w:r>
        <w:rPr>
          <w:rFonts w:ascii="Calibri" w:hAnsi="Calibri"/>
          <w:b/>
          <w:color w:val="1F4E79"/>
          <w:sz w:val="30"/>
        </w:rPr>
        <w:t>3. Business Problem</w:t>
      </w:r>
    </w:p>
    <w:p w14:paraId="0C04C8E5">
      <w:pPr>
        <w:pBdr>
          <w:bottom w:val="single" w:color="1F4E79" w:sz="8" w:space="1"/>
        </w:pBdr>
        <w:spacing w:after="40"/>
      </w:pPr>
    </w:p>
    <w:p w14:paraId="2E9BA0CB">
      <w:pPr>
        <w:spacing w:before="40" w:after="100"/>
      </w:pPr>
      <w:r>
        <w:rPr>
          <w:rFonts w:ascii="Calibri" w:hAnsi="Calibri"/>
          <w:color w:val="404040"/>
          <w:sz w:val="21"/>
        </w:rPr>
        <w:t>The Superstore dataset reveals a structurally significant profitability problem: nearly one in five transactions (18.7%) destroys value rather than creating it. Despite generating $2,297,201 in gross revenue over four years, net profit is only $286,397 — a margin of 12.5%. Furniture, the company's second-largest revenue category at $742,000, yields only 2.5% net margin, indicating systemic discounting pressure.</w:t>
      </w:r>
    </w:p>
    <w:p w14:paraId="2374524B">
      <w:pPr>
        <w:spacing w:before="40" w:after="100"/>
      </w:pPr>
      <w:r>
        <w:rPr>
          <w:rFonts w:ascii="Calibri" w:hAnsi="Calibri"/>
          <w:color w:val="404040"/>
          <w:sz w:val="21"/>
        </w:rPr>
        <w:t>The business problem can be stated as: how can the organisation identify, before confirming an order, whether that transaction will result in a profit or a loss — and what action should be taken in response? Solving this problem requires understanding the structural drivers of loss (diagnostic tier), building a predictive model capable of real-time scoring (predictive tier), and translating model output into specific, actionable pricing and approval policies (prescriptive tier).</w:t>
      </w:r>
    </w:p>
    <w:p w14:paraId="4085CE77">
      <w:pPr>
        <w:spacing w:before="360" w:after="120"/>
      </w:pPr>
      <w:r>
        <w:rPr>
          <w:rFonts w:ascii="Calibri" w:hAnsi="Calibri"/>
          <w:b/>
          <w:color w:val="1F4E79"/>
          <w:sz w:val="30"/>
        </w:rPr>
        <w:t>4. Objectives</w:t>
      </w:r>
    </w:p>
    <w:p w14:paraId="684E8ACD">
      <w:pPr>
        <w:pBdr>
          <w:bottom w:val="single" w:color="1F4E79" w:sz="8" w:space="1"/>
        </w:pBdr>
        <w:spacing w:after="40"/>
      </w:pPr>
    </w:p>
    <w:p w14:paraId="282FBB48">
      <w:pPr>
        <w:pStyle w:val="23"/>
        <w:spacing w:before="20" w:after="40"/>
        <w:ind w:left="340"/>
      </w:pPr>
      <w:r>
        <w:rPr>
          <w:rFonts w:ascii="Calibri" w:hAnsi="Calibri"/>
          <w:color w:val="404040"/>
          <w:sz w:val="21"/>
        </w:rPr>
        <w:t>Conduct a comprehensive data quality audit of the Superstore dataset.</w:t>
      </w:r>
    </w:p>
    <w:p w14:paraId="4A3086B5">
      <w:pPr>
        <w:pStyle w:val="23"/>
        <w:spacing w:before="20" w:after="40"/>
        <w:ind w:left="340"/>
      </w:pPr>
      <w:r>
        <w:rPr>
          <w:rFonts w:ascii="Calibri" w:hAnsi="Calibri"/>
          <w:color w:val="404040"/>
          <w:sz w:val="21"/>
        </w:rPr>
        <w:t>Perform descriptive analytics to understand revenue, profit, and volume distributions.</w:t>
      </w:r>
    </w:p>
    <w:p w14:paraId="42ACA785">
      <w:pPr>
        <w:pStyle w:val="23"/>
        <w:spacing w:before="20" w:after="40"/>
        <w:ind w:left="340"/>
      </w:pPr>
      <w:r>
        <w:rPr>
          <w:rFonts w:ascii="Calibri" w:hAnsi="Calibri"/>
          <w:color w:val="404040"/>
          <w:sz w:val="21"/>
        </w:rPr>
        <w:t>Identify the root causes of loss-making transactions through diagnostic analysis.</w:t>
      </w:r>
    </w:p>
    <w:p w14:paraId="74A36404">
      <w:pPr>
        <w:pStyle w:val="23"/>
        <w:spacing w:before="20" w:after="40"/>
        <w:ind w:left="340"/>
      </w:pPr>
      <w:r>
        <w:rPr>
          <w:rFonts w:ascii="Calibri" w:hAnsi="Calibri"/>
          <w:color w:val="404040"/>
          <w:sz w:val="21"/>
        </w:rPr>
        <w:t>Engineer a feature set that captures all legitimate predictors of loss without data leakage.</w:t>
      </w:r>
    </w:p>
    <w:p w14:paraId="3B40F154">
      <w:pPr>
        <w:pStyle w:val="23"/>
        <w:spacing w:before="20" w:after="40"/>
        <w:ind w:left="340"/>
      </w:pPr>
      <w:r>
        <w:rPr>
          <w:rFonts w:ascii="Calibri" w:hAnsi="Calibri"/>
          <w:color w:val="404040"/>
          <w:sz w:val="21"/>
        </w:rPr>
        <w:t>Train and evaluate a binary classification model to predict order-level loss (Loss_Flag).</w:t>
      </w:r>
    </w:p>
    <w:p w14:paraId="4576F15E">
      <w:pPr>
        <w:pStyle w:val="23"/>
        <w:spacing w:before="20" w:after="40"/>
        <w:ind w:left="340"/>
      </w:pPr>
      <w:r>
        <w:rPr>
          <w:rFonts w:ascii="Calibri" w:hAnsi="Calibri"/>
          <w:color w:val="404040"/>
          <w:sz w:val="21"/>
        </w:rPr>
        <w:t>Quantify model performance using Accuracy, Precision, Recall, F1-Score, ROC-AUC, and Confusion Matrix.</w:t>
      </w:r>
    </w:p>
    <w:p w14:paraId="7F16726B">
      <w:pPr>
        <w:pStyle w:val="23"/>
        <w:spacing w:before="20" w:after="40"/>
        <w:ind w:left="340"/>
      </w:pPr>
      <w:r>
        <w:rPr>
          <w:rFonts w:ascii="Calibri" w:hAnsi="Calibri"/>
          <w:color w:val="404040"/>
          <w:sz w:val="21"/>
        </w:rPr>
        <w:t>Score all records with loss probability and assign risk tiers (Low / Medium / High).</w:t>
      </w:r>
    </w:p>
    <w:p w14:paraId="1B3079D2">
      <w:pPr>
        <w:pStyle w:val="23"/>
        <w:spacing w:before="20" w:after="40"/>
        <w:ind w:left="340"/>
      </w:pPr>
      <w:r>
        <w:rPr>
          <w:rFonts w:ascii="Calibri" w:hAnsi="Calibri"/>
          <w:color w:val="404040"/>
          <w:sz w:val="21"/>
        </w:rPr>
        <w:t>Develop a prescriptive intervention strategy with discount guardrails and a priority-ranked action list.</w:t>
      </w:r>
    </w:p>
    <w:p w14:paraId="2DBE2603">
      <w:pPr>
        <w:pStyle w:val="23"/>
        <w:spacing w:before="20" w:after="40"/>
        <w:ind w:left="340"/>
      </w:pPr>
      <w:r>
        <w:rPr>
          <w:rFonts w:ascii="Calibri" w:hAnsi="Calibri"/>
          <w:color w:val="404040"/>
          <w:sz w:val="21"/>
        </w:rPr>
        <w:t>Deliver an interactive Streamlit dashboard for live loss prediction and business user access.</w:t>
      </w:r>
    </w:p>
    <w:p w14:paraId="72C507D2">
      <w:pPr>
        <w:pStyle w:val="23"/>
        <w:spacing w:before="20" w:after="40"/>
        <w:ind w:left="340"/>
      </w:pPr>
      <w:r>
        <w:rPr>
          <w:rFonts w:ascii="Calibri" w:hAnsi="Calibri"/>
          <w:color w:val="404040"/>
          <w:sz w:val="21"/>
        </w:rPr>
        <w:t>Produce a complete project report documenting methodology, findings, and recommendations.</w:t>
      </w:r>
    </w:p>
    <w:p w14:paraId="0BC9EF1D">
      <w:r>
        <w:br w:type="page"/>
      </w:r>
    </w:p>
    <w:p w14:paraId="5CE6EDB2">
      <w:pPr>
        <w:spacing w:before="360" w:after="120"/>
      </w:pPr>
      <w:r>
        <w:rPr>
          <w:rFonts w:ascii="Calibri" w:hAnsi="Calibri"/>
          <w:b/>
          <w:color w:val="1F4E79"/>
          <w:sz w:val="30"/>
        </w:rPr>
        <w:t>5. Dataset Description</w:t>
      </w:r>
    </w:p>
    <w:p w14:paraId="2239AE6A">
      <w:pPr>
        <w:pBdr>
          <w:bottom w:val="single" w:color="1F4E79" w:sz="8" w:space="1"/>
        </w:pBdr>
        <w:spacing w:after="40"/>
      </w:pPr>
    </w:p>
    <w:p w14:paraId="19E4EFCD">
      <w:pPr>
        <w:spacing w:before="40" w:after="100"/>
      </w:pPr>
      <w:r>
        <w:rPr>
          <w:rFonts w:ascii="Calibri" w:hAnsi="Calibri"/>
          <w:color w:val="404040"/>
          <w:sz w:val="21"/>
        </w:rPr>
        <w:t>The dataset is the well-known Superstore sales dataset, representing retail order transactions from a fictional US office supplies and technology retailer. It contains 9,994 rows, each representing one order line item — a single product within a single customer order. The full date range spans January 2011 – December 2014.</w:t>
      </w:r>
    </w:p>
    <w:p w14:paraId="7ED05666">
      <w:pPr>
        <w:spacing w:before="40" w:after="100"/>
      </w:pPr>
      <w:r>
        <w:rPr>
          <w:rFonts w:ascii="Calibri" w:hAnsi="Calibri"/>
          <w:color w:val="404040"/>
          <w:sz w:val="21"/>
        </w:rPr>
        <w:t>The original file (Superstore.csv) uses Latin-1 (CP1252) character encoding and DD-MM-YYYY date formatting. It contains 21 original columns. An additional engineered column (Ship_Lag_Days) was derived during data preparation, bringing the working column count to 22.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5006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4E79"/>
          </w:tcPr>
          <w:p w14:paraId="198F7979">
            <w:pPr>
              <w:spacing w:after="0" w:line="240" w:lineRule="auto"/>
              <w:jc w:val="center"/>
            </w:pPr>
            <w:r>
              <w:rPr>
                <w:rFonts w:ascii="Calibri" w:hAnsi="Calibri"/>
                <w:b/>
                <w:color w:val="FFFFFF"/>
                <w:sz w:val="19"/>
              </w:rPr>
              <w:t>Attribute</w:t>
            </w:r>
          </w:p>
        </w:tc>
        <w:tc>
          <w:tcPr>
            <w:tcW w:w="5040" w:type="dxa"/>
            <w:shd w:val="clear" w:color="auto" w:fill="1F4E79"/>
          </w:tcPr>
          <w:p w14:paraId="3033D885">
            <w:pPr>
              <w:spacing w:after="0" w:line="240" w:lineRule="auto"/>
              <w:jc w:val="center"/>
            </w:pPr>
            <w:r>
              <w:rPr>
                <w:rFonts w:ascii="Calibri" w:hAnsi="Calibri"/>
                <w:b/>
                <w:color w:val="FFFFFF"/>
                <w:sz w:val="19"/>
              </w:rPr>
              <w:t>Value</w:t>
            </w:r>
          </w:p>
        </w:tc>
      </w:tr>
      <w:tr w14:paraId="1C8D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1A793479">
            <w:pPr>
              <w:spacing w:after="0" w:line="240" w:lineRule="auto"/>
            </w:pPr>
            <w:r>
              <w:rPr>
                <w:rFonts w:ascii="Calibri" w:hAnsi="Calibri"/>
                <w:color w:val="404040"/>
                <w:sz w:val="19"/>
              </w:rPr>
              <w:t>Source File</w:t>
            </w:r>
          </w:p>
        </w:tc>
        <w:tc>
          <w:tcPr>
            <w:tcW w:w="5040" w:type="dxa"/>
            <w:shd w:val="clear" w:color="auto" w:fill="EBF3FB"/>
          </w:tcPr>
          <w:p w14:paraId="36DECDE4">
            <w:pPr>
              <w:spacing w:after="0" w:line="240" w:lineRule="auto"/>
              <w:jc w:val="center"/>
            </w:pPr>
            <w:r>
              <w:rPr>
                <w:rFonts w:ascii="Calibri" w:hAnsi="Calibri"/>
                <w:color w:val="404040"/>
                <w:sz w:val="19"/>
              </w:rPr>
              <w:t>Superstore.csv</w:t>
            </w:r>
          </w:p>
        </w:tc>
      </w:tr>
      <w:tr w14:paraId="67AB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7783042D">
            <w:pPr>
              <w:spacing w:after="0" w:line="240" w:lineRule="auto"/>
            </w:pPr>
            <w:r>
              <w:rPr>
                <w:rFonts w:ascii="Calibri" w:hAnsi="Calibri"/>
                <w:color w:val="404040"/>
                <w:sz w:val="19"/>
              </w:rPr>
              <w:t>Encoding</w:t>
            </w:r>
          </w:p>
        </w:tc>
        <w:tc>
          <w:tcPr>
            <w:tcW w:w="5040" w:type="dxa"/>
            <w:shd w:val="clear" w:color="auto" w:fill="FFFFFF"/>
          </w:tcPr>
          <w:p w14:paraId="78441A1F">
            <w:pPr>
              <w:spacing w:after="0" w:line="240" w:lineRule="auto"/>
              <w:jc w:val="center"/>
            </w:pPr>
            <w:r>
              <w:rPr>
                <w:rFonts w:ascii="Calibri" w:hAnsi="Calibri"/>
                <w:color w:val="404040"/>
                <w:sz w:val="19"/>
              </w:rPr>
              <w:t>Latin-1 (CP1252)</w:t>
            </w:r>
          </w:p>
        </w:tc>
      </w:tr>
      <w:tr w14:paraId="1138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273D5E2C">
            <w:pPr>
              <w:spacing w:after="0" w:line="240" w:lineRule="auto"/>
            </w:pPr>
            <w:r>
              <w:rPr>
                <w:rFonts w:ascii="Calibri" w:hAnsi="Calibri"/>
                <w:color w:val="404040"/>
                <w:sz w:val="19"/>
              </w:rPr>
              <w:t>Total Rows</w:t>
            </w:r>
          </w:p>
        </w:tc>
        <w:tc>
          <w:tcPr>
            <w:tcW w:w="5040" w:type="dxa"/>
            <w:shd w:val="clear" w:color="auto" w:fill="EBF3FB"/>
          </w:tcPr>
          <w:p w14:paraId="78528803">
            <w:pPr>
              <w:spacing w:after="0" w:line="240" w:lineRule="auto"/>
              <w:jc w:val="center"/>
            </w:pPr>
            <w:r>
              <w:rPr>
                <w:rFonts w:ascii="Calibri" w:hAnsi="Calibri"/>
                <w:color w:val="404040"/>
                <w:sz w:val="19"/>
              </w:rPr>
              <w:t>9,994</w:t>
            </w:r>
          </w:p>
        </w:tc>
      </w:tr>
      <w:tr w14:paraId="3A6D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4A2841B0">
            <w:pPr>
              <w:spacing w:after="0" w:line="240" w:lineRule="auto"/>
            </w:pPr>
            <w:r>
              <w:rPr>
                <w:rFonts w:ascii="Calibri" w:hAnsi="Calibri"/>
                <w:color w:val="404040"/>
                <w:sz w:val="19"/>
              </w:rPr>
              <w:t>Original Columns</w:t>
            </w:r>
          </w:p>
        </w:tc>
        <w:tc>
          <w:tcPr>
            <w:tcW w:w="5040" w:type="dxa"/>
            <w:shd w:val="clear" w:color="auto" w:fill="FFFFFF"/>
          </w:tcPr>
          <w:p w14:paraId="056CCFD0">
            <w:pPr>
              <w:spacing w:after="0" w:line="240" w:lineRule="auto"/>
              <w:jc w:val="center"/>
            </w:pPr>
            <w:r>
              <w:rPr>
                <w:rFonts w:ascii="Calibri" w:hAnsi="Calibri"/>
                <w:color w:val="404040"/>
                <w:sz w:val="19"/>
              </w:rPr>
              <w:t>21</w:t>
            </w:r>
          </w:p>
        </w:tc>
      </w:tr>
      <w:tr w14:paraId="548B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04BEA24B">
            <w:pPr>
              <w:spacing w:after="0" w:line="240" w:lineRule="auto"/>
            </w:pPr>
            <w:r>
              <w:rPr>
                <w:rFonts w:ascii="Calibri" w:hAnsi="Calibri"/>
                <w:color w:val="404040"/>
                <w:sz w:val="19"/>
              </w:rPr>
              <w:t>Date Format</w:t>
            </w:r>
          </w:p>
        </w:tc>
        <w:tc>
          <w:tcPr>
            <w:tcW w:w="5040" w:type="dxa"/>
            <w:shd w:val="clear" w:color="auto" w:fill="EBF3FB"/>
          </w:tcPr>
          <w:p w14:paraId="2064C2A2">
            <w:pPr>
              <w:spacing w:after="0" w:line="240" w:lineRule="auto"/>
              <w:jc w:val="center"/>
            </w:pPr>
            <w:r>
              <w:rPr>
                <w:rFonts w:ascii="Calibri" w:hAnsi="Calibri"/>
                <w:color w:val="404040"/>
                <w:sz w:val="19"/>
              </w:rPr>
              <w:t>DD-MM-YYYY (day-first)</w:t>
            </w:r>
          </w:p>
        </w:tc>
      </w:tr>
      <w:tr w14:paraId="5FF3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05F4A0F1">
            <w:pPr>
              <w:spacing w:after="0" w:line="240" w:lineRule="auto"/>
            </w:pPr>
            <w:r>
              <w:rPr>
                <w:rFonts w:ascii="Calibri" w:hAnsi="Calibri"/>
                <w:color w:val="404040"/>
                <w:sz w:val="19"/>
              </w:rPr>
              <w:t>Date Range</w:t>
            </w:r>
          </w:p>
        </w:tc>
        <w:tc>
          <w:tcPr>
            <w:tcW w:w="5040" w:type="dxa"/>
            <w:shd w:val="clear" w:color="auto" w:fill="FFFFFF"/>
          </w:tcPr>
          <w:p w14:paraId="14CEE351">
            <w:pPr>
              <w:spacing w:after="0" w:line="240" w:lineRule="auto"/>
              <w:jc w:val="center"/>
            </w:pPr>
            <w:r>
              <w:rPr>
                <w:rFonts w:ascii="Calibri" w:hAnsi="Calibri"/>
                <w:color w:val="404040"/>
                <w:sz w:val="19"/>
              </w:rPr>
              <w:t>January 2011 – December 2014</w:t>
            </w:r>
          </w:p>
        </w:tc>
      </w:tr>
      <w:tr w14:paraId="6FA6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17254462">
            <w:pPr>
              <w:spacing w:after="0" w:line="240" w:lineRule="auto"/>
            </w:pPr>
            <w:r>
              <w:rPr>
                <w:rFonts w:ascii="Calibri" w:hAnsi="Calibri"/>
                <w:color w:val="404040"/>
                <w:sz w:val="19"/>
              </w:rPr>
              <w:t>Unique Orders</w:t>
            </w:r>
          </w:p>
        </w:tc>
        <w:tc>
          <w:tcPr>
            <w:tcW w:w="5040" w:type="dxa"/>
            <w:shd w:val="clear" w:color="auto" w:fill="EBF3FB"/>
          </w:tcPr>
          <w:p w14:paraId="0BBD13A2">
            <w:pPr>
              <w:spacing w:after="0" w:line="240" w:lineRule="auto"/>
              <w:jc w:val="center"/>
            </w:pPr>
            <w:r>
              <w:rPr>
                <w:rFonts w:ascii="Calibri" w:hAnsi="Calibri"/>
                <w:color w:val="404040"/>
                <w:sz w:val="19"/>
              </w:rPr>
              <w:t>5,009</w:t>
            </w:r>
          </w:p>
        </w:tc>
      </w:tr>
      <w:tr w14:paraId="6599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729A689B">
            <w:pPr>
              <w:spacing w:after="0" w:line="240" w:lineRule="auto"/>
            </w:pPr>
            <w:r>
              <w:rPr>
                <w:rFonts w:ascii="Calibri" w:hAnsi="Calibri"/>
                <w:color w:val="404040"/>
                <w:sz w:val="19"/>
              </w:rPr>
              <w:t>Total Sales ($)</w:t>
            </w:r>
          </w:p>
        </w:tc>
        <w:tc>
          <w:tcPr>
            <w:tcW w:w="5040" w:type="dxa"/>
            <w:shd w:val="clear" w:color="auto" w:fill="FFFFFF"/>
          </w:tcPr>
          <w:p w14:paraId="28ABE5BD">
            <w:pPr>
              <w:spacing w:after="0" w:line="240" w:lineRule="auto"/>
              <w:jc w:val="center"/>
            </w:pPr>
            <w:r>
              <w:rPr>
                <w:rFonts w:ascii="Calibri" w:hAnsi="Calibri"/>
                <w:color w:val="404040"/>
                <w:sz w:val="19"/>
              </w:rPr>
              <w:t>$2,297,200.86</w:t>
            </w:r>
          </w:p>
        </w:tc>
      </w:tr>
      <w:tr w14:paraId="75AE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47DE4696">
            <w:pPr>
              <w:spacing w:after="0" w:line="240" w:lineRule="auto"/>
            </w:pPr>
            <w:r>
              <w:rPr>
                <w:rFonts w:ascii="Calibri" w:hAnsi="Calibri"/>
                <w:color w:val="404040"/>
                <w:sz w:val="19"/>
              </w:rPr>
              <w:t>Total Profit ($)</w:t>
            </w:r>
          </w:p>
        </w:tc>
        <w:tc>
          <w:tcPr>
            <w:tcW w:w="5040" w:type="dxa"/>
            <w:shd w:val="clear" w:color="auto" w:fill="EBF3FB"/>
          </w:tcPr>
          <w:p w14:paraId="3546BC30">
            <w:pPr>
              <w:spacing w:after="0" w:line="240" w:lineRule="auto"/>
              <w:jc w:val="center"/>
            </w:pPr>
            <w:r>
              <w:rPr>
                <w:rFonts w:ascii="Calibri" w:hAnsi="Calibri"/>
                <w:color w:val="404040"/>
                <w:sz w:val="19"/>
              </w:rPr>
              <w:t>$286,397.02</w:t>
            </w:r>
          </w:p>
        </w:tc>
      </w:tr>
      <w:tr w14:paraId="64E7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3BB8F794">
            <w:pPr>
              <w:spacing w:after="0" w:line="240" w:lineRule="auto"/>
            </w:pPr>
            <w:r>
              <w:rPr>
                <w:rFonts w:ascii="Calibri" w:hAnsi="Calibri"/>
                <w:color w:val="404040"/>
                <w:sz w:val="19"/>
              </w:rPr>
              <w:t>Profit Margin</w:t>
            </w:r>
          </w:p>
        </w:tc>
        <w:tc>
          <w:tcPr>
            <w:tcW w:w="5040" w:type="dxa"/>
            <w:shd w:val="clear" w:color="auto" w:fill="FFFFFF"/>
          </w:tcPr>
          <w:p w14:paraId="41FEBEB5">
            <w:pPr>
              <w:spacing w:after="0" w:line="240" w:lineRule="auto"/>
              <w:jc w:val="center"/>
            </w:pPr>
            <w:r>
              <w:rPr>
                <w:rFonts w:ascii="Calibri" w:hAnsi="Calibri"/>
                <w:color w:val="404040"/>
                <w:sz w:val="19"/>
              </w:rPr>
              <w:t>12.47%</w:t>
            </w:r>
          </w:p>
        </w:tc>
      </w:tr>
      <w:tr w14:paraId="51D1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0EDF4543">
            <w:pPr>
              <w:spacing w:after="0" w:line="240" w:lineRule="auto"/>
            </w:pPr>
            <w:r>
              <w:rPr>
                <w:rFonts w:ascii="Calibri" w:hAnsi="Calibri"/>
                <w:color w:val="404040"/>
                <w:sz w:val="19"/>
              </w:rPr>
              <w:t>Loss Rate</w:t>
            </w:r>
          </w:p>
        </w:tc>
        <w:tc>
          <w:tcPr>
            <w:tcW w:w="5040" w:type="dxa"/>
            <w:shd w:val="clear" w:color="auto" w:fill="EBF3FB"/>
          </w:tcPr>
          <w:p w14:paraId="2670D616">
            <w:pPr>
              <w:spacing w:after="0" w:line="240" w:lineRule="auto"/>
              <w:jc w:val="center"/>
            </w:pPr>
            <w:r>
              <w:rPr>
                <w:rFonts w:ascii="Calibri" w:hAnsi="Calibri"/>
                <w:color w:val="404040"/>
                <w:sz w:val="19"/>
              </w:rPr>
              <w:t>18.72%</w:t>
            </w:r>
          </w:p>
        </w:tc>
      </w:tr>
      <w:tr w14:paraId="4334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78B45B5D">
            <w:pPr>
              <w:spacing w:after="0" w:line="240" w:lineRule="auto"/>
            </w:pPr>
            <w:r>
              <w:rPr>
                <w:rFonts w:ascii="Calibri" w:hAnsi="Calibri"/>
                <w:color w:val="404040"/>
                <w:sz w:val="19"/>
              </w:rPr>
              <w:t>Loss Transactions</w:t>
            </w:r>
          </w:p>
        </w:tc>
        <w:tc>
          <w:tcPr>
            <w:tcW w:w="5040" w:type="dxa"/>
            <w:shd w:val="clear" w:color="auto" w:fill="FFFFFF"/>
          </w:tcPr>
          <w:p w14:paraId="3A21F15A">
            <w:pPr>
              <w:spacing w:after="0" w:line="240" w:lineRule="auto"/>
              <w:jc w:val="center"/>
            </w:pPr>
            <w:r>
              <w:rPr>
                <w:rFonts w:ascii="Calibri" w:hAnsi="Calibri"/>
                <w:color w:val="404040"/>
                <w:sz w:val="19"/>
              </w:rPr>
              <w:t>1,871</w:t>
            </w:r>
          </w:p>
        </w:tc>
      </w:tr>
      <w:tr w14:paraId="26C0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5D7D2249">
            <w:pPr>
              <w:spacing w:after="0" w:line="240" w:lineRule="auto"/>
            </w:pPr>
            <w:r>
              <w:rPr>
                <w:rFonts w:ascii="Calibri" w:hAnsi="Calibri"/>
                <w:color w:val="404040"/>
                <w:sz w:val="19"/>
              </w:rPr>
              <w:t>Countries</w:t>
            </w:r>
          </w:p>
        </w:tc>
        <w:tc>
          <w:tcPr>
            <w:tcW w:w="5040" w:type="dxa"/>
            <w:shd w:val="clear" w:color="auto" w:fill="EBF3FB"/>
          </w:tcPr>
          <w:p w14:paraId="24994388">
            <w:pPr>
              <w:spacing w:after="0" w:line="240" w:lineRule="auto"/>
              <w:jc w:val="center"/>
            </w:pPr>
            <w:r>
              <w:rPr>
                <w:rFonts w:ascii="Calibri" w:hAnsi="Calibri"/>
                <w:color w:val="404040"/>
                <w:sz w:val="19"/>
              </w:rPr>
              <w:t>1 (United States only)</w:t>
            </w:r>
          </w:p>
        </w:tc>
      </w:tr>
      <w:tr w14:paraId="3DD9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tcPr>
          <w:p w14:paraId="40FA17A0">
            <w:pPr>
              <w:spacing w:after="0" w:line="240" w:lineRule="auto"/>
            </w:pPr>
            <w:r>
              <w:rPr>
                <w:rFonts w:ascii="Calibri" w:hAnsi="Calibri"/>
                <w:color w:val="404040"/>
                <w:sz w:val="19"/>
              </w:rPr>
              <w:t>Product Categories</w:t>
            </w:r>
          </w:p>
        </w:tc>
        <w:tc>
          <w:tcPr>
            <w:tcW w:w="5040" w:type="dxa"/>
            <w:shd w:val="clear" w:color="auto" w:fill="FFFFFF"/>
          </w:tcPr>
          <w:p w14:paraId="556925BF">
            <w:pPr>
              <w:spacing w:after="0" w:line="240" w:lineRule="auto"/>
              <w:jc w:val="center"/>
            </w:pPr>
            <w:r>
              <w:rPr>
                <w:rFonts w:ascii="Calibri" w:hAnsi="Calibri"/>
                <w:color w:val="404040"/>
                <w:sz w:val="19"/>
              </w:rPr>
              <w:t>3</w:t>
            </w:r>
          </w:p>
        </w:tc>
      </w:tr>
      <w:tr w14:paraId="0031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3FB"/>
          </w:tcPr>
          <w:p w14:paraId="6E8AE741">
            <w:pPr>
              <w:spacing w:after="0" w:line="240" w:lineRule="auto"/>
            </w:pPr>
            <w:r>
              <w:rPr>
                <w:rFonts w:ascii="Calibri" w:hAnsi="Calibri"/>
                <w:color w:val="404040"/>
                <w:sz w:val="19"/>
              </w:rPr>
              <w:t>Sub-Categories</w:t>
            </w:r>
          </w:p>
        </w:tc>
        <w:tc>
          <w:tcPr>
            <w:tcW w:w="5040" w:type="dxa"/>
            <w:shd w:val="clear" w:color="auto" w:fill="EBF3FB"/>
          </w:tcPr>
          <w:p w14:paraId="61D6957B">
            <w:pPr>
              <w:spacing w:after="0" w:line="240" w:lineRule="auto"/>
              <w:jc w:val="center"/>
            </w:pPr>
            <w:r>
              <w:rPr>
                <w:rFonts w:ascii="Calibri" w:hAnsi="Calibri"/>
                <w:color w:val="404040"/>
                <w:sz w:val="19"/>
              </w:rPr>
              <w:t>17</w:t>
            </w:r>
          </w:p>
        </w:tc>
      </w:tr>
    </w:tbl>
    <w:p w14:paraId="07FC8E0E">
      <w:pPr>
        <w:spacing w:after="120"/>
      </w:pPr>
    </w:p>
    <w:p w14:paraId="7EE26542">
      <w:pPr>
        <w:spacing w:before="360" w:after="120"/>
      </w:pPr>
      <w:r>
        <w:rPr>
          <w:rFonts w:ascii="Calibri" w:hAnsi="Calibri"/>
          <w:b/>
          <w:color w:val="1F4E79"/>
          <w:sz w:val="30"/>
        </w:rPr>
        <w:t>6. Data Dictionary</w:t>
      </w:r>
    </w:p>
    <w:p w14:paraId="4E5389B4">
      <w:pPr>
        <w:pBdr>
          <w:bottom w:val="single" w:color="1F4E79" w:sz="8" w:space="1"/>
        </w:pBdr>
        <w:spacing w:after="40"/>
      </w:pPr>
    </w:p>
    <w:p w14:paraId="75D6AF4E">
      <w:pPr>
        <w:spacing w:before="40" w:after="100"/>
      </w:pPr>
      <w:r>
        <w:rPr>
          <w:rFonts w:ascii="Calibri" w:hAnsi="Calibri"/>
          <w:color w:val="404040"/>
          <w:sz w:val="21"/>
        </w:rPr>
        <w:t>The following table defines every column used in this project.</w:t>
      </w:r>
    </w:p>
    <w:p w14:paraId="48103946">
      <w:pPr>
        <w:spacing w:after="8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224"/>
        <w:gridCol w:w="3888"/>
        <w:gridCol w:w="2376"/>
      </w:tblGrid>
      <w:tr w14:paraId="465A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317208AC">
            <w:pPr>
              <w:spacing w:after="0" w:line="240" w:lineRule="auto"/>
              <w:jc w:val="center"/>
            </w:pPr>
            <w:r>
              <w:rPr>
                <w:rFonts w:ascii="Calibri" w:hAnsi="Calibri"/>
                <w:b/>
                <w:color w:val="FFFFFF"/>
                <w:sz w:val="19"/>
              </w:rPr>
              <w:t>Column</w:t>
            </w:r>
          </w:p>
        </w:tc>
        <w:tc>
          <w:tcPr>
            <w:tcW w:w="1224" w:type="dxa"/>
            <w:shd w:val="clear" w:color="auto" w:fill="1F4E79"/>
          </w:tcPr>
          <w:p w14:paraId="7EC38AF1">
            <w:pPr>
              <w:spacing w:after="0" w:line="240" w:lineRule="auto"/>
              <w:jc w:val="center"/>
            </w:pPr>
            <w:r>
              <w:rPr>
                <w:rFonts w:ascii="Calibri" w:hAnsi="Calibri"/>
                <w:b/>
                <w:color w:val="FFFFFF"/>
                <w:sz w:val="19"/>
              </w:rPr>
              <w:t>Type</w:t>
            </w:r>
          </w:p>
        </w:tc>
        <w:tc>
          <w:tcPr>
            <w:tcW w:w="3888" w:type="dxa"/>
            <w:shd w:val="clear" w:color="auto" w:fill="1F4E79"/>
          </w:tcPr>
          <w:p w14:paraId="2EB6454D">
            <w:pPr>
              <w:spacing w:after="0" w:line="240" w:lineRule="auto"/>
              <w:jc w:val="center"/>
            </w:pPr>
            <w:r>
              <w:rPr>
                <w:rFonts w:ascii="Calibri" w:hAnsi="Calibri"/>
                <w:b/>
                <w:color w:val="FFFFFF"/>
                <w:sz w:val="19"/>
              </w:rPr>
              <w:t>Description</w:t>
            </w:r>
          </w:p>
        </w:tc>
        <w:tc>
          <w:tcPr>
            <w:tcW w:w="2376" w:type="dxa"/>
            <w:shd w:val="clear" w:color="auto" w:fill="1F4E79"/>
          </w:tcPr>
          <w:p w14:paraId="218D574B">
            <w:pPr>
              <w:spacing w:after="0" w:line="240" w:lineRule="auto"/>
              <w:jc w:val="center"/>
            </w:pPr>
            <w:r>
              <w:rPr>
                <w:rFonts w:ascii="Calibri" w:hAnsi="Calibri"/>
                <w:b/>
                <w:color w:val="FFFFFF"/>
                <w:sz w:val="19"/>
              </w:rPr>
              <w:t>Notes</w:t>
            </w:r>
          </w:p>
        </w:tc>
      </w:tr>
      <w:tr w14:paraId="63AF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1BF3DB44">
            <w:pPr>
              <w:spacing w:after="0" w:line="240" w:lineRule="auto"/>
            </w:pPr>
            <w:r>
              <w:rPr>
                <w:rFonts w:ascii="Calibri" w:hAnsi="Calibri"/>
                <w:color w:val="404040"/>
                <w:sz w:val="19"/>
              </w:rPr>
              <w:t>Row ID</w:t>
            </w:r>
          </w:p>
        </w:tc>
        <w:tc>
          <w:tcPr>
            <w:tcW w:w="1224" w:type="dxa"/>
            <w:shd w:val="clear" w:color="auto" w:fill="EBF3FB"/>
          </w:tcPr>
          <w:p w14:paraId="752F93C5">
            <w:pPr>
              <w:spacing w:after="0" w:line="240" w:lineRule="auto"/>
              <w:jc w:val="center"/>
            </w:pPr>
            <w:r>
              <w:rPr>
                <w:rFonts w:ascii="Calibri" w:hAnsi="Calibri"/>
                <w:color w:val="404040"/>
                <w:sz w:val="19"/>
              </w:rPr>
              <w:t>Integer</w:t>
            </w:r>
          </w:p>
        </w:tc>
        <w:tc>
          <w:tcPr>
            <w:tcW w:w="3888" w:type="dxa"/>
            <w:shd w:val="clear" w:color="auto" w:fill="EBF3FB"/>
          </w:tcPr>
          <w:p w14:paraId="3D44E520">
            <w:pPr>
              <w:spacing w:after="0" w:line="240" w:lineRule="auto"/>
              <w:jc w:val="center"/>
            </w:pPr>
            <w:r>
              <w:rPr>
                <w:rFonts w:ascii="Calibri" w:hAnsi="Calibri"/>
                <w:color w:val="404040"/>
                <w:sz w:val="19"/>
              </w:rPr>
              <w:t>Sequential row identifier</w:t>
            </w:r>
          </w:p>
        </w:tc>
        <w:tc>
          <w:tcPr>
            <w:tcW w:w="2376" w:type="dxa"/>
            <w:shd w:val="clear" w:color="auto" w:fill="EBF3FB"/>
          </w:tcPr>
          <w:p w14:paraId="1716E082">
            <w:pPr>
              <w:spacing w:after="0" w:line="240" w:lineRule="auto"/>
              <w:jc w:val="center"/>
            </w:pPr>
            <w:r>
              <w:rPr>
                <w:rFonts w:ascii="Calibri" w:hAnsi="Calibri"/>
                <w:color w:val="404040"/>
                <w:sz w:val="19"/>
              </w:rPr>
              <w:t>1 to 9,994</w:t>
            </w:r>
          </w:p>
        </w:tc>
      </w:tr>
      <w:tr w14:paraId="27FE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61BD38A8">
            <w:pPr>
              <w:spacing w:after="0" w:line="240" w:lineRule="auto"/>
            </w:pPr>
            <w:r>
              <w:rPr>
                <w:rFonts w:ascii="Calibri" w:hAnsi="Calibri"/>
                <w:color w:val="404040"/>
                <w:sz w:val="19"/>
              </w:rPr>
              <w:t>Order ID</w:t>
            </w:r>
          </w:p>
        </w:tc>
        <w:tc>
          <w:tcPr>
            <w:tcW w:w="1224" w:type="dxa"/>
            <w:shd w:val="clear" w:color="auto" w:fill="FFFFFF"/>
          </w:tcPr>
          <w:p w14:paraId="33335F19">
            <w:pPr>
              <w:spacing w:after="0" w:line="240" w:lineRule="auto"/>
              <w:jc w:val="center"/>
            </w:pPr>
            <w:r>
              <w:rPr>
                <w:rFonts w:ascii="Calibri" w:hAnsi="Calibri"/>
                <w:color w:val="404040"/>
                <w:sz w:val="19"/>
              </w:rPr>
              <w:t>String</w:t>
            </w:r>
          </w:p>
        </w:tc>
        <w:tc>
          <w:tcPr>
            <w:tcW w:w="3888" w:type="dxa"/>
            <w:shd w:val="clear" w:color="auto" w:fill="FFFFFF"/>
          </w:tcPr>
          <w:p w14:paraId="54D4024B">
            <w:pPr>
              <w:spacing w:after="0" w:line="240" w:lineRule="auto"/>
              <w:jc w:val="center"/>
            </w:pPr>
            <w:r>
              <w:rPr>
                <w:rFonts w:ascii="Calibri" w:hAnsi="Calibri"/>
                <w:color w:val="404040"/>
                <w:sz w:val="19"/>
              </w:rPr>
              <w:t>Unique order identifier</w:t>
            </w:r>
          </w:p>
        </w:tc>
        <w:tc>
          <w:tcPr>
            <w:tcW w:w="2376" w:type="dxa"/>
            <w:shd w:val="clear" w:color="auto" w:fill="FFFFFF"/>
          </w:tcPr>
          <w:p w14:paraId="6468EAA2">
            <w:pPr>
              <w:spacing w:after="0" w:line="240" w:lineRule="auto"/>
              <w:jc w:val="center"/>
            </w:pPr>
            <w:r>
              <w:rPr>
                <w:rFonts w:ascii="Calibri" w:hAnsi="Calibri"/>
                <w:color w:val="404040"/>
                <w:sz w:val="19"/>
              </w:rPr>
              <w:t>Pattern: XX-YYYY-NNNNNN</w:t>
            </w:r>
          </w:p>
        </w:tc>
      </w:tr>
      <w:tr w14:paraId="3F03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5FB301DD">
            <w:pPr>
              <w:spacing w:after="0" w:line="240" w:lineRule="auto"/>
            </w:pPr>
            <w:r>
              <w:rPr>
                <w:rFonts w:ascii="Calibri" w:hAnsi="Calibri"/>
                <w:color w:val="404040"/>
                <w:sz w:val="19"/>
              </w:rPr>
              <w:t>Order Date</w:t>
            </w:r>
          </w:p>
        </w:tc>
        <w:tc>
          <w:tcPr>
            <w:tcW w:w="1224" w:type="dxa"/>
            <w:shd w:val="clear" w:color="auto" w:fill="EBF3FB"/>
          </w:tcPr>
          <w:p w14:paraId="715B562C">
            <w:pPr>
              <w:spacing w:after="0" w:line="240" w:lineRule="auto"/>
              <w:jc w:val="center"/>
            </w:pPr>
            <w:r>
              <w:rPr>
                <w:rFonts w:ascii="Calibri" w:hAnsi="Calibri"/>
                <w:color w:val="404040"/>
                <w:sz w:val="19"/>
              </w:rPr>
              <w:t>Date</w:t>
            </w:r>
          </w:p>
        </w:tc>
        <w:tc>
          <w:tcPr>
            <w:tcW w:w="3888" w:type="dxa"/>
            <w:shd w:val="clear" w:color="auto" w:fill="EBF3FB"/>
          </w:tcPr>
          <w:p w14:paraId="5805BC7C">
            <w:pPr>
              <w:spacing w:after="0" w:line="240" w:lineRule="auto"/>
              <w:jc w:val="center"/>
            </w:pPr>
            <w:r>
              <w:rPr>
                <w:rFonts w:ascii="Calibri" w:hAnsi="Calibri"/>
                <w:color w:val="404040"/>
                <w:sz w:val="19"/>
              </w:rPr>
              <w:t>Date order was placed</w:t>
            </w:r>
          </w:p>
        </w:tc>
        <w:tc>
          <w:tcPr>
            <w:tcW w:w="2376" w:type="dxa"/>
            <w:shd w:val="clear" w:color="auto" w:fill="EBF3FB"/>
          </w:tcPr>
          <w:p w14:paraId="6F1CCD77">
            <w:pPr>
              <w:spacing w:after="0" w:line="240" w:lineRule="auto"/>
              <w:jc w:val="center"/>
            </w:pPr>
            <w:r>
              <w:rPr>
                <w:rFonts w:ascii="Calibri" w:hAnsi="Calibri"/>
                <w:color w:val="404040"/>
                <w:sz w:val="19"/>
              </w:rPr>
              <w:t>DD-MM-YYYY format</w:t>
            </w:r>
          </w:p>
        </w:tc>
      </w:tr>
      <w:tr w14:paraId="7F51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7BF07523">
            <w:pPr>
              <w:spacing w:after="0" w:line="240" w:lineRule="auto"/>
            </w:pPr>
            <w:r>
              <w:rPr>
                <w:rFonts w:ascii="Calibri" w:hAnsi="Calibri"/>
                <w:color w:val="404040"/>
                <w:sz w:val="19"/>
              </w:rPr>
              <w:t>Ship Date</w:t>
            </w:r>
          </w:p>
        </w:tc>
        <w:tc>
          <w:tcPr>
            <w:tcW w:w="1224" w:type="dxa"/>
            <w:shd w:val="clear" w:color="auto" w:fill="FFFFFF"/>
          </w:tcPr>
          <w:p w14:paraId="52CAAC0F">
            <w:pPr>
              <w:spacing w:after="0" w:line="240" w:lineRule="auto"/>
              <w:jc w:val="center"/>
            </w:pPr>
            <w:r>
              <w:rPr>
                <w:rFonts w:ascii="Calibri" w:hAnsi="Calibri"/>
                <w:color w:val="404040"/>
                <w:sz w:val="19"/>
              </w:rPr>
              <w:t>Date</w:t>
            </w:r>
          </w:p>
        </w:tc>
        <w:tc>
          <w:tcPr>
            <w:tcW w:w="3888" w:type="dxa"/>
            <w:shd w:val="clear" w:color="auto" w:fill="FFFFFF"/>
          </w:tcPr>
          <w:p w14:paraId="4437AE77">
            <w:pPr>
              <w:spacing w:after="0" w:line="240" w:lineRule="auto"/>
              <w:jc w:val="center"/>
            </w:pPr>
            <w:r>
              <w:rPr>
                <w:rFonts w:ascii="Calibri" w:hAnsi="Calibri"/>
                <w:color w:val="404040"/>
                <w:sz w:val="19"/>
              </w:rPr>
              <w:t>Date order was shipped</w:t>
            </w:r>
          </w:p>
        </w:tc>
        <w:tc>
          <w:tcPr>
            <w:tcW w:w="2376" w:type="dxa"/>
            <w:shd w:val="clear" w:color="auto" w:fill="FFFFFF"/>
          </w:tcPr>
          <w:p w14:paraId="272CDE1A">
            <w:pPr>
              <w:spacing w:after="0" w:line="240" w:lineRule="auto"/>
              <w:jc w:val="center"/>
            </w:pPr>
            <w:r>
              <w:rPr>
                <w:rFonts w:ascii="Calibri" w:hAnsi="Calibri"/>
                <w:color w:val="404040"/>
                <w:sz w:val="19"/>
              </w:rPr>
              <w:t>DD-MM-YYYY format</w:t>
            </w:r>
          </w:p>
        </w:tc>
      </w:tr>
      <w:tr w14:paraId="0B6A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700C3A2C">
            <w:pPr>
              <w:spacing w:after="0" w:line="240" w:lineRule="auto"/>
            </w:pPr>
            <w:r>
              <w:rPr>
                <w:rFonts w:ascii="Calibri" w:hAnsi="Calibri"/>
                <w:color w:val="404040"/>
                <w:sz w:val="19"/>
              </w:rPr>
              <w:t>Ship Mode</w:t>
            </w:r>
          </w:p>
        </w:tc>
        <w:tc>
          <w:tcPr>
            <w:tcW w:w="1224" w:type="dxa"/>
            <w:shd w:val="clear" w:color="auto" w:fill="EBF3FB"/>
          </w:tcPr>
          <w:p w14:paraId="2020A219">
            <w:pPr>
              <w:spacing w:after="0" w:line="240" w:lineRule="auto"/>
              <w:jc w:val="center"/>
            </w:pPr>
            <w:r>
              <w:rPr>
                <w:rFonts w:ascii="Calibri" w:hAnsi="Calibri"/>
                <w:color w:val="404040"/>
                <w:sz w:val="19"/>
              </w:rPr>
              <w:t>Category</w:t>
            </w:r>
          </w:p>
        </w:tc>
        <w:tc>
          <w:tcPr>
            <w:tcW w:w="3888" w:type="dxa"/>
            <w:shd w:val="clear" w:color="auto" w:fill="EBF3FB"/>
          </w:tcPr>
          <w:p w14:paraId="1EF75327">
            <w:pPr>
              <w:spacing w:after="0" w:line="240" w:lineRule="auto"/>
              <w:jc w:val="center"/>
            </w:pPr>
            <w:r>
              <w:rPr>
                <w:rFonts w:ascii="Calibri" w:hAnsi="Calibri"/>
                <w:color w:val="404040"/>
                <w:sz w:val="19"/>
              </w:rPr>
              <w:t>Shipping speed class</w:t>
            </w:r>
          </w:p>
        </w:tc>
        <w:tc>
          <w:tcPr>
            <w:tcW w:w="2376" w:type="dxa"/>
            <w:shd w:val="clear" w:color="auto" w:fill="EBF3FB"/>
          </w:tcPr>
          <w:p w14:paraId="113DD03E">
            <w:pPr>
              <w:spacing w:after="0" w:line="240" w:lineRule="auto"/>
              <w:jc w:val="center"/>
            </w:pPr>
            <w:r>
              <w:rPr>
                <w:rFonts w:ascii="Calibri" w:hAnsi="Calibri"/>
                <w:color w:val="404040"/>
                <w:sz w:val="19"/>
              </w:rPr>
              <w:t>4 values</w:t>
            </w:r>
          </w:p>
        </w:tc>
      </w:tr>
      <w:tr w14:paraId="30C2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4EA043D">
            <w:pPr>
              <w:spacing w:after="0" w:line="240" w:lineRule="auto"/>
            </w:pPr>
            <w:r>
              <w:rPr>
                <w:rFonts w:ascii="Calibri" w:hAnsi="Calibri"/>
                <w:color w:val="404040"/>
                <w:sz w:val="19"/>
              </w:rPr>
              <w:t>Customer ID</w:t>
            </w:r>
          </w:p>
        </w:tc>
        <w:tc>
          <w:tcPr>
            <w:tcW w:w="1224" w:type="dxa"/>
            <w:shd w:val="clear" w:color="auto" w:fill="FFFFFF"/>
          </w:tcPr>
          <w:p w14:paraId="70B160EA">
            <w:pPr>
              <w:spacing w:after="0" w:line="240" w:lineRule="auto"/>
              <w:jc w:val="center"/>
            </w:pPr>
            <w:r>
              <w:rPr>
                <w:rFonts w:ascii="Calibri" w:hAnsi="Calibri"/>
                <w:color w:val="404040"/>
                <w:sz w:val="19"/>
              </w:rPr>
              <w:t>String</w:t>
            </w:r>
          </w:p>
        </w:tc>
        <w:tc>
          <w:tcPr>
            <w:tcW w:w="3888" w:type="dxa"/>
            <w:shd w:val="clear" w:color="auto" w:fill="FFFFFF"/>
          </w:tcPr>
          <w:p w14:paraId="5FDFD928">
            <w:pPr>
              <w:spacing w:after="0" w:line="240" w:lineRule="auto"/>
              <w:jc w:val="center"/>
            </w:pPr>
            <w:r>
              <w:rPr>
                <w:rFonts w:ascii="Calibri" w:hAnsi="Calibri"/>
                <w:color w:val="404040"/>
                <w:sz w:val="19"/>
              </w:rPr>
              <w:t>Unique customer identifier</w:t>
            </w:r>
          </w:p>
        </w:tc>
        <w:tc>
          <w:tcPr>
            <w:tcW w:w="2376" w:type="dxa"/>
            <w:shd w:val="clear" w:color="auto" w:fill="FFFFFF"/>
          </w:tcPr>
          <w:p w14:paraId="299ABFF4">
            <w:pPr>
              <w:spacing w:after="0" w:line="240" w:lineRule="auto"/>
              <w:jc w:val="center"/>
            </w:pPr>
            <w:r>
              <w:rPr>
                <w:rFonts w:ascii="Calibri" w:hAnsi="Calibri"/>
                <w:color w:val="404040"/>
                <w:sz w:val="19"/>
              </w:rPr>
              <w:t>Excluded from ML</w:t>
            </w:r>
          </w:p>
        </w:tc>
      </w:tr>
      <w:tr w14:paraId="6B40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3B5D6459">
            <w:pPr>
              <w:spacing w:after="0" w:line="240" w:lineRule="auto"/>
            </w:pPr>
            <w:r>
              <w:rPr>
                <w:rFonts w:ascii="Calibri" w:hAnsi="Calibri"/>
                <w:color w:val="404040"/>
                <w:sz w:val="19"/>
              </w:rPr>
              <w:t>Customer Name</w:t>
            </w:r>
          </w:p>
        </w:tc>
        <w:tc>
          <w:tcPr>
            <w:tcW w:w="1224" w:type="dxa"/>
            <w:shd w:val="clear" w:color="auto" w:fill="EBF3FB"/>
          </w:tcPr>
          <w:p w14:paraId="08DF88BF">
            <w:pPr>
              <w:spacing w:after="0" w:line="240" w:lineRule="auto"/>
              <w:jc w:val="center"/>
            </w:pPr>
            <w:r>
              <w:rPr>
                <w:rFonts w:ascii="Calibri" w:hAnsi="Calibri"/>
                <w:color w:val="404040"/>
                <w:sz w:val="19"/>
              </w:rPr>
              <w:t>String</w:t>
            </w:r>
          </w:p>
        </w:tc>
        <w:tc>
          <w:tcPr>
            <w:tcW w:w="3888" w:type="dxa"/>
            <w:shd w:val="clear" w:color="auto" w:fill="EBF3FB"/>
          </w:tcPr>
          <w:p w14:paraId="028DB5C5">
            <w:pPr>
              <w:spacing w:after="0" w:line="240" w:lineRule="auto"/>
              <w:jc w:val="center"/>
            </w:pPr>
            <w:r>
              <w:rPr>
                <w:rFonts w:ascii="Calibri" w:hAnsi="Calibri"/>
                <w:color w:val="404040"/>
                <w:sz w:val="19"/>
              </w:rPr>
              <w:t>Customer full name</w:t>
            </w:r>
          </w:p>
        </w:tc>
        <w:tc>
          <w:tcPr>
            <w:tcW w:w="2376" w:type="dxa"/>
            <w:shd w:val="clear" w:color="auto" w:fill="EBF3FB"/>
          </w:tcPr>
          <w:p w14:paraId="11830AC1">
            <w:pPr>
              <w:spacing w:after="0" w:line="240" w:lineRule="auto"/>
              <w:jc w:val="center"/>
            </w:pPr>
            <w:r>
              <w:rPr>
                <w:rFonts w:ascii="Calibri" w:hAnsi="Calibri"/>
                <w:color w:val="404040"/>
                <w:sz w:val="19"/>
              </w:rPr>
              <w:t>Excluded from ML</w:t>
            </w:r>
          </w:p>
        </w:tc>
      </w:tr>
      <w:tr w14:paraId="25C5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CD05322">
            <w:pPr>
              <w:spacing w:after="0" w:line="240" w:lineRule="auto"/>
            </w:pPr>
            <w:r>
              <w:rPr>
                <w:rFonts w:ascii="Calibri" w:hAnsi="Calibri"/>
                <w:color w:val="404040"/>
                <w:sz w:val="19"/>
              </w:rPr>
              <w:t>Segment</w:t>
            </w:r>
          </w:p>
        </w:tc>
        <w:tc>
          <w:tcPr>
            <w:tcW w:w="1224" w:type="dxa"/>
            <w:shd w:val="clear" w:color="auto" w:fill="FFFFFF"/>
          </w:tcPr>
          <w:p w14:paraId="7F120B66">
            <w:pPr>
              <w:spacing w:after="0" w:line="240" w:lineRule="auto"/>
              <w:jc w:val="center"/>
            </w:pPr>
            <w:r>
              <w:rPr>
                <w:rFonts w:ascii="Calibri" w:hAnsi="Calibri"/>
                <w:color w:val="404040"/>
                <w:sz w:val="19"/>
              </w:rPr>
              <w:t>Category</w:t>
            </w:r>
          </w:p>
        </w:tc>
        <w:tc>
          <w:tcPr>
            <w:tcW w:w="3888" w:type="dxa"/>
            <w:shd w:val="clear" w:color="auto" w:fill="FFFFFF"/>
          </w:tcPr>
          <w:p w14:paraId="724C5644">
            <w:pPr>
              <w:spacing w:after="0" w:line="240" w:lineRule="auto"/>
              <w:jc w:val="center"/>
            </w:pPr>
            <w:r>
              <w:rPr>
                <w:rFonts w:ascii="Calibri" w:hAnsi="Calibri"/>
                <w:color w:val="404040"/>
                <w:sz w:val="19"/>
              </w:rPr>
              <w:t>Customer type</w:t>
            </w:r>
          </w:p>
        </w:tc>
        <w:tc>
          <w:tcPr>
            <w:tcW w:w="2376" w:type="dxa"/>
            <w:shd w:val="clear" w:color="auto" w:fill="FFFFFF"/>
          </w:tcPr>
          <w:p w14:paraId="7596659D">
            <w:pPr>
              <w:spacing w:after="0" w:line="240" w:lineRule="auto"/>
              <w:jc w:val="center"/>
            </w:pPr>
            <w:r>
              <w:rPr>
                <w:rFonts w:ascii="Calibri" w:hAnsi="Calibri"/>
                <w:color w:val="404040"/>
                <w:sz w:val="19"/>
              </w:rPr>
              <w:t>Consumer / Corporate / Home Office</w:t>
            </w:r>
          </w:p>
        </w:tc>
      </w:tr>
      <w:tr w14:paraId="1122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15D27E89">
            <w:pPr>
              <w:spacing w:after="0" w:line="240" w:lineRule="auto"/>
            </w:pPr>
            <w:r>
              <w:rPr>
                <w:rFonts w:ascii="Calibri" w:hAnsi="Calibri"/>
                <w:color w:val="404040"/>
                <w:sz w:val="19"/>
              </w:rPr>
              <w:t>Country</w:t>
            </w:r>
          </w:p>
        </w:tc>
        <w:tc>
          <w:tcPr>
            <w:tcW w:w="1224" w:type="dxa"/>
            <w:shd w:val="clear" w:color="auto" w:fill="EBF3FB"/>
          </w:tcPr>
          <w:p w14:paraId="474D16C0">
            <w:pPr>
              <w:spacing w:after="0" w:line="240" w:lineRule="auto"/>
              <w:jc w:val="center"/>
            </w:pPr>
            <w:r>
              <w:rPr>
                <w:rFonts w:ascii="Calibri" w:hAnsi="Calibri"/>
                <w:color w:val="404040"/>
                <w:sz w:val="19"/>
              </w:rPr>
              <w:t>String</w:t>
            </w:r>
          </w:p>
        </w:tc>
        <w:tc>
          <w:tcPr>
            <w:tcW w:w="3888" w:type="dxa"/>
            <w:shd w:val="clear" w:color="auto" w:fill="EBF3FB"/>
          </w:tcPr>
          <w:p w14:paraId="736E9A70">
            <w:pPr>
              <w:spacing w:after="0" w:line="240" w:lineRule="auto"/>
              <w:jc w:val="center"/>
            </w:pPr>
            <w:r>
              <w:rPr>
                <w:rFonts w:ascii="Calibri" w:hAnsi="Calibri"/>
                <w:color w:val="404040"/>
                <w:sz w:val="19"/>
              </w:rPr>
              <w:t>Order destination country</w:t>
            </w:r>
          </w:p>
        </w:tc>
        <w:tc>
          <w:tcPr>
            <w:tcW w:w="2376" w:type="dxa"/>
            <w:shd w:val="clear" w:color="auto" w:fill="EBF3FB"/>
          </w:tcPr>
          <w:p w14:paraId="7527C0F5">
            <w:pPr>
              <w:spacing w:after="0" w:line="240" w:lineRule="auto"/>
              <w:jc w:val="center"/>
            </w:pPr>
            <w:r>
              <w:rPr>
                <w:rFonts w:ascii="Calibri" w:hAnsi="Calibri"/>
                <w:color w:val="404040"/>
                <w:sz w:val="19"/>
              </w:rPr>
              <w:t>Always 'United States' — excluded</w:t>
            </w:r>
          </w:p>
        </w:tc>
      </w:tr>
      <w:tr w14:paraId="01C2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6F641F1B">
            <w:pPr>
              <w:spacing w:after="0" w:line="240" w:lineRule="auto"/>
            </w:pPr>
            <w:r>
              <w:rPr>
                <w:rFonts w:ascii="Calibri" w:hAnsi="Calibri"/>
                <w:color w:val="404040"/>
                <w:sz w:val="19"/>
              </w:rPr>
              <w:t>City</w:t>
            </w:r>
          </w:p>
        </w:tc>
        <w:tc>
          <w:tcPr>
            <w:tcW w:w="1224" w:type="dxa"/>
            <w:shd w:val="clear" w:color="auto" w:fill="FFFFFF"/>
          </w:tcPr>
          <w:p w14:paraId="6F0A4258">
            <w:pPr>
              <w:spacing w:after="0" w:line="240" w:lineRule="auto"/>
              <w:jc w:val="center"/>
            </w:pPr>
            <w:r>
              <w:rPr>
                <w:rFonts w:ascii="Calibri" w:hAnsi="Calibri"/>
                <w:color w:val="404040"/>
                <w:sz w:val="19"/>
              </w:rPr>
              <w:t>String</w:t>
            </w:r>
          </w:p>
        </w:tc>
        <w:tc>
          <w:tcPr>
            <w:tcW w:w="3888" w:type="dxa"/>
            <w:shd w:val="clear" w:color="auto" w:fill="FFFFFF"/>
          </w:tcPr>
          <w:p w14:paraId="77A02DC4">
            <w:pPr>
              <w:spacing w:after="0" w:line="240" w:lineRule="auto"/>
              <w:jc w:val="center"/>
            </w:pPr>
            <w:r>
              <w:rPr>
                <w:rFonts w:ascii="Calibri" w:hAnsi="Calibri"/>
                <w:color w:val="404040"/>
                <w:sz w:val="19"/>
              </w:rPr>
              <w:t>Destination city</w:t>
            </w:r>
          </w:p>
        </w:tc>
        <w:tc>
          <w:tcPr>
            <w:tcW w:w="2376" w:type="dxa"/>
            <w:shd w:val="clear" w:color="auto" w:fill="FFFFFF"/>
          </w:tcPr>
          <w:p w14:paraId="5708A586">
            <w:pPr>
              <w:spacing w:after="0" w:line="240" w:lineRule="auto"/>
              <w:jc w:val="center"/>
            </w:pPr>
            <w:r>
              <w:rPr>
                <w:rFonts w:ascii="Calibri" w:hAnsi="Calibri"/>
                <w:color w:val="404040"/>
                <w:sz w:val="19"/>
              </w:rPr>
              <w:t>531 unique values — excluded</w:t>
            </w:r>
          </w:p>
        </w:tc>
      </w:tr>
      <w:tr w14:paraId="4DF3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2C1CC1F5">
            <w:pPr>
              <w:spacing w:after="0" w:line="240" w:lineRule="auto"/>
            </w:pPr>
            <w:r>
              <w:rPr>
                <w:rFonts w:ascii="Calibri" w:hAnsi="Calibri"/>
                <w:color w:val="404040"/>
                <w:sz w:val="19"/>
              </w:rPr>
              <w:t>State</w:t>
            </w:r>
          </w:p>
        </w:tc>
        <w:tc>
          <w:tcPr>
            <w:tcW w:w="1224" w:type="dxa"/>
            <w:shd w:val="clear" w:color="auto" w:fill="EBF3FB"/>
          </w:tcPr>
          <w:p w14:paraId="66498C6D">
            <w:pPr>
              <w:spacing w:after="0" w:line="240" w:lineRule="auto"/>
              <w:jc w:val="center"/>
            </w:pPr>
            <w:r>
              <w:rPr>
                <w:rFonts w:ascii="Calibri" w:hAnsi="Calibri"/>
                <w:color w:val="404040"/>
                <w:sz w:val="19"/>
              </w:rPr>
              <w:t>String</w:t>
            </w:r>
          </w:p>
        </w:tc>
        <w:tc>
          <w:tcPr>
            <w:tcW w:w="3888" w:type="dxa"/>
            <w:shd w:val="clear" w:color="auto" w:fill="EBF3FB"/>
          </w:tcPr>
          <w:p w14:paraId="2E9D19D3">
            <w:pPr>
              <w:spacing w:after="0" w:line="240" w:lineRule="auto"/>
              <w:jc w:val="center"/>
            </w:pPr>
            <w:r>
              <w:rPr>
                <w:rFonts w:ascii="Calibri" w:hAnsi="Calibri"/>
                <w:color w:val="404040"/>
                <w:sz w:val="19"/>
              </w:rPr>
              <w:t>Destination US state</w:t>
            </w:r>
          </w:p>
        </w:tc>
        <w:tc>
          <w:tcPr>
            <w:tcW w:w="2376" w:type="dxa"/>
            <w:shd w:val="clear" w:color="auto" w:fill="EBF3FB"/>
          </w:tcPr>
          <w:p w14:paraId="5BF48087">
            <w:pPr>
              <w:spacing w:after="0" w:line="240" w:lineRule="auto"/>
              <w:jc w:val="center"/>
            </w:pPr>
            <w:r>
              <w:rPr>
                <w:rFonts w:ascii="Calibri" w:hAnsi="Calibri"/>
                <w:color w:val="404040"/>
                <w:sz w:val="19"/>
              </w:rPr>
              <w:t>49 values — excluded</w:t>
            </w:r>
          </w:p>
        </w:tc>
      </w:tr>
      <w:tr w14:paraId="1721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6BA1BB9">
            <w:pPr>
              <w:spacing w:after="0" w:line="240" w:lineRule="auto"/>
            </w:pPr>
            <w:r>
              <w:rPr>
                <w:rFonts w:ascii="Calibri" w:hAnsi="Calibri"/>
                <w:color w:val="404040"/>
                <w:sz w:val="19"/>
              </w:rPr>
              <w:t>Postal Code</w:t>
            </w:r>
          </w:p>
        </w:tc>
        <w:tc>
          <w:tcPr>
            <w:tcW w:w="1224" w:type="dxa"/>
            <w:shd w:val="clear" w:color="auto" w:fill="FFFFFF"/>
          </w:tcPr>
          <w:p w14:paraId="7CC63BFB">
            <w:pPr>
              <w:spacing w:after="0" w:line="240" w:lineRule="auto"/>
              <w:jc w:val="center"/>
            </w:pPr>
            <w:r>
              <w:rPr>
                <w:rFonts w:ascii="Calibri" w:hAnsi="Calibri"/>
                <w:color w:val="404040"/>
                <w:sz w:val="19"/>
              </w:rPr>
              <w:t>String</w:t>
            </w:r>
          </w:p>
        </w:tc>
        <w:tc>
          <w:tcPr>
            <w:tcW w:w="3888" w:type="dxa"/>
            <w:shd w:val="clear" w:color="auto" w:fill="FFFFFF"/>
          </w:tcPr>
          <w:p w14:paraId="5BF7F9BA">
            <w:pPr>
              <w:spacing w:after="0" w:line="240" w:lineRule="auto"/>
              <w:jc w:val="center"/>
            </w:pPr>
            <w:r>
              <w:rPr>
                <w:rFonts w:ascii="Calibri" w:hAnsi="Calibri"/>
                <w:color w:val="404040"/>
                <w:sz w:val="19"/>
              </w:rPr>
              <w:t>Destination ZIP code</w:t>
            </w:r>
          </w:p>
        </w:tc>
        <w:tc>
          <w:tcPr>
            <w:tcW w:w="2376" w:type="dxa"/>
            <w:shd w:val="clear" w:color="auto" w:fill="FFFFFF"/>
          </w:tcPr>
          <w:p w14:paraId="533443FD">
            <w:pPr>
              <w:spacing w:after="0" w:line="240" w:lineRule="auto"/>
              <w:jc w:val="center"/>
            </w:pPr>
            <w:r>
              <w:rPr>
                <w:rFonts w:ascii="Calibri" w:hAnsi="Calibri"/>
                <w:color w:val="404040"/>
                <w:sz w:val="19"/>
              </w:rPr>
              <w:t>Loaded as string — leading zeros</w:t>
            </w:r>
          </w:p>
        </w:tc>
      </w:tr>
      <w:tr w14:paraId="7186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6C9EA2D3">
            <w:pPr>
              <w:spacing w:after="0" w:line="240" w:lineRule="auto"/>
            </w:pPr>
            <w:r>
              <w:rPr>
                <w:rFonts w:ascii="Calibri" w:hAnsi="Calibri"/>
                <w:color w:val="404040"/>
                <w:sz w:val="19"/>
              </w:rPr>
              <w:t>Region</w:t>
            </w:r>
          </w:p>
        </w:tc>
        <w:tc>
          <w:tcPr>
            <w:tcW w:w="1224" w:type="dxa"/>
            <w:shd w:val="clear" w:color="auto" w:fill="EBF3FB"/>
          </w:tcPr>
          <w:p w14:paraId="1CD9660D">
            <w:pPr>
              <w:spacing w:after="0" w:line="240" w:lineRule="auto"/>
              <w:jc w:val="center"/>
            </w:pPr>
            <w:r>
              <w:rPr>
                <w:rFonts w:ascii="Calibri" w:hAnsi="Calibri"/>
                <w:color w:val="404040"/>
                <w:sz w:val="19"/>
              </w:rPr>
              <w:t>Category</w:t>
            </w:r>
          </w:p>
        </w:tc>
        <w:tc>
          <w:tcPr>
            <w:tcW w:w="3888" w:type="dxa"/>
            <w:shd w:val="clear" w:color="auto" w:fill="EBF3FB"/>
          </w:tcPr>
          <w:p w14:paraId="5B2CBBB1">
            <w:pPr>
              <w:spacing w:after="0" w:line="240" w:lineRule="auto"/>
              <w:jc w:val="center"/>
            </w:pPr>
            <w:r>
              <w:rPr>
                <w:rFonts w:ascii="Calibri" w:hAnsi="Calibri"/>
                <w:color w:val="404040"/>
                <w:sz w:val="19"/>
              </w:rPr>
              <w:t>US sales region</w:t>
            </w:r>
          </w:p>
        </w:tc>
        <w:tc>
          <w:tcPr>
            <w:tcW w:w="2376" w:type="dxa"/>
            <w:shd w:val="clear" w:color="auto" w:fill="EBF3FB"/>
          </w:tcPr>
          <w:p w14:paraId="5E294D44">
            <w:pPr>
              <w:spacing w:after="0" w:line="240" w:lineRule="auto"/>
              <w:jc w:val="center"/>
            </w:pPr>
            <w:r>
              <w:rPr>
                <w:rFonts w:ascii="Calibri" w:hAnsi="Calibri"/>
                <w:color w:val="404040"/>
                <w:sz w:val="19"/>
              </w:rPr>
              <w:t>4 values: Central/East/South/West</w:t>
            </w:r>
          </w:p>
        </w:tc>
      </w:tr>
      <w:tr w14:paraId="36D6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3EACECE0">
            <w:pPr>
              <w:spacing w:after="0" w:line="240" w:lineRule="auto"/>
            </w:pPr>
            <w:r>
              <w:rPr>
                <w:rFonts w:ascii="Calibri" w:hAnsi="Calibri"/>
                <w:color w:val="404040"/>
                <w:sz w:val="19"/>
              </w:rPr>
              <w:t>Product ID</w:t>
            </w:r>
          </w:p>
        </w:tc>
        <w:tc>
          <w:tcPr>
            <w:tcW w:w="1224" w:type="dxa"/>
            <w:shd w:val="clear" w:color="auto" w:fill="FFFFFF"/>
          </w:tcPr>
          <w:p w14:paraId="0B08123D">
            <w:pPr>
              <w:spacing w:after="0" w:line="240" w:lineRule="auto"/>
              <w:jc w:val="center"/>
            </w:pPr>
            <w:r>
              <w:rPr>
                <w:rFonts w:ascii="Calibri" w:hAnsi="Calibri"/>
                <w:color w:val="404040"/>
                <w:sz w:val="19"/>
              </w:rPr>
              <w:t>String</w:t>
            </w:r>
          </w:p>
        </w:tc>
        <w:tc>
          <w:tcPr>
            <w:tcW w:w="3888" w:type="dxa"/>
            <w:shd w:val="clear" w:color="auto" w:fill="FFFFFF"/>
          </w:tcPr>
          <w:p w14:paraId="4FB05EDD">
            <w:pPr>
              <w:spacing w:after="0" w:line="240" w:lineRule="auto"/>
              <w:jc w:val="center"/>
            </w:pPr>
            <w:r>
              <w:rPr>
                <w:rFonts w:ascii="Calibri" w:hAnsi="Calibri"/>
                <w:color w:val="404040"/>
                <w:sz w:val="19"/>
              </w:rPr>
              <w:t>Unique product identifier</w:t>
            </w:r>
          </w:p>
        </w:tc>
        <w:tc>
          <w:tcPr>
            <w:tcW w:w="2376" w:type="dxa"/>
            <w:shd w:val="clear" w:color="auto" w:fill="FFFFFF"/>
          </w:tcPr>
          <w:p w14:paraId="3C3420AC">
            <w:pPr>
              <w:spacing w:after="0" w:line="240" w:lineRule="auto"/>
              <w:jc w:val="center"/>
            </w:pPr>
            <w:r>
              <w:rPr>
                <w:rFonts w:ascii="Calibri" w:hAnsi="Calibri"/>
                <w:color w:val="404040"/>
                <w:sz w:val="19"/>
              </w:rPr>
              <w:t>Excluded from ML</w:t>
            </w:r>
          </w:p>
        </w:tc>
      </w:tr>
      <w:tr w14:paraId="64C8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5437E448">
            <w:pPr>
              <w:spacing w:after="0" w:line="240" w:lineRule="auto"/>
            </w:pPr>
            <w:r>
              <w:rPr>
                <w:rFonts w:ascii="Calibri" w:hAnsi="Calibri"/>
                <w:color w:val="404040"/>
                <w:sz w:val="19"/>
              </w:rPr>
              <w:t>Category</w:t>
            </w:r>
          </w:p>
        </w:tc>
        <w:tc>
          <w:tcPr>
            <w:tcW w:w="1224" w:type="dxa"/>
            <w:shd w:val="clear" w:color="auto" w:fill="EBF3FB"/>
          </w:tcPr>
          <w:p w14:paraId="7F3D791E">
            <w:pPr>
              <w:spacing w:after="0" w:line="240" w:lineRule="auto"/>
              <w:jc w:val="center"/>
            </w:pPr>
            <w:r>
              <w:rPr>
                <w:rFonts w:ascii="Calibri" w:hAnsi="Calibri"/>
                <w:color w:val="404040"/>
                <w:sz w:val="19"/>
              </w:rPr>
              <w:t>Category</w:t>
            </w:r>
          </w:p>
        </w:tc>
        <w:tc>
          <w:tcPr>
            <w:tcW w:w="3888" w:type="dxa"/>
            <w:shd w:val="clear" w:color="auto" w:fill="EBF3FB"/>
          </w:tcPr>
          <w:p w14:paraId="745C615E">
            <w:pPr>
              <w:spacing w:after="0" w:line="240" w:lineRule="auto"/>
              <w:jc w:val="center"/>
            </w:pPr>
            <w:r>
              <w:rPr>
                <w:rFonts w:ascii="Calibri" w:hAnsi="Calibri"/>
                <w:color w:val="404040"/>
                <w:sz w:val="19"/>
              </w:rPr>
              <w:t>Top-level product category</w:t>
            </w:r>
          </w:p>
        </w:tc>
        <w:tc>
          <w:tcPr>
            <w:tcW w:w="2376" w:type="dxa"/>
            <w:shd w:val="clear" w:color="auto" w:fill="EBF3FB"/>
          </w:tcPr>
          <w:p w14:paraId="17103B87">
            <w:pPr>
              <w:spacing w:after="0" w:line="240" w:lineRule="auto"/>
              <w:jc w:val="center"/>
            </w:pPr>
            <w:r>
              <w:rPr>
                <w:rFonts w:ascii="Calibri" w:hAnsi="Calibri"/>
                <w:color w:val="404040"/>
                <w:sz w:val="19"/>
              </w:rPr>
              <w:t>3 values</w:t>
            </w:r>
          </w:p>
        </w:tc>
      </w:tr>
      <w:tr w14:paraId="08CC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75E0C72D">
            <w:pPr>
              <w:spacing w:after="0" w:line="240" w:lineRule="auto"/>
            </w:pPr>
            <w:r>
              <w:rPr>
                <w:rFonts w:ascii="Calibri" w:hAnsi="Calibri"/>
                <w:color w:val="404040"/>
                <w:sz w:val="19"/>
              </w:rPr>
              <w:t>Sub-Category</w:t>
            </w:r>
          </w:p>
        </w:tc>
        <w:tc>
          <w:tcPr>
            <w:tcW w:w="1224" w:type="dxa"/>
            <w:shd w:val="clear" w:color="auto" w:fill="FFFFFF"/>
          </w:tcPr>
          <w:p w14:paraId="4B45F5C5">
            <w:pPr>
              <w:spacing w:after="0" w:line="240" w:lineRule="auto"/>
              <w:jc w:val="center"/>
            </w:pPr>
            <w:r>
              <w:rPr>
                <w:rFonts w:ascii="Calibri" w:hAnsi="Calibri"/>
                <w:color w:val="404040"/>
                <w:sz w:val="19"/>
              </w:rPr>
              <w:t>Category</w:t>
            </w:r>
          </w:p>
        </w:tc>
        <w:tc>
          <w:tcPr>
            <w:tcW w:w="3888" w:type="dxa"/>
            <w:shd w:val="clear" w:color="auto" w:fill="FFFFFF"/>
          </w:tcPr>
          <w:p w14:paraId="55F25A1C">
            <w:pPr>
              <w:spacing w:after="0" w:line="240" w:lineRule="auto"/>
              <w:jc w:val="center"/>
            </w:pPr>
            <w:r>
              <w:rPr>
                <w:rFonts w:ascii="Calibri" w:hAnsi="Calibri"/>
                <w:color w:val="404040"/>
                <w:sz w:val="19"/>
              </w:rPr>
              <w:t>Product sub-category</w:t>
            </w:r>
          </w:p>
        </w:tc>
        <w:tc>
          <w:tcPr>
            <w:tcW w:w="2376" w:type="dxa"/>
            <w:shd w:val="clear" w:color="auto" w:fill="FFFFFF"/>
          </w:tcPr>
          <w:p w14:paraId="4D77D251">
            <w:pPr>
              <w:spacing w:after="0" w:line="240" w:lineRule="auto"/>
              <w:jc w:val="center"/>
            </w:pPr>
            <w:r>
              <w:rPr>
                <w:rFonts w:ascii="Calibri" w:hAnsi="Calibri"/>
                <w:color w:val="404040"/>
                <w:sz w:val="19"/>
              </w:rPr>
              <w:t>17 values</w:t>
            </w:r>
          </w:p>
        </w:tc>
      </w:tr>
      <w:tr w14:paraId="6D6D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1FE80C9A">
            <w:pPr>
              <w:spacing w:after="0" w:line="240" w:lineRule="auto"/>
            </w:pPr>
            <w:r>
              <w:rPr>
                <w:rFonts w:ascii="Calibri" w:hAnsi="Calibri"/>
                <w:color w:val="404040"/>
                <w:sz w:val="19"/>
              </w:rPr>
              <w:t>Product Name</w:t>
            </w:r>
          </w:p>
        </w:tc>
        <w:tc>
          <w:tcPr>
            <w:tcW w:w="1224" w:type="dxa"/>
            <w:shd w:val="clear" w:color="auto" w:fill="EBF3FB"/>
          </w:tcPr>
          <w:p w14:paraId="2438309C">
            <w:pPr>
              <w:spacing w:after="0" w:line="240" w:lineRule="auto"/>
              <w:jc w:val="center"/>
            </w:pPr>
            <w:r>
              <w:rPr>
                <w:rFonts w:ascii="Calibri" w:hAnsi="Calibri"/>
                <w:color w:val="404040"/>
                <w:sz w:val="19"/>
              </w:rPr>
              <w:t>String</w:t>
            </w:r>
          </w:p>
        </w:tc>
        <w:tc>
          <w:tcPr>
            <w:tcW w:w="3888" w:type="dxa"/>
            <w:shd w:val="clear" w:color="auto" w:fill="EBF3FB"/>
          </w:tcPr>
          <w:p w14:paraId="1AADA126">
            <w:pPr>
              <w:spacing w:after="0" w:line="240" w:lineRule="auto"/>
              <w:jc w:val="center"/>
            </w:pPr>
            <w:r>
              <w:rPr>
                <w:rFonts w:ascii="Calibri" w:hAnsi="Calibri"/>
                <w:color w:val="404040"/>
                <w:sz w:val="19"/>
              </w:rPr>
              <w:t>Full product name</w:t>
            </w:r>
          </w:p>
        </w:tc>
        <w:tc>
          <w:tcPr>
            <w:tcW w:w="2376" w:type="dxa"/>
            <w:shd w:val="clear" w:color="auto" w:fill="EBF3FB"/>
          </w:tcPr>
          <w:p w14:paraId="120BE56E">
            <w:pPr>
              <w:spacing w:after="0" w:line="240" w:lineRule="auto"/>
              <w:jc w:val="center"/>
            </w:pPr>
            <w:r>
              <w:rPr>
                <w:rFonts w:ascii="Calibri" w:hAnsi="Calibri"/>
                <w:color w:val="404040"/>
                <w:sz w:val="19"/>
              </w:rPr>
              <w:t>Excluded from ML</w:t>
            </w:r>
          </w:p>
        </w:tc>
      </w:tr>
      <w:tr w14:paraId="3AF2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A7DBED1">
            <w:pPr>
              <w:spacing w:after="0" w:line="240" w:lineRule="auto"/>
            </w:pPr>
            <w:r>
              <w:rPr>
                <w:rFonts w:ascii="Calibri" w:hAnsi="Calibri"/>
                <w:color w:val="404040"/>
                <w:sz w:val="19"/>
              </w:rPr>
              <w:t>Sales</w:t>
            </w:r>
          </w:p>
        </w:tc>
        <w:tc>
          <w:tcPr>
            <w:tcW w:w="1224" w:type="dxa"/>
            <w:shd w:val="clear" w:color="auto" w:fill="FFFFFF"/>
          </w:tcPr>
          <w:p w14:paraId="650E0F98">
            <w:pPr>
              <w:spacing w:after="0" w:line="240" w:lineRule="auto"/>
              <w:jc w:val="center"/>
            </w:pPr>
            <w:r>
              <w:rPr>
                <w:rFonts w:ascii="Calibri" w:hAnsi="Calibri"/>
                <w:color w:val="404040"/>
                <w:sz w:val="19"/>
              </w:rPr>
              <w:t>Float</w:t>
            </w:r>
          </w:p>
        </w:tc>
        <w:tc>
          <w:tcPr>
            <w:tcW w:w="3888" w:type="dxa"/>
            <w:shd w:val="clear" w:color="auto" w:fill="FFFFFF"/>
          </w:tcPr>
          <w:p w14:paraId="677938D8">
            <w:pPr>
              <w:spacing w:after="0" w:line="240" w:lineRule="auto"/>
              <w:jc w:val="center"/>
            </w:pPr>
            <w:r>
              <w:rPr>
                <w:rFonts w:ascii="Calibri" w:hAnsi="Calibri"/>
                <w:color w:val="404040"/>
                <w:sz w:val="19"/>
              </w:rPr>
              <w:t>Transaction revenue (USD)</w:t>
            </w:r>
          </w:p>
        </w:tc>
        <w:tc>
          <w:tcPr>
            <w:tcW w:w="2376" w:type="dxa"/>
            <w:shd w:val="clear" w:color="auto" w:fill="FFFFFF"/>
          </w:tcPr>
          <w:p w14:paraId="3086B5A0">
            <w:pPr>
              <w:spacing w:after="0" w:line="240" w:lineRule="auto"/>
              <w:jc w:val="center"/>
            </w:pPr>
            <w:r>
              <w:rPr>
                <w:rFonts w:ascii="Calibri" w:hAnsi="Calibri"/>
                <w:color w:val="404040"/>
                <w:sz w:val="19"/>
              </w:rPr>
              <w:t>Min $0.44 / Max $22,638</w:t>
            </w:r>
          </w:p>
        </w:tc>
      </w:tr>
      <w:tr w14:paraId="1D12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02F12B75">
            <w:pPr>
              <w:spacing w:after="0" w:line="240" w:lineRule="auto"/>
            </w:pPr>
            <w:r>
              <w:rPr>
                <w:rFonts w:ascii="Calibri" w:hAnsi="Calibri"/>
                <w:color w:val="404040"/>
                <w:sz w:val="19"/>
              </w:rPr>
              <w:t>Quantity</w:t>
            </w:r>
          </w:p>
        </w:tc>
        <w:tc>
          <w:tcPr>
            <w:tcW w:w="1224" w:type="dxa"/>
            <w:shd w:val="clear" w:color="auto" w:fill="EBF3FB"/>
          </w:tcPr>
          <w:p w14:paraId="791CCA1E">
            <w:pPr>
              <w:spacing w:after="0" w:line="240" w:lineRule="auto"/>
              <w:jc w:val="center"/>
            </w:pPr>
            <w:r>
              <w:rPr>
                <w:rFonts w:ascii="Calibri" w:hAnsi="Calibri"/>
                <w:color w:val="404040"/>
                <w:sz w:val="19"/>
              </w:rPr>
              <w:t>Integer</w:t>
            </w:r>
          </w:p>
        </w:tc>
        <w:tc>
          <w:tcPr>
            <w:tcW w:w="3888" w:type="dxa"/>
            <w:shd w:val="clear" w:color="auto" w:fill="EBF3FB"/>
          </w:tcPr>
          <w:p w14:paraId="6082DDF4">
            <w:pPr>
              <w:spacing w:after="0" w:line="240" w:lineRule="auto"/>
              <w:jc w:val="center"/>
            </w:pPr>
            <w:r>
              <w:rPr>
                <w:rFonts w:ascii="Calibri" w:hAnsi="Calibri"/>
                <w:color w:val="404040"/>
                <w:sz w:val="19"/>
              </w:rPr>
              <w:t>Units ordered</w:t>
            </w:r>
          </w:p>
        </w:tc>
        <w:tc>
          <w:tcPr>
            <w:tcW w:w="2376" w:type="dxa"/>
            <w:shd w:val="clear" w:color="auto" w:fill="EBF3FB"/>
          </w:tcPr>
          <w:p w14:paraId="1789D08E">
            <w:pPr>
              <w:spacing w:after="0" w:line="240" w:lineRule="auto"/>
              <w:jc w:val="center"/>
            </w:pPr>
            <w:r>
              <w:rPr>
                <w:rFonts w:ascii="Calibri" w:hAnsi="Calibri"/>
                <w:color w:val="404040"/>
                <w:sz w:val="19"/>
              </w:rPr>
              <w:t>Range: 1–14</w:t>
            </w:r>
          </w:p>
        </w:tc>
      </w:tr>
      <w:tr w14:paraId="2873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6CF1C506">
            <w:pPr>
              <w:spacing w:after="0" w:line="240" w:lineRule="auto"/>
            </w:pPr>
            <w:r>
              <w:rPr>
                <w:rFonts w:ascii="Calibri" w:hAnsi="Calibri"/>
                <w:color w:val="404040"/>
                <w:sz w:val="19"/>
              </w:rPr>
              <w:t>Discount</w:t>
            </w:r>
          </w:p>
        </w:tc>
        <w:tc>
          <w:tcPr>
            <w:tcW w:w="1224" w:type="dxa"/>
            <w:shd w:val="clear" w:color="auto" w:fill="FFFFFF"/>
          </w:tcPr>
          <w:p w14:paraId="122063AE">
            <w:pPr>
              <w:spacing w:after="0" w:line="240" w:lineRule="auto"/>
              <w:jc w:val="center"/>
            </w:pPr>
            <w:r>
              <w:rPr>
                <w:rFonts w:ascii="Calibri" w:hAnsi="Calibri"/>
                <w:color w:val="404040"/>
                <w:sz w:val="19"/>
              </w:rPr>
              <w:t>Float</w:t>
            </w:r>
          </w:p>
        </w:tc>
        <w:tc>
          <w:tcPr>
            <w:tcW w:w="3888" w:type="dxa"/>
            <w:shd w:val="clear" w:color="auto" w:fill="FFFFFF"/>
          </w:tcPr>
          <w:p w14:paraId="7F9CBE48">
            <w:pPr>
              <w:spacing w:after="0" w:line="240" w:lineRule="auto"/>
              <w:jc w:val="center"/>
            </w:pPr>
            <w:r>
              <w:rPr>
                <w:rFonts w:ascii="Calibri" w:hAnsi="Calibri"/>
                <w:color w:val="404040"/>
                <w:sz w:val="19"/>
              </w:rPr>
              <w:t>Discount applied (0.0–1.0 fraction)</w:t>
            </w:r>
          </w:p>
        </w:tc>
        <w:tc>
          <w:tcPr>
            <w:tcW w:w="2376" w:type="dxa"/>
            <w:shd w:val="clear" w:color="auto" w:fill="FFFFFF"/>
          </w:tcPr>
          <w:p w14:paraId="3B3CD993">
            <w:pPr>
              <w:spacing w:after="0" w:line="240" w:lineRule="auto"/>
              <w:jc w:val="center"/>
            </w:pPr>
            <w:r>
              <w:rPr>
                <w:rFonts w:ascii="Calibri" w:hAnsi="Calibri"/>
                <w:color w:val="404040"/>
                <w:sz w:val="19"/>
              </w:rPr>
              <w:t>0.2 = 20% discount</w:t>
            </w:r>
          </w:p>
        </w:tc>
      </w:tr>
      <w:tr w14:paraId="0FE8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7AE6B166">
            <w:pPr>
              <w:spacing w:after="0" w:line="240" w:lineRule="auto"/>
            </w:pPr>
            <w:r>
              <w:rPr>
                <w:rFonts w:ascii="Calibri" w:hAnsi="Calibri"/>
                <w:color w:val="404040"/>
                <w:sz w:val="19"/>
              </w:rPr>
              <w:t>Profit</w:t>
            </w:r>
          </w:p>
        </w:tc>
        <w:tc>
          <w:tcPr>
            <w:tcW w:w="1224" w:type="dxa"/>
            <w:shd w:val="clear" w:color="auto" w:fill="EBF3FB"/>
          </w:tcPr>
          <w:p w14:paraId="7F308A1D">
            <w:pPr>
              <w:spacing w:after="0" w:line="240" w:lineRule="auto"/>
              <w:jc w:val="center"/>
            </w:pPr>
            <w:r>
              <w:rPr>
                <w:rFonts w:ascii="Calibri" w:hAnsi="Calibri"/>
                <w:color w:val="404040"/>
                <w:sz w:val="19"/>
              </w:rPr>
              <w:t>Float</w:t>
            </w:r>
          </w:p>
        </w:tc>
        <w:tc>
          <w:tcPr>
            <w:tcW w:w="3888" w:type="dxa"/>
            <w:shd w:val="clear" w:color="auto" w:fill="EBF3FB"/>
          </w:tcPr>
          <w:p w14:paraId="042F88AE">
            <w:pPr>
              <w:spacing w:after="0" w:line="240" w:lineRule="auto"/>
              <w:jc w:val="center"/>
            </w:pPr>
            <w:r>
              <w:rPr>
                <w:rFonts w:ascii="Calibri" w:hAnsi="Calibri"/>
                <w:color w:val="404040"/>
                <w:sz w:val="19"/>
              </w:rPr>
              <w:t>Net profit — TARGET LEAKAGE: excluded from X</w:t>
            </w:r>
          </w:p>
        </w:tc>
        <w:tc>
          <w:tcPr>
            <w:tcW w:w="2376" w:type="dxa"/>
            <w:shd w:val="clear" w:color="auto" w:fill="EBF3FB"/>
          </w:tcPr>
          <w:p w14:paraId="2E9B1E5B">
            <w:pPr>
              <w:spacing w:after="0" w:line="240" w:lineRule="auto"/>
              <w:jc w:val="center"/>
            </w:pPr>
            <w:r>
              <w:rPr>
                <w:rFonts w:ascii="Calibri" w:hAnsi="Calibri"/>
                <w:color w:val="404040"/>
                <w:sz w:val="19"/>
              </w:rPr>
              <w:t>Signed; can be negative</w:t>
            </w:r>
          </w:p>
        </w:tc>
      </w:tr>
      <w:tr w14:paraId="00AD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5C7DF8E5">
            <w:pPr>
              <w:spacing w:after="0" w:line="240" w:lineRule="auto"/>
            </w:pPr>
            <w:r>
              <w:rPr>
                <w:rFonts w:ascii="Calibri" w:hAnsi="Calibri"/>
                <w:color w:val="404040"/>
                <w:sz w:val="19"/>
              </w:rPr>
              <w:t>Ship_Lag_Days</w:t>
            </w:r>
          </w:p>
        </w:tc>
        <w:tc>
          <w:tcPr>
            <w:tcW w:w="1224" w:type="dxa"/>
            <w:shd w:val="clear" w:color="auto" w:fill="FFFFFF"/>
          </w:tcPr>
          <w:p w14:paraId="67C258D5">
            <w:pPr>
              <w:spacing w:after="0" w:line="240" w:lineRule="auto"/>
              <w:jc w:val="center"/>
            </w:pPr>
            <w:r>
              <w:rPr>
                <w:rFonts w:ascii="Calibri" w:hAnsi="Calibri"/>
                <w:color w:val="404040"/>
                <w:sz w:val="19"/>
              </w:rPr>
              <w:t>Integer</w:t>
            </w:r>
          </w:p>
        </w:tc>
        <w:tc>
          <w:tcPr>
            <w:tcW w:w="3888" w:type="dxa"/>
            <w:shd w:val="clear" w:color="auto" w:fill="FFFFFF"/>
          </w:tcPr>
          <w:p w14:paraId="25D6D5F2">
            <w:pPr>
              <w:spacing w:after="0" w:line="240" w:lineRule="auto"/>
              <w:jc w:val="center"/>
            </w:pPr>
            <w:r>
              <w:rPr>
                <w:rFonts w:ascii="Calibri" w:hAnsi="Calibri"/>
                <w:color w:val="404040"/>
                <w:sz w:val="19"/>
              </w:rPr>
              <w:t>Engineered: Ship Date minus Order Date in days</w:t>
            </w:r>
          </w:p>
        </w:tc>
        <w:tc>
          <w:tcPr>
            <w:tcW w:w="2376" w:type="dxa"/>
            <w:shd w:val="clear" w:color="auto" w:fill="FFFFFF"/>
          </w:tcPr>
          <w:p w14:paraId="3DDA7457">
            <w:pPr>
              <w:spacing w:after="0" w:line="240" w:lineRule="auto"/>
              <w:jc w:val="center"/>
            </w:pPr>
            <w:r>
              <w:rPr>
                <w:rFonts w:ascii="Calibri" w:hAnsi="Calibri"/>
                <w:color w:val="404040"/>
                <w:sz w:val="19"/>
              </w:rPr>
              <w:t>Derived feature; range 0–7</w:t>
            </w:r>
          </w:p>
        </w:tc>
      </w:tr>
      <w:tr w14:paraId="2E60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2CBA109C">
            <w:pPr>
              <w:spacing w:after="0" w:line="240" w:lineRule="auto"/>
            </w:pPr>
            <w:r>
              <w:rPr>
                <w:rFonts w:ascii="Calibri" w:hAnsi="Calibri"/>
                <w:color w:val="404040"/>
                <w:sz w:val="19"/>
              </w:rPr>
              <w:t>Loss_Flag</w:t>
            </w:r>
          </w:p>
        </w:tc>
        <w:tc>
          <w:tcPr>
            <w:tcW w:w="1224" w:type="dxa"/>
            <w:shd w:val="clear" w:color="auto" w:fill="EBF3FB"/>
          </w:tcPr>
          <w:p w14:paraId="791BF12F">
            <w:pPr>
              <w:spacing w:after="0" w:line="240" w:lineRule="auto"/>
              <w:jc w:val="center"/>
            </w:pPr>
            <w:r>
              <w:rPr>
                <w:rFonts w:ascii="Calibri" w:hAnsi="Calibri"/>
                <w:color w:val="404040"/>
                <w:sz w:val="19"/>
              </w:rPr>
              <w:t>Binary</w:t>
            </w:r>
          </w:p>
        </w:tc>
        <w:tc>
          <w:tcPr>
            <w:tcW w:w="3888" w:type="dxa"/>
            <w:shd w:val="clear" w:color="auto" w:fill="EBF3FB"/>
          </w:tcPr>
          <w:p w14:paraId="40008C7A">
            <w:pPr>
              <w:spacing w:after="0" w:line="240" w:lineRule="auto"/>
              <w:jc w:val="center"/>
            </w:pPr>
            <w:r>
              <w:rPr>
                <w:rFonts w:ascii="Calibri" w:hAnsi="Calibri"/>
                <w:color w:val="404040"/>
                <w:sz w:val="19"/>
              </w:rPr>
              <w:t>Target variable: 1 if Profit &lt; 0, else 0</w:t>
            </w:r>
          </w:p>
        </w:tc>
        <w:tc>
          <w:tcPr>
            <w:tcW w:w="2376" w:type="dxa"/>
            <w:shd w:val="clear" w:color="auto" w:fill="EBF3FB"/>
          </w:tcPr>
          <w:p w14:paraId="7019F1DE">
            <w:pPr>
              <w:spacing w:after="0" w:line="240" w:lineRule="auto"/>
              <w:jc w:val="center"/>
            </w:pPr>
            <w:r>
              <w:rPr>
                <w:rFonts w:ascii="Calibri" w:hAnsi="Calibri"/>
                <w:color w:val="404040"/>
                <w:sz w:val="19"/>
              </w:rPr>
              <w:t>Derived from Profit</w:t>
            </w:r>
          </w:p>
        </w:tc>
      </w:tr>
    </w:tbl>
    <w:p w14:paraId="535C8A25">
      <w:pPr>
        <w:spacing w:after="120"/>
      </w:pPr>
    </w:p>
    <w:p w14:paraId="202C98E4">
      <w:r>
        <w:br w:type="page"/>
      </w:r>
    </w:p>
    <w:p w14:paraId="69F2286F">
      <w:pPr>
        <w:spacing w:before="360" w:after="120"/>
      </w:pPr>
      <w:r>
        <w:rPr>
          <w:rFonts w:ascii="Calibri" w:hAnsi="Calibri"/>
          <w:b/>
          <w:color w:val="1F4E79"/>
          <w:sz w:val="30"/>
        </w:rPr>
        <w:t>7. Data Quality Assessment</w:t>
      </w:r>
    </w:p>
    <w:p w14:paraId="0A0620B7">
      <w:pPr>
        <w:pBdr>
          <w:bottom w:val="single" w:color="1F4E79" w:sz="8" w:space="1"/>
        </w:pBdr>
        <w:spacing w:after="40"/>
      </w:pPr>
    </w:p>
    <w:p w14:paraId="2821BFA9">
      <w:pPr>
        <w:spacing w:before="40" w:after="100"/>
      </w:pPr>
      <w:r>
        <w:rPr>
          <w:rFonts w:ascii="Calibri" w:hAnsi="Calibri"/>
          <w:color w:val="404040"/>
          <w:sz w:val="21"/>
        </w:rPr>
        <w:t>A systematic data quality audit was conducted across all 21 original columns. The results are summarised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160"/>
        <w:gridCol w:w="1728"/>
        <w:gridCol w:w="2880"/>
      </w:tblGrid>
      <w:tr w14:paraId="597F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4E79"/>
          </w:tcPr>
          <w:p w14:paraId="31C26C32">
            <w:pPr>
              <w:spacing w:after="0" w:line="240" w:lineRule="auto"/>
              <w:jc w:val="center"/>
            </w:pPr>
            <w:r>
              <w:rPr>
                <w:rFonts w:ascii="Calibri" w:hAnsi="Calibri"/>
                <w:b/>
                <w:color w:val="FFFFFF"/>
                <w:sz w:val="19"/>
              </w:rPr>
              <w:t>Quality Check</w:t>
            </w:r>
          </w:p>
        </w:tc>
        <w:tc>
          <w:tcPr>
            <w:tcW w:w="2160" w:type="dxa"/>
            <w:shd w:val="clear" w:color="auto" w:fill="1F4E79"/>
          </w:tcPr>
          <w:p w14:paraId="0ABD7DAE">
            <w:pPr>
              <w:spacing w:after="0" w:line="240" w:lineRule="auto"/>
              <w:jc w:val="center"/>
            </w:pPr>
            <w:r>
              <w:rPr>
                <w:rFonts w:ascii="Calibri" w:hAnsi="Calibri"/>
                <w:b/>
                <w:color w:val="FFFFFF"/>
                <w:sz w:val="19"/>
              </w:rPr>
              <w:t>Result</w:t>
            </w:r>
          </w:p>
        </w:tc>
        <w:tc>
          <w:tcPr>
            <w:tcW w:w="1728" w:type="dxa"/>
            <w:shd w:val="clear" w:color="auto" w:fill="1F4E79"/>
          </w:tcPr>
          <w:p w14:paraId="228B2294">
            <w:pPr>
              <w:spacing w:after="0" w:line="240" w:lineRule="auto"/>
              <w:jc w:val="center"/>
            </w:pPr>
            <w:r>
              <w:rPr>
                <w:rFonts w:ascii="Calibri" w:hAnsi="Calibri"/>
                <w:b/>
                <w:color w:val="FFFFFF"/>
                <w:sz w:val="19"/>
              </w:rPr>
              <w:t>Count</w:t>
            </w:r>
          </w:p>
        </w:tc>
        <w:tc>
          <w:tcPr>
            <w:tcW w:w="2880" w:type="dxa"/>
            <w:shd w:val="clear" w:color="auto" w:fill="1F4E79"/>
          </w:tcPr>
          <w:p w14:paraId="4EBA3B3E">
            <w:pPr>
              <w:spacing w:after="0" w:line="240" w:lineRule="auto"/>
              <w:jc w:val="center"/>
            </w:pPr>
            <w:r>
              <w:rPr>
                <w:rFonts w:ascii="Calibri" w:hAnsi="Calibri"/>
                <w:b/>
                <w:color w:val="FFFFFF"/>
                <w:sz w:val="19"/>
              </w:rPr>
              <w:t>Action Taken</w:t>
            </w:r>
          </w:p>
        </w:tc>
      </w:tr>
      <w:tr w14:paraId="5B5B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BF3FB"/>
          </w:tcPr>
          <w:p w14:paraId="0D0BD68F">
            <w:pPr>
              <w:spacing w:after="0" w:line="240" w:lineRule="auto"/>
            </w:pPr>
            <w:r>
              <w:rPr>
                <w:rFonts w:ascii="Calibri" w:hAnsi="Calibri"/>
                <w:color w:val="404040"/>
                <w:sz w:val="19"/>
              </w:rPr>
              <w:t>Missing values</w:t>
            </w:r>
          </w:p>
        </w:tc>
        <w:tc>
          <w:tcPr>
            <w:tcW w:w="2160" w:type="dxa"/>
            <w:shd w:val="clear" w:color="auto" w:fill="EBF3FB"/>
          </w:tcPr>
          <w:p w14:paraId="1A32D3D0">
            <w:pPr>
              <w:spacing w:after="0" w:line="240" w:lineRule="auto"/>
              <w:jc w:val="center"/>
            </w:pPr>
            <w:r>
              <w:rPr>
                <w:rFonts w:ascii="Calibri" w:hAnsi="Calibri"/>
                <w:color w:val="404040"/>
                <w:sz w:val="19"/>
              </w:rPr>
              <w:t>None detected</w:t>
            </w:r>
          </w:p>
        </w:tc>
        <w:tc>
          <w:tcPr>
            <w:tcW w:w="1728" w:type="dxa"/>
            <w:shd w:val="clear" w:color="auto" w:fill="EBF3FB"/>
          </w:tcPr>
          <w:p w14:paraId="2AF49E51">
            <w:pPr>
              <w:spacing w:after="0" w:line="240" w:lineRule="auto"/>
              <w:jc w:val="center"/>
            </w:pPr>
            <w:r>
              <w:rPr>
                <w:rFonts w:ascii="Calibri" w:hAnsi="Calibri"/>
                <w:color w:val="404040"/>
                <w:sz w:val="19"/>
              </w:rPr>
              <w:t>0</w:t>
            </w:r>
          </w:p>
        </w:tc>
        <w:tc>
          <w:tcPr>
            <w:tcW w:w="2880" w:type="dxa"/>
            <w:shd w:val="clear" w:color="auto" w:fill="EBF3FB"/>
          </w:tcPr>
          <w:p w14:paraId="056A5568">
            <w:pPr>
              <w:spacing w:after="0" w:line="240" w:lineRule="auto"/>
              <w:jc w:val="center"/>
            </w:pPr>
            <w:r>
              <w:rPr>
                <w:rFonts w:ascii="Calibri" w:hAnsi="Calibri"/>
                <w:color w:val="404040"/>
                <w:sz w:val="19"/>
              </w:rPr>
              <w:t>No imputation required</w:t>
            </w:r>
          </w:p>
        </w:tc>
      </w:tr>
      <w:tr w14:paraId="7433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FFFFF"/>
          </w:tcPr>
          <w:p w14:paraId="547F2B7E">
            <w:pPr>
              <w:spacing w:after="0" w:line="240" w:lineRule="auto"/>
            </w:pPr>
            <w:r>
              <w:rPr>
                <w:rFonts w:ascii="Calibri" w:hAnsi="Calibri"/>
                <w:color w:val="404040"/>
                <w:sz w:val="19"/>
              </w:rPr>
              <w:t>Duplicate rows</w:t>
            </w:r>
          </w:p>
        </w:tc>
        <w:tc>
          <w:tcPr>
            <w:tcW w:w="2160" w:type="dxa"/>
            <w:shd w:val="clear" w:color="auto" w:fill="FFFFFF"/>
          </w:tcPr>
          <w:p w14:paraId="2DB4566B">
            <w:pPr>
              <w:spacing w:after="0" w:line="240" w:lineRule="auto"/>
              <w:jc w:val="center"/>
            </w:pPr>
            <w:r>
              <w:rPr>
                <w:rFonts w:ascii="Calibri" w:hAnsi="Calibri"/>
                <w:color w:val="404040"/>
                <w:sz w:val="19"/>
              </w:rPr>
              <w:t>None detected</w:t>
            </w:r>
          </w:p>
        </w:tc>
        <w:tc>
          <w:tcPr>
            <w:tcW w:w="1728" w:type="dxa"/>
            <w:shd w:val="clear" w:color="auto" w:fill="FFFFFF"/>
          </w:tcPr>
          <w:p w14:paraId="7A6411F2">
            <w:pPr>
              <w:spacing w:after="0" w:line="240" w:lineRule="auto"/>
              <w:jc w:val="center"/>
            </w:pPr>
            <w:r>
              <w:rPr>
                <w:rFonts w:ascii="Calibri" w:hAnsi="Calibri"/>
                <w:color w:val="404040"/>
                <w:sz w:val="19"/>
              </w:rPr>
              <w:t>0</w:t>
            </w:r>
          </w:p>
        </w:tc>
        <w:tc>
          <w:tcPr>
            <w:tcW w:w="2880" w:type="dxa"/>
            <w:shd w:val="clear" w:color="auto" w:fill="FFFFFF"/>
          </w:tcPr>
          <w:p w14:paraId="6C117144">
            <w:pPr>
              <w:spacing w:after="0" w:line="240" w:lineRule="auto"/>
              <w:jc w:val="center"/>
            </w:pPr>
            <w:r>
              <w:rPr>
                <w:rFonts w:ascii="Calibri" w:hAnsi="Calibri"/>
                <w:color w:val="404040"/>
                <w:sz w:val="19"/>
              </w:rPr>
              <w:t>No deduplication required</w:t>
            </w:r>
          </w:p>
        </w:tc>
      </w:tr>
      <w:tr w14:paraId="5A82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BF3FB"/>
          </w:tcPr>
          <w:p w14:paraId="67FB3727">
            <w:pPr>
              <w:spacing w:after="0" w:line="240" w:lineRule="auto"/>
            </w:pPr>
            <w:r>
              <w:rPr>
                <w:rFonts w:ascii="Calibri" w:hAnsi="Calibri"/>
                <w:color w:val="404040"/>
                <w:sz w:val="19"/>
              </w:rPr>
              <w:t>Date format</w:t>
            </w:r>
          </w:p>
        </w:tc>
        <w:tc>
          <w:tcPr>
            <w:tcW w:w="2160" w:type="dxa"/>
            <w:shd w:val="clear" w:color="auto" w:fill="EBF3FB"/>
          </w:tcPr>
          <w:p w14:paraId="2B7FCB6E">
            <w:pPr>
              <w:spacing w:after="0" w:line="240" w:lineRule="auto"/>
              <w:jc w:val="center"/>
            </w:pPr>
            <w:r>
              <w:rPr>
                <w:rFonts w:ascii="Calibri" w:hAnsi="Calibri"/>
                <w:color w:val="404040"/>
                <w:sz w:val="19"/>
              </w:rPr>
              <w:t>DD-MM-YYYY</w:t>
            </w:r>
          </w:p>
        </w:tc>
        <w:tc>
          <w:tcPr>
            <w:tcW w:w="1728" w:type="dxa"/>
            <w:shd w:val="clear" w:color="auto" w:fill="EBF3FB"/>
          </w:tcPr>
          <w:p w14:paraId="60AC02E4">
            <w:pPr>
              <w:spacing w:after="0" w:line="240" w:lineRule="auto"/>
              <w:jc w:val="center"/>
            </w:pPr>
            <w:r>
              <w:rPr>
                <w:rFonts w:ascii="Calibri" w:hAnsi="Calibri"/>
                <w:color w:val="404040"/>
                <w:sz w:val="19"/>
              </w:rPr>
              <w:t>9,994 rows</w:t>
            </w:r>
          </w:p>
        </w:tc>
        <w:tc>
          <w:tcPr>
            <w:tcW w:w="2880" w:type="dxa"/>
            <w:shd w:val="clear" w:color="auto" w:fill="EBF3FB"/>
          </w:tcPr>
          <w:p w14:paraId="41F7CD0E">
            <w:pPr>
              <w:spacing w:after="0" w:line="240" w:lineRule="auto"/>
              <w:jc w:val="center"/>
            </w:pPr>
            <w:r>
              <w:rPr>
                <w:rFonts w:ascii="Calibri" w:hAnsi="Calibri"/>
                <w:color w:val="404040"/>
                <w:sz w:val="19"/>
              </w:rPr>
              <w:t>Parsed with format='%d-%m-%Y'</w:t>
            </w:r>
          </w:p>
        </w:tc>
      </w:tr>
      <w:tr w14:paraId="0A56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FFFFF"/>
          </w:tcPr>
          <w:p w14:paraId="5681EB24">
            <w:pPr>
              <w:spacing w:after="0" w:line="240" w:lineRule="auto"/>
            </w:pPr>
            <w:r>
              <w:rPr>
                <w:rFonts w:ascii="Calibri" w:hAnsi="Calibri"/>
                <w:color w:val="404040"/>
                <w:sz w:val="19"/>
              </w:rPr>
              <w:t>Negative ship lag</w:t>
            </w:r>
          </w:p>
        </w:tc>
        <w:tc>
          <w:tcPr>
            <w:tcW w:w="2160" w:type="dxa"/>
            <w:shd w:val="clear" w:color="auto" w:fill="FFFFFF"/>
          </w:tcPr>
          <w:p w14:paraId="5126B3DF">
            <w:pPr>
              <w:spacing w:after="0" w:line="240" w:lineRule="auto"/>
              <w:jc w:val="center"/>
            </w:pPr>
            <w:r>
              <w:rPr>
                <w:rFonts w:ascii="Calibri" w:hAnsi="Calibri"/>
                <w:color w:val="404040"/>
                <w:sz w:val="19"/>
              </w:rPr>
              <w:t>None</w:t>
            </w:r>
          </w:p>
        </w:tc>
        <w:tc>
          <w:tcPr>
            <w:tcW w:w="1728" w:type="dxa"/>
            <w:shd w:val="clear" w:color="auto" w:fill="FFFFFF"/>
          </w:tcPr>
          <w:p w14:paraId="54CF4C26">
            <w:pPr>
              <w:spacing w:after="0" w:line="240" w:lineRule="auto"/>
              <w:jc w:val="center"/>
            </w:pPr>
            <w:r>
              <w:rPr>
                <w:rFonts w:ascii="Calibri" w:hAnsi="Calibri"/>
                <w:color w:val="404040"/>
                <w:sz w:val="19"/>
              </w:rPr>
              <w:t>0</w:t>
            </w:r>
          </w:p>
        </w:tc>
        <w:tc>
          <w:tcPr>
            <w:tcW w:w="2880" w:type="dxa"/>
            <w:shd w:val="clear" w:color="auto" w:fill="FFFFFF"/>
          </w:tcPr>
          <w:p w14:paraId="2FA93B5A">
            <w:pPr>
              <w:spacing w:after="0" w:line="240" w:lineRule="auto"/>
              <w:jc w:val="center"/>
            </w:pPr>
            <w:r>
              <w:rPr>
                <w:rFonts w:ascii="Calibri" w:hAnsi="Calibri"/>
                <w:color w:val="404040"/>
                <w:sz w:val="19"/>
              </w:rPr>
              <w:t>No anomaly</w:t>
            </w:r>
          </w:p>
        </w:tc>
      </w:tr>
      <w:tr w14:paraId="4A98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BF3FB"/>
          </w:tcPr>
          <w:p w14:paraId="3B5B47AB">
            <w:pPr>
              <w:spacing w:after="0" w:line="240" w:lineRule="auto"/>
            </w:pPr>
            <w:r>
              <w:rPr>
                <w:rFonts w:ascii="Calibri" w:hAnsi="Calibri"/>
                <w:color w:val="404040"/>
                <w:sz w:val="19"/>
              </w:rPr>
              <w:t>Short ZIP codes (&lt;5 chars)</w:t>
            </w:r>
          </w:p>
        </w:tc>
        <w:tc>
          <w:tcPr>
            <w:tcW w:w="2160" w:type="dxa"/>
            <w:shd w:val="clear" w:color="auto" w:fill="EBF3FB"/>
          </w:tcPr>
          <w:p w14:paraId="37D94F27">
            <w:pPr>
              <w:spacing w:after="0" w:line="240" w:lineRule="auto"/>
              <w:jc w:val="center"/>
            </w:pPr>
            <w:r>
              <w:rPr>
                <w:rFonts w:ascii="Calibri" w:hAnsi="Calibri"/>
                <w:color w:val="404040"/>
                <w:sz w:val="19"/>
              </w:rPr>
              <w:t>Present</w:t>
            </w:r>
          </w:p>
        </w:tc>
        <w:tc>
          <w:tcPr>
            <w:tcW w:w="1728" w:type="dxa"/>
            <w:shd w:val="clear" w:color="auto" w:fill="EBF3FB"/>
          </w:tcPr>
          <w:p w14:paraId="26BE5174">
            <w:pPr>
              <w:spacing w:after="0" w:line="240" w:lineRule="auto"/>
              <w:jc w:val="center"/>
            </w:pPr>
            <w:r>
              <w:rPr>
                <w:rFonts w:ascii="Calibri" w:hAnsi="Calibri"/>
                <w:color w:val="404040"/>
                <w:sz w:val="19"/>
              </w:rPr>
              <w:t>438</w:t>
            </w:r>
          </w:p>
        </w:tc>
        <w:tc>
          <w:tcPr>
            <w:tcW w:w="2880" w:type="dxa"/>
            <w:shd w:val="clear" w:color="auto" w:fill="EBF3FB"/>
          </w:tcPr>
          <w:p w14:paraId="6E479126">
            <w:pPr>
              <w:spacing w:after="0" w:line="240" w:lineRule="auto"/>
              <w:jc w:val="center"/>
            </w:pPr>
            <w:r>
              <w:rPr>
                <w:rFonts w:ascii="Calibri" w:hAnsi="Calibri"/>
                <w:color w:val="404040"/>
                <w:sz w:val="19"/>
              </w:rPr>
              <w:t>Loaded as string throughout</w:t>
            </w:r>
          </w:p>
        </w:tc>
      </w:tr>
      <w:tr w14:paraId="14C1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FFFFF"/>
          </w:tcPr>
          <w:p w14:paraId="52A6FFB7">
            <w:pPr>
              <w:spacing w:after="0" w:line="240" w:lineRule="auto"/>
            </w:pPr>
            <w:r>
              <w:rPr>
                <w:rFonts w:ascii="Calibri" w:hAnsi="Calibri"/>
                <w:color w:val="404040"/>
                <w:sz w:val="19"/>
              </w:rPr>
              <w:t>Discount = 0.8 rows</w:t>
            </w:r>
          </w:p>
        </w:tc>
        <w:tc>
          <w:tcPr>
            <w:tcW w:w="2160" w:type="dxa"/>
            <w:shd w:val="clear" w:color="auto" w:fill="FFFFFF"/>
          </w:tcPr>
          <w:p w14:paraId="6BAD0005">
            <w:pPr>
              <w:spacing w:after="0" w:line="240" w:lineRule="auto"/>
              <w:jc w:val="center"/>
            </w:pPr>
            <w:r>
              <w:rPr>
                <w:rFonts w:ascii="Calibri" w:hAnsi="Calibri"/>
                <w:color w:val="404040"/>
                <w:sz w:val="19"/>
              </w:rPr>
              <w:t>Present — anomaly</w:t>
            </w:r>
          </w:p>
        </w:tc>
        <w:tc>
          <w:tcPr>
            <w:tcW w:w="1728" w:type="dxa"/>
            <w:shd w:val="clear" w:color="auto" w:fill="FFFFFF"/>
          </w:tcPr>
          <w:p w14:paraId="66E6B946">
            <w:pPr>
              <w:spacing w:after="0" w:line="240" w:lineRule="auto"/>
              <w:jc w:val="center"/>
            </w:pPr>
            <w:r>
              <w:rPr>
                <w:rFonts w:ascii="Calibri" w:hAnsi="Calibri"/>
                <w:color w:val="404040"/>
                <w:sz w:val="19"/>
              </w:rPr>
              <w:t>300</w:t>
            </w:r>
          </w:p>
        </w:tc>
        <w:tc>
          <w:tcPr>
            <w:tcW w:w="2880" w:type="dxa"/>
            <w:shd w:val="clear" w:color="auto" w:fill="FFFFFF"/>
          </w:tcPr>
          <w:p w14:paraId="3C5E9D34">
            <w:pPr>
              <w:spacing w:after="0" w:line="240" w:lineRule="auto"/>
              <w:jc w:val="center"/>
            </w:pPr>
            <w:r>
              <w:rPr>
                <w:rFonts w:ascii="Calibri" w:hAnsi="Calibri"/>
                <w:color w:val="404040"/>
                <w:sz w:val="19"/>
              </w:rPr>
              <w:t>Retained; flagged in analysis</w:t>
            </w:r>
          </w:p>
        </w:tc>
      </w:tr>
      <w:tr w14:paraId="673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BF3FB"/>
          </w:tcPr>
          <w:p w14:paraId="64441B56">
            <w:pPr>
              <w:spacing w:after="0" w:line="240" w:lineRule="auto"/>
            </w:pPr>
            <w:r>
              <w:rPr>
                <w:rFonts w:ascii="Calibri" w:hAnsi="Calibri"/>
                <w:color w:val="404040"/>
                <w:sz w:val="19"/>
              </w:rPr>
              <w:t>'Sample Company A' records</w:t>
            </w:r>
          </w:p>
        </w:tc>
        <w:tc>
          <w:tcPr>
            <w:tcW w:w="2160" w:type="dxa"/>
            <w:shd w:val="clear" w:color="auto" w:fill="EBF3FB"/>
          </w:tcPr>
          <w:p w14:paraId="23D9AEC6">
            <w:pPr>
              <w:spacing w:after="0" w:line="240" w:lineRule="auto"/>
              <w:jc w:val="center"/>
            </w:pPr>
            <w:r>
              <w:rPr>
                <w:rFonts w:ascii="Calibri" w:hAnsi="Calibri"/>
                <w:color w:val="404040"/>
                <w:sz w:val="19"/>
              </w:rPr>
              <w:t>Present — test</w:t>
            </w:r>
          </w:p>
        </w:tc>
        <w:tc>
          <w:tcPr>
            <w:tcW w:w="1728" w:type="dxa"/>
            <w:shd w:val="clear" w:color="auto" w:fill="EBF3FB"/>
          </w:tcPr>
          <w:p w14:paraId="7112B76C">
            <w:pPr>
              <w:spacing w:after="0" w:line="240" w:lineRule="auto"/>
              <w:jc w:val="center"/>
            </w:pPr>
            <w:r>
              <w:rPr>
                <w:rFonts w:ascii="Calibri" w:hAnsi="Calibri"/>
                <w:color w:val="404040"/>
                <w:sz w:val="19"/>
              </w:rPr>
              <w:t>15</w:t>
            </w:r>
          </w:p>
        </w:tc>
        <w:tc>
          <w:tcPr>
            <w:tcW w:w="2880" w:type="dxa"/>
            <w:shd w:val="clear" w:color="auto" w:fill="EBF3FB"/>
          </w:tcPr>
          <w:p w14:paraId="76138DBC">
            <w:pPr>
              <w:spacing w:after="0" w:line="240" w:lineRule="auto"/>
              <w:jc w:val="center"/>
            </w:pPr>
            <w:r>
              <w:rPr>
                <w:rFonts w:ascii="Calibri" w:hAnsi="Calibri"/>
                <w:color w:val="404040"/>
                <w:sz w:val="19"/>
              </w:rPr>
              <w:t>Retained; flagged in report</w:t>
            </w:r>
          </w:p>
        </w:tc>
      </w:tr>
      <w:tr w14:paraId="398B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FFFFF"/>
          </w:tcPr>
          <w:p w14:paraId="6E51A2C3">
            <w:pPr>
              <w:spacing w:after="0" w:line="240" w:lineRule="auto"/>
            </w:pPr>
            <w:r>
              <w:rPr>
                <w:rFonts w:ascii="Calibri" w:hAnsi="Calibri"/>
                <w:color w:val="404040"/>
                <w:sz w:val="19"/>
              </w:rPr>
              <w:t>Unicode replacement chars</w:t>
            </w:r>
          </w:p>
        </w:tc>
        <w:tc>
          <w:tcPr>
            <w:tcW w:w="2160" w:type="dxa"/>
            <w:shd w:val="clear" w:color="auto" w:fill="FFFFFF"/>
          </w:tcPr>
          <w:p w14:paraId="4CDDF200">
            <w:pPr>
              <w:spacing w:after="0" w:line="240" w:lineRule="auto"/>
              <w:jc w:val="center"/>
            </w:pPr>
            <w:r>
              <w:rPr>
                <w:rFonts w:ascii="Calibri" w:hAnsi="Calibri"/>
                <w:color w:val="404040"/>
                <w:sz w:val="19"/>
              </w:rPr>
              <w:t>Present in names</w:t>
            </w:r>
          </w:p>
        </w:tc>
        <w:tc>
          <w:tcPr>
            <w:tcW w:w="1728" w:type="dxa"/>
            <w:shd w:val="clear" w:color="auto" w:fill="FFFFFF"/>
          </w:tcPr>
          <w:p w14:paraId="7999B7D9">
            <w:pPr>
              <w:spacing w:after="0" w:line="240" w:lineRule="auto"/>
              <w:jc w:val="center"/>
            </w:pPr>
            <w:r>
              <w:rPr>
                <w:rFonts w:ascii="Calibri" w:hAnsi="Calibri"/>
                <w:color w:val="404040"/>
                <w:sz w:val="19"/>
              </w:rPr>
              <w:t>Several product names</w:t>
            </w:r>
          </w:p>
        </w:tc>
        <w:tc>
          <w:tcPr>
            <w:tcW w:w="2880" w:type="dxa"/>
            <w:shd w:val="clear" w:color="auto" w:fill="FFFFFF"/>
          </w:tcPr>
          <w:p w14:paraId="192EF579">
            <w:pPr>
              <w:spacing w:after="0" w:line="240" w:lineRule="auto"/>
              <w:jc w:val="center"/>
            </w:pPr>
            <w:r>
              <w:rPr>
                <w:rFonts w:ascii="Calibri" w:hAnsi="Calibri"/>
                <w:color w:val="404040"/>
                <w:sz w:val="19"/>
              </w:rPr>
              <w:t>Documented; not corrected</w:t>
            </w:r>
          </w:p>
        </w:tc>
      </w:tr>
      <w:tr w14:paraId="487D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EBF3FB"/>
          </w:tcPr>
          <w:p w14:paraId="45B6A619">
            <w:pPr>
              <w:spacing w:after="0" w:line="240" w:lineRule="auto"/>
            </w:pPr>
            <w:r>
              <w:rPr>
                <w:rFonts w:ascii="Calibri" w:hAnsi="Calibri"/>
                <w:color w:val="404040"/>
                <w:sz w:val="19"/>
              </w:rPr>
              <w:t>Profit range</w:t>
            </w:r>
          </w:p>
        </w:tc>
        <w:tc>
          <w:tcPr>
            <w:tcW w:w="2160" w:type="dxa"/>
            <w:shd w:val="clear" w:color="auto" w:fill="EBF3FB"/>
          </w:tcPr>
          <w:p w14:paraId="0B0EEAF9">
            <w:pPr>
              <w:spacing w:after="0" w:line="240" w:lineRule="auto"/>
              <w:jc w:val="center"/>
            </w:pPr>
            <w:r>
              <w:rPr>
                <w:rFonts w:ascii="Calibri" w:hAnsi="Calibri"/>
                <w:color w:val="404040"/>
                <w:sz w:val="19"/>
              </w:rPr>
              <w:t>Valid — signed</w:t>
            </w:r>
          </w:p>
        </w:tc>
        <w:tc>
          <w:tcPr>
            <w:tcW w:w="1728" w:type="dxa"/>
            <w:shd w:val="clear" w:color="auto" w:fill="EBF3FB"/>
          </w:tcPr>
          <w:p w14:paraId="5658F66C">
            <w:pPr>
              <w:spacing w:after="0" w:line="240" w:lineRule="auto"/>
              <w:jc w:val="center"/>
            </w:pPr>
            <w:r>
              <w:rPr>
                <w:rFonts w:ascii="Calibri" w:hAnsi="Calibri"/>
                <w:color w:val="404040"/>
                <w:sz w:val="19"/>
              </w:rPr>
              <w:t>Min −$6,600 / Max $8,400</w:t>
            </w:r>
          </w:p>
        </w:tc>
        <w:tc>
          <w:tcPr>
            <w:tcW w:w="2880" w:type="dxa"/>
            <w:shd w:val="clear" w:color="auto" w:fill="EBF3FB"/>
          </w:tcPr>
          <w:p w14:paraId="2DF26E45">
            <w:pPr>
              <w:spacing w:after="0" w:line="240" w:lineRule="auto"/>
              <w:jc w:val="center"/>
            </w:pPr>
            <w:r>
              <w:rPr>
                <w:rFonts w:ascii="Calibri" w:hAnsi="Calibri"/>
                <w:color w:val="404040"/>
                <w:sz w:val="19"/>
              </w:rPr>
              <w:t>All values accepted</w:t>
            </w:r>
          </w:p>
        </w:tc>
      </w:tr>
      <w:tr w14:paraId="74E5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FFFFF"/>
          </w:tcPr>
          <w:p w14:paraId="7FD5374B">
            <w:pPr>
              <w:spacing w:after="0" w:line="240" w:lineRule="auto"/>
            </w:pPr>
            <w:r>
              <w:rPr>
                <w:rFonts w:ascii="Calibri" w:hAnsi="Calibri"/>
                <w:color w:val="404040"/>
                <w:sz w:val="19"/>
              </w:rPr>
              <w:t>Discount range</w:t>
            </w:r>
          </w:p>
        </w:tc>
        <w:tc>
          <w:tcPr>
            <w:tcW w:w="2160" w:type="dxa"/>
            <w:shd w:val="clear" w:color="auto" w:fill="FFFFFF"/>
          </w:tcPr>
          <w:p w14:paraId="31B72A70">
            <w:pPr>
              <w:spacing w:after="0" w:line="240" w:lineRule="auto"/>
              <w:jc w:val="center"/>
            </w:pPr>
            <w:r>
              <w:rPr>
                <w:rFonts w:ascii="Calibri" w:hAnsi="Calibri"/>
                <w:color w:val="404040"/>
                <w:sz w:val="19"/>
              </w:rPr>
              <w:t>Valid</w:t>
            </w:r>
          </w:p>
        </w:tc>
        <w:tc>
          <w:tcPr>
            <w:tcW w:w="1728" w:type="dxa"/>
            <w:shd w:val="clear" w:color="auto" w:fill="FFFFFF"/>
          </w:tcPr>
          <w:p w14:paraId="5AE3DDA2">
            <w:pPr>
              <w:spacing w:after="0" w:line="240" w:lineRule="auto"/>
              <w:jc w:val="center"/>
            </w:pPr>
            <w:r>
              <w:rPr>
                <w:rFonts w:ascii="Calibri" w:hAnsi="Calibri"/>
                <w:color w:val="404040"/>
                <w:sz w:val="19"/>
              </w:rPr>
              <w:t>0.0 to 0.8</w:t>
            </w:r>
          </w:p>
        </w:tc>
        <w:tc>
          <w:tcPr>
            <w:tcW w:w="2880" w:type="dxa"/>
            <w:shd w:val="clear" w:color="auto" w:fill="FFFFFF"/>
          </w:tcPr>
          <w:p w14:paraId="72BA6C9C">
            <w:pPr>
              <w:spacing w:after="0" w:line="240" w:lineRule="auto"/>
              <w:jc w:val="center"/>
            </w:pPr>
            <w:r>
              <w:rPr>
                <w:rFonts w:ascii="Calibri" w:hAnsi="Calibri"/>
                <w:color w:val="404040"/>
                <w:sz w:val="19"/>
              </w:rPr>
              <w:t>All values accepted</w:t>
            </w:r>
          </w:p>
        </w:tc>
      </w:tr>
    </w:tbl>
    <w:p w14:paraId="270257A9">
      <w:pPr>
        <w:spacing w:after="120"/>
      </w:pPr>
    </w:p>
    <w:p w14:paraId="1FE9ABEA">
      <w:pPr>
        <w:spacing w:before="240" w:after="80"/>
      </w:pPr>
      <w:r>
        <w:rPr>
          <w:rFonts w:ascii="Calibri" w:hAnsi="Calibri"/>
          <w:b/>
          <w:color w:val="2E75B6"/>
          <w:sz w:val="24"/>
        </w:rPr>
        <w:t>7.1 Key Findings</w:t>
      </w:r>
    </w:p>
    <w:p w14:paraId="6274E85A">
      <w:pPr>
        <w:pStyle w:val="23"/>
        <w:spacing w:before="20" w:after="40"/>
        <w:ind w:left="340"/>
      </w:pPr>
      <w:r>
        <w:rPr>
          <w:rFonts w:ascii="Calibri" w:hAnsi="Calibri"/>
          <w:color w:val="404040"/>
          <w:sz w:val="21"/>
        </w:rPr>
        <w:t>The dataset is complete — zero missing values across all 9,994 rows and 21 columns.</w:t>
      </w:r>
    </w:p>
    <w:p w14:paraId="3A02B550">
      <w:pPr>
        <w:pStyle w:val="23"/>
        <w:spacing w:before="20" w:after="40"/>
        <w:ind w:left="340"/>
      </w:pPr>
      <w:r>
        <w:rPr>
          <w:rFonts w:ascii="Calibri" w:hAnsi="Calibri"/>
          <w:color w:val="404040"/>
          <w:sz w:val="21"/>
        </w:rPr>
        <w:t>438 ZIP codes have fewer than 5 characters because leading zeros were stripped when the data was stored as an integer at source. Postal Code must be treated as a string to avoid geocoding errors.</w:t>
      </w:r>
    </w:p>
    <w:p w14:paraId="14F29821">
      <w:pPr>
        <w:pStyle w:val="23"/>
        <w:spacing w:before="20" w:after="40"/>
        <w:ind w:left="340"/>
      </w:pPr>
      <w:r>
        <w:rPr>
          <w:rFonts w:ascii="Calibri" w:hAnsi="Calibri"/>
          <w:color w:val="404040"/>
          <w:sz w:val="21"/>
        </w:rPr>
        <w:t>300 rows carry the maximum observed discount of 0.8 (80%). These are concentrated in Binders and Appliances within the Central region and produce negative profit in every instance.</w:t>
      </w:r>
    </w:p>
    <w:p w14:paraId="39C2EA34">
      <w:pPr>
        <w:pStyle w:val="23"/>
        <w:spacing w:before="20" w:after="40"/>
        <w:ind w:left="340"/>
      </w:pPr>
      <w:r>
        <w:rPr>
          <w:rFonts w:ascii="Calibri" w:hAnsi="Calibri"/>
          <w:color w:val="404040"/>
          <w:sz w:val="21"/>
        </w:rPr>
        <w:t>The date format is DD-MM-YYYY (European day-first ordering). Using default pandas parsing without format='%d-%m-%Y' would silently transpose months and days for any date where the day value is 12 or below, introducing systematic date errors across the entire dataset.</w:t>
      </w:r>
    </w:p>
    <w:p w14:paraId="059F99EC">
      <w:pPr>
        <w:spacing w:before="360" w:after="120"/>
      </w:pPr>
      <w:r>
        <w:rPr>
          <w:rFonts w:ascii="Calibri" w:hAnsi="Calibri"/>
          <w:b/>
          <w:color w:val="1F4E79"/>
          <w:sz w:val="30"/>
        </w:rPr>
        <w:t>8. Data Cleaning</w:t>
      </w:r>
    </w:p>
    <w:p w14:paraId="56E09BB8">
      <w:pPr>
        <w:pBdr>
          <w:bottom w:val="single" w:color="1F4E79" w:sz="8" w:space="1"/>
        </w:pBdr>
        <w:spacing w:after="40"/>
      </w:pPr>
    </w:p>
    <w:p w14:paraId="01C2C966">
      <w:pPr>
        <w:spacing w:before="40" w:after="100"/>
      </w:pPr>
      <w:r>
        <w:rPr>
          <w:rFonts w:ascii="Calibri" w:hAnsi="Calibri"/>
          <w:color w:val="404040"/>
          <w:sz w:val="21"/>
        </w:rPr>
        <w:t>Given that the dataset contained zero missing values and zero duplicate rows, the cleaning process focused on type corrections, date parsing, and the derivation of auxiliary columns needed for analysis and modelling.</w:t>
      </w:r>
    </w:p>
    <w:p w14:paraId="28B50295">
      <w:pPr>
        <w:spacing w:before="240" w:after="80"/>
      </w:pPr>
      <w:r>
        <w:rPr>
          <w:rFonts w:ascii="Calibri" w:hAnsi="Calibri"/>
          <w:b/>
          <w:color w:val="2E75B6"/>
          <w:sz w:val="24"/>
        </w:rPr>
        <w:t>8.1 Steps Applied</w:t>
      </w:r>
    </w:p>
    <w:p w14:paraId="4330CE45">
      <w:pPr>
        <w:pStyle w:val="23"/>
        <w:spacing w:before="20" w:after="40"/>
        <w:ind w:left="340"/>
      </w:pPr>
      <w:r>
        <w:rPr>
          <w:rFonts w:ascii="Calibri" w:hAnsi="Calibri"/>
          <w:color w:val="404040"/>
          <w:sz w:val="21"/>
        </w:rPr>
        <w:t>CSV loaded with encoding='latin-1' and dtype={'Postal Code': str} to preserve all characters and leading zeros.</w:t>
      </w:r>
    </w:p>
    <w:p w14:paraId="42660A21">
      <w:pPr>
        <w:pStyle w:val="23"/>
        <w:spacing w:before="20" w:after="40"/>
        <w:ind w:left="340"/>
      </w:pPr>
      <w:r>
        <w:rPr>
          <w:rFonts w:ascii="Calibri" w:hAnsi="Calibri"/>
          <w:color w:val="404040"/>
          <w:sz w:val="21"/>
        </w:rPr>
        <w:t>Order Date and Ship Date parsed using format='%d-%m-%Y' to correctly interpret DD-MM-YYYY.</w:t>
      </w:r>
    </w:p>
    <w:p w14:paraId="5F9F5E64">
      <w:pPr>
        <w:pStyle w:val="23"/>
        <w:spacing w:before="20" w:after="40"/>
        <w:ind w:left="340"/>
      </w:pPr>
      <w:r>
        <w:rPr>
          <w:rFonts w:ascii="Calibri" w:hAnsi="Calibri"/>
          <w:color w:val="404040"/>
          <w:sz w:val="21"/>
        </w:rPr>
        <w:t>Ship_Lag_Days computed as (Ship Date – Order Date).dt.days for use as a shipping speed feature.</w:t>
      </w:r>
    </w:p>
    <w:p w14:paraId="7FF50A53">
      <w:pPr>
        <w:pStyle w:val="23"/>
        <w:spacing w:before="20" w:after="40"/>
        <w:ind w:left="340"/>
      </w:pPr>
      <w:r>
        <w:rPr>
          <w:rFonts w:ascii="Calibri" w:hAnsi="Calibri"/>
          <w:color w:val="404040"/>
          <w:sz w:val="21"/>
        </w:rPr>
        <w:t>Order_Year, Order_Month, Order_Quarter, and Is_Q4 extracted from Order Date to capture temporal patterns.</w:t>
      </w:r>
    </w:p>
    <w:p w14:paraId="769A16D9">
      <w:pPr>
        <w:pStyle w:val="23"/>
        <w:spacing w:before="20" w:after="40"/>
        <w:ind w:left="340"/>
      </w:pPr>
      <w:r>
        <w:rPr>
          <w:rFonts w:ascii="Calibri" w:hAnsi="Calibri"/>
          <w:color w:val="404040"/>
          <w:sz w:val="21"/>
        </w:rPr>
        <w:t>Loss_Flag constructed as (Profit &lt; 0).astype(int) — the binary target variable.</w:t>
      </w:r>
    </w:p>
    <w:p w14:paraId="106B770D">
      <w:pPr>
        <w:pStyle w:val="23"/>
        <w:spacing w:before="20" w:after="40"/>
        <w:ind w:left="340"/>
      </w:pPr>
      <w:r>
        <w:rPr>
          <w:rFonts w:ascii="Calibri" w:hAnsi="Calibri"/>
          <w:color w:val="404040"/>
          <w:sz w:val="21"/>
        </w:rPr>
        <w:t>The 'Sample Company A' test records (15 rows) were retained in the dataset and flagged in documentation.</w:t>
      </w:r>
    </w:p>
    <w:p w14:paraId="05C2D6B6">
      <w:pPr>
        <w:pStyle w:val="23"/>
        <w:spacing w:before="20" w:after="40"/>
        <w:ind w:left="340"/>
      </w:pPr>
      <w:r>
        <w:rPr>
          <w:rFonts w:ascii="Calibri" w:hAnsi="Calibri"/>
          <w:color w:val="404040"/>
          <w:sz w:val="21"/>
        </w:rPr>
        <w:t>Negative profit values were retained unchanged — they are genuine business records, not errors.</w:t>
      </w:r>
    </w:p>
    <w:p w14:paraId="1EB3C54F">
      <w:pPr>
        <w:pStyle w:val="23"/>
        <w:spacing w:before="20" w:after="40"/>
        <w:ind w:left="340"/>
      </w:pPr>
      <w:r>
        <w:rPr>
          <w:rFonts w:ascii="Calibri" w:hAnsi="Calibri"/>
          <w:color w:val="404040"/>
          <w:sz w:val="21"/>
        </w:rPr>
        <w:t>The Discount_Bracket categorical variable was derived for diagnostic visualisation only.</w:t>
      </w:r>
    </w:p>
    <w:p w14:paraId="71A51C39">
      <w:pPr>
        <w:spacing w:before="40" w:after="100"/>
      </w:pPr>
      <w:r>
        <w:rPr>
          <w:rFonts w:ascii="Calibri" w:hAnsi="Calibri"/>
          <w:color w:val="404040"/>
          <w:sz w:val="21"/>
        </w:rPr>
        <w:t>No rows were dropped and no values were imputed or modified. The clean dataset contains 9,994 rows and 22 working columns (21 original + Ship_Lag_Days).</w:t>
      </w:r>
    </w:p>
    <w:p w14:paraId="66389D35">
      <w:r>
        <w:br w:type="page"/>
      </w:r>
    </w:p>
    <w:p w14:paraId="24F3E6AD">
      <w:pPr>
        <w:spacing w:before="360" w:after="120"/>
      </w:pPr>
      <w:r>
        <w:rPr>
          <w:rFonts w:ascii="Calibri" w:hAnsi="Calibri"/>
          <w:b/>
          <w:color w:val="1F4E79"/>
          <w:sz w:val="30"/>
        </w:rPr>
        <w:t>9. Feature Engineering</w:t>
      </w:r>
    </w:p>
    <w:p w14:paraId="3BE54E51">
      <w:pPr>
        <w:pBdr>
          <w:bottom w:val="single" w:color="1F4E79" w:sz="8" w:space="1"/>
        </w:pBdr>
        <w:spacing w:after="40"/>
      </w:pPr>
    </w:p>
    <w:p w14:paraId="66FA609A">
      <w:pPr>
        <w:spacing w:before="40" w:after="100"/>
      </w:pPr>
      <w:r>
        <w:rPr>
          <w:rFonts w:ascii="Calibri" w:hAnsi="Calibri"/>
          <w:color w:val="404040"/>
          <w:sz w:val="21"/>
        </w:rPr>
        <w:t>Feature engineering produced a final model-ready matrix of 34 features from the original 21 columns. Features were constructed in three groups: temporal features extracted from Order Date, a numerical shipping feature, and one-hot encoded categorical features. All identifiers, constants, and Profit-derived columns were explicitly excluded.</w:t>
      </w:r>
    </w:p>
    <w:p w14:paraId="2E58D25B">
      <w:pPr>
        <w:spacing w:before="240" w:after="80"/>
      </w:pPr>
      <w:r>
        <w:rPr>
          <w:rFonts w:ascii="Calibri" w:hAnsi="Calibri"/>
          <w:b/>
          <w:color w:val="2E75B6"/>
          <w:sz w:val="24"/>
        </w:rPr>
        <w:t>9.1 Feature Groups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320"/>
        <w:gridCol w:w="1008"/>
        <w:gridCol w:w="2160"/>
      </w:tblGrid>
      <w:tr w14:paraId="24AE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208AC1CE">
            <w:pPr>
              <w:spacing w:after="0" w:line="240" w:lineRule="auto"/>
              <w:jc w:val="center"/>
            </w:pPr>
            <w:r>
              <w:rPr>
                <w:rFonts w:ascii="Calibri" w:hAnsi="Calibri"/>
                <w:b/>
                <w:color w:val="FFFFFF"/>
                <w:sz w:val="19"/>
              </w:rPr>
              <w:t>Group</w:t>
            </w:r>
          </w:p>
        </w:tc>
        <w:tc>
          <w:tcPr>
            <w:tcW w:w="4320" w:type="dxa"/>
            <w:shd w:val="clear" w:color="auto" w:fill="1F4E79"/>
          </w:tcPr>
          <w:p w14:paraId="0639C006">
            <w:pPr>
              <w:spacing w:after="0" w:line="240" w:lineRule="auto"/>
              <w:jc w:val="center"/>
            </w:pPr>
            <w:r>
              <w:rPr>
                <w:rFonts w:ascii="Calibri" w:hAnsi="Calibri"/>
                <w:b/>
                <w:color w:val="FFFFFF"/>
                <w:sz w:val="19"/>
              </w:rPr>
              <w:t>Features</w:t>
            </w:r>
          </w:p>
        </w:tc>
        <w:tc>
          <w:tcPr>
            <w:tcW w:w="1008" w:type="dxa"/>
            <w:shd w:val="clear" w:color="auto" w:fill="1F4E79"/>
          </w:tcPr>
          <w:p w14:paraId="708864E4">
            <w:pPr>
              <w:spacing w:after="0" w:line="240" w:lineRule="auto"/>
              <w:jc w:val="center"/>
            </w:pPr>
            <w:r>
              <w:rPr>
                <w:rFonts w:ascii="Calibri" w:hAnsi="Calibri"/>
                <w:b/>
                <w:color w:val="FFFFFF"/>
                <w:sz w:val="19"/>
              </w:rPr>
              <w:t>Count</w:t>
            </w:r>
          </w:p>
        </w:tc>
        <w:tc>
          <w:tcPr>
            <w:tcW w:w="2160" w:type="dxa"/>
            <w:shd w:val="clear" w:color="auto" w:fill="1F4E79"/>
          </w:tcPr>
          <w:p w14:paraId="3B93804E">
            <w:pPr>
              <w:spacing w:after="0" w:line="240" w:lineRule="auto"/>
              <w:jc w:val="center"/>
            </w:pPr>
            <w:r>
              <w:rPr>
                <w:rFonts w:ascii="Calibri" w:hAnsi="Calibri"/>
                <w:b/>
                <w:color w:val="FFFFFF"/>
                <w:sz w:val="19"/>
              </w:rPr>
              <w:t>Method</w:t>
            </w:r>
          </w:p>
        </w:tc>
      </w:tr>
      <w:tr w14:paraId="5FF9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43113A4C">
            <w:pPr>
              <w:spacing w:after="0" w:line="240" w:lineRule="auto"/>
            </w:pPr>
            <w:r>
              <w:rPr>
                <w:rFonts w:ascii="Calibri" w:hAnsi="Calibri"/>
                <w:color w:val="404040"/>
                <w:sz w:val="19"/>
              </w:rPr>
              <w:t>Temporal</w:t>
            </w:r>
          </w:p>
        </w:tc>
        <w:tc>
          <w:tcPr>
            <w:tcW w:w="4320" w:type="dxa"/>
            <w:shd w:val="clear" w:color="auto" w:fill="EBF3FB"/>
          </w:tcPr>
          <w:p w14:paraId="06F64A35">
            <w:pPr>
              <w:spacing w:after="0" w:line="240" w:lineRule="auto"/>
              <w:jc w:val="center"/>
            </w:pPr>
            <w:r>
              <w:rPr>
                <w:rFonts w:ascii="Calibri" w:hAnsi="Calibri"/>
                <w:color w:val="404040"/>
                <w:sz w:val="19"/>
              </w:rPr>
              <w:t>Order_Year, Order_Month, Order_Quarter, Is_Q4</w:t>
            </w:r>
          </w:p>
        </w:tc>
        <w:tc>
          <w:tcPr>
            <w:tcW w:w="1008" w:type="dxa"/>
            <w:shd w:val="clear" w:color="auto" w:fill="EBF3FB"/>
          </w:tcPr>
          <w:p w14:paraId="31898981">
            <w:pPr>
              <w:spacing w:after="0" w:line="240" w:lineRule="auto"/>
              <w:jc w:val="center"/>
            </w:pPr>
            <w:r>
              <w:rPr>
                <w:rFonts w:ascii="Calibri" w:hAnsi="Calibri"/>
                <w:color w:val="404040"/>
                <w:sz w:val="19"/>
              </w:rPr>
              <w:t>4</w:t>
            </w:r>
          </w:p>
        </w:tc>
        <w:tc>
          <w:tcPr>
            <w:tcW w:w="2160" w:type="dxa"/>
            <w:shd w:val="clear" w:color="auto" w:fill="EBF3FB"/>
          </w:tcPr>
          <w:p w14:paraId="046CE0D3">
            <w:pPr>
              <w:spacing w:after="0" w:line="240" w:lineRule="auto"/>
              <w:jc w:val="center"/>
            </w:pPr>
            <w:r>
              <w:rPr>
                <w:rFonts w:ascii="Calibri" w:hAnsi="Calibri"/>
                <w:color w:val="404040"/>
                <w:sz w:val="19"/>
              </w:rPr>
              <w:t>Extracted from Order Date</w:t>
            </w:r>
          </w:p>
        </w:tc>
      </w:tr>
      <w:tr w14:paraId="048F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09478CC2">
            <w:pPr>
              <w:spacing w:after="0" w:line="240" w:lineRule="auto"/>
            </w:pPr>
            <w:r>
              <w:rPr>
                <w:rFonts w:ascii="Calibri" w:hAnsi="Calibri"/>
                <w:color w:val="404040"/>
                <w:sz w:val="19"/>
              </w:rPr>
              <w:t>Shipping</w:t>
            </w:r>
          </w:p>
        </w:tc>
        <w:tc>
          <w:tcPr>
            <w:tcW w:w="4320" w:type="dxa"/>
            <w:shd w:val="clear" w:color="auto" w:fill="FFFFFF"/>
          </w:tcPr>
          <w:p w14:paraId="18EFAB05">
            <w:pPr>
              <w:spacing w:after="0" w:line="240" w:lineRule="auto"/>
              <w:jc w:val="center"/>
            </w:pPr>
            <w:r>
              <w:rPr>
                <w:rFonts w:ascii="Calibri" w:hAnsi="Calibri"/>
                <w:color w:val="404040"/>
                <w:sz w:val="19"/>
              </w:rPr>
              <w:t>Ship_Lag_Days</w:t>
            </w:r>
          </w:p>
        </w:tc>
        <w:tc>
          <w:tcPr>
            <w:tcW w:w="1008" w:type="dxa"/>
            <w:shd w:val="clear" w:color="auto" w:fill="FFFFFF"/>
          </w:tcPr>
          <w:p w14:paraId="3D80AFAA">
            <w:pPr>
              <w:spacing w:after="0" w:line="240" w:lineRule="auto"/>
              <w:jc w:val="center"/>
            </w:pPr>
            <w:r>
              <w:rPr>
                <w:rFonts w:ascii="Calibri" w:hAnsi="Calibri"/>
                <w:color w:val="404040"/>
                <w:sz w:val="19"/>
              </w:rPr>
              <w:t>1</w:t>
            </w:r>
          </w:p>
        </w:tc>
        <w:tc>
          <w:tcPr>
            <w:tcW w:w="2160" w:type="dxa"/>
            <w:shd w:val="clear" w:color="auto" w:fill="FFFFFF"/>
          </w:tcPr>
          <w:p w14:paraId="0CDFE63A">
            <w:pPr>
              <w:spacing w:after="0" w:line="240" w:lineRule="auto"/>
              <w:jc w:val="center"/>
            </w:pPr>
            <w:r>
              <w:rPr>
                <w:rFonts w:ascii="Calibri" w:hAnsi="Calibri"/>
                <w:color w:val="404040"/>
                <w:sz w:val="19"/>
              </w:rPr>
              <w:t>Ship Date − Order Date</w:t>
            </w:r>
          </w:p>
        </w:tc>
      </w:tr>
      <w:tr w14:paraId="2B22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20A67E8D">
            <w:pPr>
              <w:spacing w:after="0" w:line="240" w:lineRule="auto"/>
            </w:pPr>
            <w:r>
              <w:rPr>
                <w:rFonts w:ascii="Calibri" w:hAnsi="Calibri"/>
                <w:color w:val="404040"/>
                <w:sz w:val="19"/>
              </w:rPr>
              <w:t>Numerical</w:t>
            </w:r>
          </w:p>
        </w:tc>
        <w:tc>
          <w:tcPr>
            <w:tcW w:w="4320" w:type="dxa"/>
            <w:shd w:val="clear" w:color="auto" w:fill="EBF3FB"/>
          </w:tcPr>
          <w:p w14:paraId="2E51B393">
            <w:pPr>
              <w:spacing w:after="0" w:line="240" w:lineRule="auto"/>
              <w:jc w:val="center"/>
            </w:pPr>
            <w:r>
              <w:rPr>
                <w:rFonts w:ascii="Calibri" w:hAnsi="Calibri"/>
                <w:color w:val="404040"/>
                <w:sz w:val="19"/>
              </w:rPr>
              <w:t>Sales, Quantity, Discount</w:t>
            </w:r>
          </w:p>
        </w:tc>
        <w:tc>
          <w:tcPr>
            <w:tcW w:w="1008" w:type="dxa"/>
            <w:shd w:val="clear" w:color="auto" w:fill="EBF3FB"/>
          </w:tcPr>
          <w:p w14:paraId="0F62EBC4">
            <w:pPr>
              <w:spacing w:after="0" w:line="240" w:lineRule="auto"/>
              <w:jc w:val="center"/>
            </w:pPr>
            <w:r>
              <w:rPr>
                <w:rFonts w:ascii="Calibri" w:hAnsi="Calibri"/>
                <w:color w:val="404040"/>
                <w:sz w:val="19"/>
              </w:rPr>
              <w:t>3</w:t>
            </w:r>
          </w:p>
        </w:tc>
        <w:tc>
          <w:tcPr>
            <w:tcW w:w="2160" w:type="dxa"/>
            <w:shd w:val="clear" w:color="auto" w:fill="EBF3FB"/>
          </w:tcPr>
          <w:p w14:paraId="60FB7E1E">
            <w:pPr>
              <w:spacing w:after="0" w:line="240" w:lineRule="auto"/>
              <w:jc w:val="center"/>
            </w:pPr>
            <w:r>
              <w:rPr>
                <w:rFonts w:ascii="Calibri" w:hAnsi="Calibri"/>
                <w:color w:val="404040"/>
                <w:sz w:val="19"/>
              </w:rPr>
              <w:t>Pass-through from original</w:t>
            </w:r>
          </w:p>
        </w:tc>
      </w:tr>
      <w:tr w14:paraId="7799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56A8EE57">
            <w:pPr>
              <w:spacing w:after="0" w:line="240" w:lineRule="auto"/>
            </w:pPr>
            <w:r>
              <w:rPr>
                <w:rFonts w:ascii="Calibri" w:hAnsi="Calibri"/>
                <w:color w:val="404040"/>
                <w:sz w:val="19"/>
              </w:rPr>
              <w:t>Ship Mode</w:t>
            </w:r>
          </w:p>
        </w:tc>
        <w:tc>
          <w:tcPr>
            <w:tcW w:w="4320" w:type="dxa"/>
            <w:shd w:val="clear" w:color="auto" w:fill="FFFFFF"/>
          </w:tcPr>
          <w:p w14:paraId="29CC65A9">
            <w:pPr>
              <w:spacing w:after="0" w:line="240" w:lineRule="auto"/>
              <w:jc w:val="center"/>
            </w:pPr>
            <w:r>
              <w:rPr>
                <w:rFonts w:ascii="Calibri" w:hAnsi="Calibri"/>
                <w:color w:val="404040"/>
                <w:sz w:val="19"/>
              </w:rPr>
              <w:t>Ship Mode_Same Day/Second Class/Standard Class</w:t>
            </w:r>
          </w:p>
        </w:tc>
        <w:tc>
          <w:tcPr>
            <w:tcW w:w="1008" w:type="dxa"/>
            <w:shd w:val="clear" w:color="auto" w:fill="FFFFFF"/>
          </w:tcPr>
          <w:p w14:paraId="2164C702">
            <w:pPr>
              <w:spacing w:after="0" w:line="240" w:lineRule="auto"/>
              <w:jc w:val="center"/>
            </w:pPr>
            <w:r>
              <w:rPr>
                <w:rFonts w:ascii="Calibri" w:hAnsi="Calibri"/>
                <w:color w:val="404040"/>
                <w:sz w:val="19"/>
              </w:rPr>
              <w:t>3</w:t>
            </w:r>
          </w:p>
        </w:tc>
        <w:tc>
          <w:tcPr>
            <w:tcW w:w="2160" w:type="dxa"/>
            <w:shd w:val="clear" w:color="auto" w:fill="FFFFFF"/>
          </w:tcPr>
          <w:p w14:paraId="32335D90">
            <w:pPr>
              <w:spacing w:after="0" w:line="240" w:lineRule="auto"/>
              <w:jc w:val="center"/>
            </w:pPr>
            <w:r>
              <w:rPr>
                <w:rFonts w:ascii="Calibri" w:hAnsi="Calibri"/>
                <w:color w:val="404040"/>
                <w:sz w:val="19"/>
              </w:rPr>
              <w:t>One-hot, drop_first=True</w:t>
            </w:r>
          </w:p>
        </w:tc>
      </w:tr>
      <w:tr w14:paraId="136D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47CF53EA">
            <w:pPr>
              <w:spacing w:after="0" w:line="240" w:lineRule="auto"/>
            </w:pPr>
            <w:r>
              <w:rPr>
                <w:rFonts w:ascii="Calibri" w:hAnsi="Calibri"/>
                <w:color w:val="404040"/>
                <w:sz w:val="19"/>
              </w:rPr>
              <w:t>Segment</w:t>
            </w:r>
          </w:p>
        </w:tc>
        <w:tc>
          <w:tcPr>
            <w:tcW w:w="4320" w:type="dxa"/>
            <w:shd w:val="clear" w:color="auto" w:fill="EBF3FB"/>
          </w:tcPr>
          <w:p w14:paraId="77D31571">
            <w:pPr>
              <w:spacing w:after="0" w:line="240" w:lineRule="auto"/>
              <w:jc w:val="center"/>
            </w:pPr>
            <w:r>
              <w:rPr>
                <w:rFonts w:ascii="Calibri" w:hAnsi="Calibri"/>
                <w:color w:val="404040"/>
                <w:sz w:val="19"/>
              </w:rPr>
              <w:t>Segment_Corporate, Segment_Home Office</w:t>
            </w:r>
          </w:p>
        </w:tc>
        <w:tc>
          <w:tcPr>
            <w:tcW w:w="1008" w:type="dxa"/>
            <w:shd w:val="clear" w:color="auto" w:fill="EBF3FB"/>
          </w:tcPr>
          <w:p w14:paraId="77EA7D4B">
            <w:pPr>
              <w:spacing w:after="0" w:line="240" w:lineRule="auto"/>
              <w:jc w:val="center"/>
            </w:pPr>
            <w:r>
              <w:rPr>
                <w:rFonts w:ascii="Calibri" w:hAnsi="Calibri"/>
                <w:color w:val="404040"/>
                <w:sz w:val="19"/>
              </w:rPr>
              <w:t>2</w:t>
            </w:r>
          </w:p>
        </w:tc>
        <w:tc>
          <w:tcPr>
            <w:tcW w:w="2160" w:type="dxa"/>
            <w:shd w:val="clear" w:color="auto" w:fill="EBF3FB"/>
          </w:tcPr>
          <w:p w14:paraId="79D5A027">
            <w:pPr>
              <w:spacing w:after="0" w:line="240" w:lineRule="auto"/>
              <w:jc w:val="center"/>
            </w:pPr>
            <w:r>
              <w:rPr>
                <w:rFonts w:ascii="Calibri" w:hAnsi="Calibri"/>
                <w:color w:val="404040"/>
                <w:sz w:val="19"/>
              </w:rPr>
              <w:t>One-hot, drop_first=True</w:t>
            </w:r>
          </w:p>
        </w:tc>
      </w:tr>
      <w:tr w14:paraId="0F71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7A2C454B">
            <w:pPr>
              <w:spacing w:after="0" w:line="240" w:lineRule="auto"/>
            </w:pPr>
            <w:r>
              <w:rPr>
                <w:rFonts w:ascii="Calibri" w:hAnsi="Calibri"/>
                <w:color w:val="404040"/>
                <w:sz w:val="19"/>
              </w:rPr>
              <w:t>Region</w:t>
            </w:r>
          </w:p>
        </w:tc>
        <w:tc>
          <w:tcPr>
            <w:tcW w:w="4320" w:type="dxa"/>
            <w:shd w:val="clear" w:color="auto" w:fill="FFFFFF"/>
          </w:tcPr>
          <w:p w14:paraId="0F6B4C94">
            <w:pPr>
              <w:spacing w:after="0" w:line="240" w:lineRule="auto"/>
              <w:jc w:val="center"/>
            </w:pPr>
            <w:r>
              <w:rPr>
                <w:rFonts w:ascii="Calibri" w:hAnsi="Calibri"/>
                <w:color w:val="404040"/>
                <w:sz w:val="19"/>
              </w:rPr>
              <w:t>Region_East, Region_South, Region_West</w:t>
            </w:r>
          </w:p>
        </w:tc>
        <w:tc>
          <w:tcPr>
            <w:tcW w:w="1008" w:type="dxa"/>
            <w:shd w:val="clear" w:color="auto" w:fill="FFFFFF"/>
          </w:tcPr>
          <w:p w14:paraId="226586D6">
            <w:pPr>
              <w:spacing w:after="0" w:line="240" w:lineRule="auto"/>
              <w:jc w:val="center"/>
            </w:pPr>
            <w:r>
              <w:rPr>
                <w:rFonts w:ascii="Calibri" w:hAnsi="Calibri"/>
                <w:color w:val="404040"/>
                <w:sz w:val="19"/>
              </w:rPr>
              <w:t>3</w:t>
            </w:r>
          </w:p>
        </w:tc>
        <w:tc>
          <w:tcPr>
            <w:tcW w:w="2160" w:type="dxa"/>
            <w:shd w:val="clear" w:color="auto" w:fill="FFFFFF"/>
          </w:tcPr>
          <w:p w14:paraId="2BF274A5">
            <w:pPr>
              <w:spacing w:after="0" w:line="240" w:lineRule="auto"/>
              <w:jc w:val="center"/>
            </w:pPr>
            <w:r>
              <w:rPr>
                <w:rFonts w:ascii="Calibri" w:hAnsi="Calibri"/>
                <w:color w:val="404040"/>
                <w:sz w:val="19"/>
              </w:rPr>
              <w:t>One-hot, drop_first=True</w:t>
            </w:r>
          </w:p>
        </w:tc>
      </w:tr>
      <w:tr w14:paraId="12C5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144337C5">
            <w:pPr>
              <w:spacing w:after="0" w:line="240" w:lineRule="auto"/>
            </w:pPr>
            <w:r>
              <w:rPr>
                <w:rFonts w:ascii="Calibri" w:hAnsi="Calibri"/>
                <w:color w:val="404040"/>
                <w:sz w:val="19"/>
              </w:rPr>
              <w:t>Category</w:t>
            </w:r>
          </w:p>
        </w:tc>
        <w:tc>
          <w:tcPr>
            <w:tcW w:w="4320" w:type="dxa"/>
            <w:shd w:val="clear" w:color="auto" w:fill="EBF3FB"/>
          </w:tcPr>
          <w:p w14:paraId="71BF2F8B">
            <w:pPr>
              <w:spacing w:after="0" w:line="240" w:lineRule="auto"/>
              <w:jc w:val="center"/>
            </w:pPr>
            <w:r>
              <w:rPr>
                <w:rFonts w:ascii="Calibri" w:hAnsi="Calibri"/>
                <w:color w:val="404040"/>
                <w:sz w:val="19"/>
              </w:rPr>
              <w:t>Category_Office Supplies, Category_Technology</w:t>
            </w:r>
          </w:p>
        </w:tc>
        <w:tc>
          <w:tcPr>
            <w:tcW w:w="1008" w:type="dxa"/>
            <w:shd w:val="clear" w:color="auto" w:fill="EBF3FB"/>
          </w:tcPr>
          <w:p w14:paraId="4E8FE36D">
            <w:pPr>
              <w:spacing w:after="0" w:line="240" w:lineRule="auto"/>
              <w:jc w:val="center"/>
            </w:pPr>
            <w:r>
              <w:rPr>
                <w:rFonts w:ascii="Calibri" w:hAnsi="Calibri"/>
                <w:color w:val="404040"/>
                <w:sz w:val="19"/>
              </w:rPr>
              <w:t>2</w:t>
            </w:r>
          </w:p>
        </w:tc>
        <w:tc>
          <w:tcPr>
            <w:tcW w:w="2160" w:type="dxa"/>
            <w:shd w:val="clear" w:color="auto" w:fill="EBF3FB"/>
          </w:tcPr>
          <w:p w14:paraId="0114B73A">
            <w:pPr>
              <w:spacing w:after="0" w:line="240" w:lineRule="auto"/>
              <w:jc w:val="center"/>
            </w:pPr>
            <w:r>
              <w:rPr>
                <w:rFonts w:ascii="Calibri" w:hAnsi="Calibri"/>
                <w:color w:val="404040"/>
                <w:sz w:val="19"/>
              </w:rPr>
              <w:t>One-hot, drop_first=True</w:t>
            </w:r>
          </w:p>
        </w:tc>
      </w:tr>
      <w:tr w14:paraId="7B89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49189252">
            <w:pPr>
              <w:spacing w:after="0" w:line="240" w:lineRule="auto"/>
            </w:pPr>
            <w:r>
              <w:rPr>
                <w:rFonts w:ascii="Calibri" w:hAnsi="Calibri"/>
                <w:color w:val="404040"/>
                <w:sz w:val="19"/>
              </w:rPr>
              <w:t>Sub-Category</w:t>
            </w:r>
          </w:p>
        </w:tc>
        <w:tc>
          <w:tcPr>
            <w:tcW w:w="4320" w:type="dxa"/>
            <w:shd w:val="clear" w:color="auto" w:fill="FFFFFF"/>
          </w:tcPr>
          <w:p w14:paraId="4EB234B5">
            <w:pPr>
              <w:spacing w:after="0" w:line="240" w:lineRule="auto"/>
              <w:jc w:val="center"/>
            </w:pPr>
            <w:r>
              <w:rPr>
                <w:rFonts w:ascii="Calibri" w:hAnsi="Calibri"/>
                <w:color w:val="404040"/>
                <w:sz w:val="19"/>
              </w:rPr>
              <w:t>Sub-Category_Appliances through Sub-Category_Tables</w:t>
            </w:r>
          </w:p>
        </w:tc>
        <w:tc>
          <w:tcPr>
            <w:tcW w:w="1008" w:type="dxa"/>
            <w:shd w:val="clear" w:color="auto" w:fill="FFFFFF"/>
          </w:tcPr>
          <w:p w14:paraId="259CEEE7">
            <w:pPr>
              <w:spacing w:after="0" w:line="240" w:lineRule="auto"/>
              <w:jc w:val="center"/>
            </w:pPr>
            <w:r>
              <w:rPr>
                <w:rFonts w:ascii="Calibri" w:hAnsi="Calibri"/>
                <w:color w:val="404040"/>
                <w:sz w:val="19"/>
              </w:rPr>
              <w:t>16</w:t>
            </w:r>
          </w:p>
        </w:tc>
        <w:tc>
          <w:tcPr>
            <w:tcW w:w="2160" w:type="dxa"/>
            <w:shd w:val="clear" w:color="auto" w:fill="FFFFFF"/>
          </w:tcPr>
          <w:p w14:paraId="1085E405">
            <w:pPr>
              <w:spacing w:after="0" w:line="240" w:lineRule="auto"/>
              <w:jc w:val="center"/>
            </w:pPr>
            <w:r>
              <w:rPr>
                <w:rFonts w:ascii="Calibri" w:hAnsi="Calibri"/>
                <w:color w:val="404040"/>
                <w:sz w:val="19"/>
              </w:rPr>
              <w:t>One-hot, drop_first=True</w:t>
            </w:r>
          </w:p>
        </w:tc>
      </w:tr>
      <w:tr w14:paraId="3AA1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5D80AE68">
            <w:pPr>
              <w:spacing w:after="0" w:line="240" w:lineRule="auto"/>
            </w:pPr>
            <w:r>
              <w:rPr>
                <w:rFonts w:ascii="Calibri" w:hAnsi="Calibri"/>
                <w:color w:val="404040"/>
                <w:sz w:val="19"/>
              </w:rPr>
              <w:t>Total</w:t>
            </w:r>
          </w:p>
        </w:tc>
        <w:tc>
          <w:tcPr>
            <w:tcW w:w="4320" w:type="dxa"/>
            <w:shd w:val="clear" w:color="auto" w:fill="EBF3FB"/>
          </w:tcPr>
          <w:p w14:paraId="2CAFB61B">
            <w:pPr>
              <w:spacing w:after="0" w:line="240" w:lineRule="auto"/>
              <w:jc w:val="center"/>
            </w:pPr>
          </w:p>
        </w:tc>
        <w:tc>
          <w:tcPr>
            <w:tcW w:w="1008" w:type="dxa"/>
            <w:shd w:val="clear" w:color="auto" w:fill="EBF3FB"/>
          </w:tcPr>
          <w:p w14:paraId="6BE9F9FB">
            <w:pPr>
              <w:spacing w:after="0" w:line="240" w:lineRule="auto"/>
              <w:jc w:val="center"/>
            </w:pPr>
            <w:r>
              <w:rPr>
                <w:rFonts w:ascii="Calibri" w:hAnsi="Calibri"/>
                <w:color w:val="404040"/>
                <w:sz w:val="19"/>
              </w:rPr>
              <w:t>34</w:t>
            </w:r>
          </w:p>
        </w:tc>
        <w:tc>
          <w:tcPr>
            <w:tcW w:w="2160" w:type="dxa"/>
            <w:shd w:val="clear" w:color="auto" w:fill="EBF3FB"/>
          </w:tcPr>
          <w:p w14:paraId="0A27F9AA">
            <w:pPr>
              <w:spacing w:after="0" w:line="240" w:lineRule="auto"/>
              <w:jc w:val="center"/>
            </w:pPr>
          </w:p>
        </w:tc>
      </w:tr>
    </w:tbl>
    <w:p w14:paraId="64F9738E">
      <w:pPr>
        <w:spacing w:after="120"/>
      </w:pPr>
    </w:p>
    <w:p w14:paraId="50D2F683">
      <w:pPr>
        <w:spacing w:before="240" w:after="80"/>
      </w:pPr>
      <w:r>
        <w:rPr>
          <w:rFonts w:ascii="Calibri" w:hAnsi="Calibri"/>
          <w:b/>
          <w:color w:val="2E75B6"/>
          <w:sz w:val="24"/>
        </w:rPr>
        <w:t>9.2 Excluded Columns and Justification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200"/>
      </w:tblGrid>
      <w:tr w14:paraId="49C2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4847D6F5">
            <w:pPr>
              <w:spacing w:after="0" w:line="240" w:lineRule="auto"/>
              <w:jc w:val="center"/>
            </w:pPr>
            <w:r>
              <w:rPr>
                <w:rFonts w:ascii="Calibri" w:hAnsi="Calibri"/>
                <w:b/>
                <w:color w:val="FFFFFF"/>
                <w:sz w:val="19"/>
              </w:rPr>
              <w:t>Column</w:t>
            </w:r>
          </w:p>
        </w:tc>
        <w:tc>
          <w:tcPr>
            <w:tcW w:w="7200" w:type="dxa"/>
            <w:shd w:val="clear" w:color="auto" w:fill="1F4E79"/>
          </w:tcPr>
          <w:p w14:paraId="070E46E8">
            <w:pPr>
              <w:spacing w:after="0" w:line="240" w:lineRule="auto"/>
              <w:jc w:val="center"/>
            </w:pPr>
            <w:r>
              <w:rPr>
                <w:rFonts w:ascii="Calibri" w:hAnsi="Calibri"/>
                <w:b/>
                <w:color w:val="FFFFFF"/>
                <w:sz w:val="19"/>
              </w:rPr>
              <w:t>Exclusion Reason</w:t>
            </w:r>
          </w:p>
        </w:tc>
      </w:tr>
      <w:tr w14:paraId="6D22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5246140E">
            <w:pPr>
              <w:spacing w:after="0" w:line="240" w:lineRule="auto"/>
            </w:pPr>
            <w:r>
              <w:rPr>
                <w:rFonts w:ascii="Calibri" w:hAnsi="Calibri"/>
                <w:color w:val="404040"/>
                <w:sz w:val="19"/>
              </w:rPr>
              <w:t>Profit</w:t>
            </w:r>
          </w:p>
        </w:tc>
        <w:tc>
          <w:tcPr>
            <w:tcW w:w="7200" w:type="dxa"/>
            <w:shd w:val="clear" w:color="auto" w:fill="EBF3FB"/>
          </w:tcPr>
          <w:p w14:paraId="657C5053">
            <w:pPr>
              <w:spacing w:after="0" w:line="240" w:lineRule="auto"/>
              <w:jc w:val="center"/>
            </w:pPr>
            <w:r>
              <w:rPr>
                <w:rFonts w:ascii="Calibri" w:hAnsi="Calibri"/>
                <w:color w:val="404040"/>
                <w:sz w:val="19"/>
              </w:rPr>
              <w:t>PRIMARY LEAKAGE — Loss_Flag is defined as Profit &lt; 0. Any model with Profit in X would see the answer.</w:t>
            </w:r>
          </w:p>
        </w:tc>
      </w:tr>
      <w:tr w14:paraId="47F3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5BF9DEE4">
            <w:pPr>
              <w:spacing w:after="0" w:line="240" w:lineRule="auto"/>
            </w:pPr>
            <w:r>
              <w:rPr>
                <w:rFonts w:ascii="Calibri" w:hAnsi="Calibri"/>
                <w:color w:val="404040"/>
                <w:sz w:val="19"/>
              </w:rPr>
              <w:t>Loss_Flag</w:t>
            </w:r>
          </w:p>
        </w:tc>
        <w:tc>
          <w:tcPr>
            <w:tcW w:w="7200" w:type="dxa"/>
            <w:shd w:val="clear" w:color="auto" w:fill="FFFFFF"/>
          </w:tcPr>
          <w:p w14:paraId="1BE8AAF8">
            <w:pPr>
              <w:spacing w:after="0" w:line="240" w:lineRule="auto"/>
              <w:jc w:val="center"/>
            </w:pPr>
            <w:r>
              <w:rPr>
                <w:rFonts w:ascii="Calibri" w:hAnsi="Calibri"/>
                <w:color w:val="404040"/>
                <w:sz w:val="19"/>
              </w:rPr>
              <w:t>TARGET VARIABLE — this is y, not a predictor.</w:t>
            </w:r>
          </w:p>
        </w:tc>
      </w:tr>
      <w:tr w14:paraId="5355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6B3173B2">
            <w:pPr>
              <w:spacing w:after="0" w:line="240" w:lineRule="auto"/>
            </w:pPr>
            <w:r>
              <w:rPr>
                <w:rFonts w:ascii="Calibri" w:hAnsi="Calibri"/>
                <w:color w:val="404040"/>
                <w:sz w:val="19"/>
              </w:rPr>
              <w:t>Profit Margin</w:t>
            </w:r>
          </w:p>
        </w:tc>
        <w:tc>
          <w:tcPr>
            <w:tcW w:w="7200" w:type="dxa"/>
            <w:shd w:val="clear" w:color="auto" w:fill="EBF3FB"/>
          </w:tcPr>
          <w:p w14:paraId="633069C0">
            <w:pPr>
              <w:spacing w:after="0" w:line="240" w:lineRule="auto"/>
              <w:jc w:val="center"/>
            </w:pPr>
            <w:r>
              <w:rPr>
                <w:rFonts w:ascii="Calibri" w:hAnsi="Calibri"/>
                <w:color w:val="404040"/>
                <w:sz w:val="19"/>
              </w:rPr>
              <w:t>DERIVED LEAKAGE — mathematically equivalent to Profit/Sales. Never computed.</w:t>
            </w:r>
          </w:p>
        </w:tc>
      </w:tr>
      <w:tr w14:paraId="556FA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1DEA94F1">
            <w:pPr>
              <w:spacing w:after="0" w:line="240" w:lineRule="auto"/>
            </w:pPr>
            <w:r>
              <w:rPr>
                <w:rFonts w:ascii="Calibri" w:hAnsi="Calibri"/>
                <w:color w:val="404040"/>
                <w:sz w:val="19"/>
              </w:rPr>
              <w:t>Row ID</w:t>
            </w:r>
          </w:p>
        </w:tc>
        <w:tc>
          <w:tcPr>
            <w:tcW w:w="7200" w:type="dxa"/>
            <w:shd w:val="clear" w:color="auto" w:fill="FFFFFF"/>
          </w:tcPr>
          <w:p w14:paraId="4B60A390">
            <w:pPr>
              <w:spacing w:after="0" w:line="240" w:lineRule="auto"/>
              <w:jc w:val="center"/>
            </w:pPr>
            <w:r>
              <w:rPr>
                <w:rFonts w:ascii="Calibri" w:hAnsi="Calibri"/>
                <w:color w:val="404040"/>
                <w:sz w:val="19"/>
              </w:rPr>
              <w:t>Arbitrary sequential integer with no predictive signal.</w:t>
            </w:r>
          </w:p>
        </w:tc>
      </w:tr>
      <w:tr w14:paraId="5866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3744F929">
            <w:pPr>
              <w:spacing w:after="0" w:line="240" w:lineRule="auto"/>
            </w:pPr>
            <w:r>
              <w:rPr>
                <w:rFonts w:ascii="Calibri" w:hAnsi="Calibri"/>
                <w:color w:val="404040"/>
                <w:sz w:val="19"/>
              </w:rPr>
              <w:t>Order ID</w:t>
            </w:r>
          </w:p>
        </w:tc>
        <w:tc>
          <w:tcPr>
            <w:tcW w:w="7200" w:type="dxa"/>
            <w:shd w:val="clear" w:color="auto" w:fill="EBF3FB"/>
          </w:tcPr>
          <w:p w14:paraId="6C176412">
            <w:pPr>
              <w:spacing w:after="0" w:line="240" w:lineRule="auto"/>
              <w:jc w:val="center"/>
            </w:pPr>
            <w:r>
              <w:rPr>
                <w:rFonts w:ascii="Calibri" w:hAnsi="Calibri"/>
                <w:color w:val="404040"/>
                <w:sz w:val="19"/>
              </w:rPr>
              <w:t>Identifier. Year embedded in prefix already captured by Order_Year.</w:t>
            </w:r>
          </w:p>
        </w:tc>
      </w:tr>
      <w:tr w14:paraId="4981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0277C46A">
            <w:pPr>
              <w:spacing w:after="0" w:line="240" w:lineRule="auto"/>
            </w:pPr>
            <w:r>
              <w:rPr>
                <w:rFonts w:ascii="Calibri" w:hAnsi="Calibri"/>
                <w:color w:val="404040"/>
                <w:sz w:val="19"/>
              </w:rPr>
              <w:t>Customer ID</w:t>
            </w:r>
          </w:p>
        </w:tc>
        <w:tc>
          <w:tcPr>
            <w:tcW w:w="7200" w:type="dxa"/>
            <w:shd w:val="clear" w:color="auto" w:fill="FFFFFF"/>
          </w:tcPr>
          <w:p w14:paraId="47B6C3C4">
            <w:pPr>
              <w:spacing w:after="0" w:line="240" w:lineRule="auto"/>
              <w:jc w:val="center"/>
            </w:pPr>
            <w:r>
              <w:rPr>
                <w:rFonts w:ascii="Calibri" w:hAnsi="Calibri"/>
                <w:color w:val="404040"/>
                <w:sz w:val="19"/>
              </w:rPr>
              <w:t>High-cardinality identifier. Without customer history aggregation, no generalising signal.</w:t>
            </w:r>
          </w:p>
        </w:tc>
      </w:tr>
      <w:tr w14:paraId="2D9E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75A7F1CF">
            <w:pPr>
              <w:spacing w:after="0" w:line="240" w:lineRule="auto"/>
            </w:pPr>
            <w:r>
              <w:rPr>
                <w:rFonts w:ascii="Calibri" w:hAnsi="Calibri"/>
                <w:color w:val="404040"/>
                <w:sz w:val="19"/>
              </w:rPr>
              <w:t>Product ID</w:t>
            </w:r>
          </w:p>
        </w:tc>
        <w:tc>
          <w:tcPr>
            <w:tcW w:w="7200" w:type="dxa"/>
            <w:shd w:val="clear" w:color="auto" w:fill="EBF3FB"/>
          </w:tcPr>
          <w:p w14:paraId="46F484FD">
            <w:pPr>
              <w:spacing w:after="0" w:line="240" w:lineRule="auto"/>
              <w:jc w:val="center"/>
            </w:pPr>
            <w:r>
              <w:rPr>
                <w:rFonts w:ascii="Calibri" w:hAnsi="Calibri"/>
                <w:color w:val="404040"/>
                <w:sz w:val="19"/>
              </w:rPr>
              <w:t>Identifier. All meaningful product information is captured by Category and Sub-Category.</w:t>
            </w:r>
          </w:p>
        </w:tc>
      </w:tr>
      <w:tr w14:paraId="7AD0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E8E8051">
            <w:pPr>
              <w:spacing w:after="0" w:line="240" w:lineRule="auto"/>
            </w:pPr>
            <w:r>
              <w:rPr>
                <w:rFonts w:ascii="Calibri" w:hAnsi="Calibri"/>
                <w:color w:val="404040"/>
                <w:sz w:val="19"/>
              </w:rPr>
              <w:t>Customer Name</w:t>
            </w:r>
          </w:p>
        </w:tc>
        <w:tc>
          <w:tcPr>
            <w:tcW w:w="7200" w:type="dxa"/>
            <w:shd w:val="clear" w:color="auto" w:fill="FFFFFF"/>
          </w:tcPr>
          <w:p w14:paraId="7BDD7B50">
            <w:pPr>
              <w:spacing w:after="0" w:line="240" w:lineRule="auto"/>
              <w:jc w:val="center"/>
            </w:pPr>
            <w:r>
              <w:rPr>
                <w:rFonts w:ascii="Calibri" w:hAnsi="Calibri"/>
                <w:color w:val="404040"/>
                <w:sz w:val="19"/>
              </w:rPr>
              <w:t>Free text, 793+ unique values. Not suitable for baseline model.</w:t>
            </w:r>
          </w:p>
        </w:tc>
      </w:tr>
      <w:tr w14:paraId="5BBA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32CC5A1C">
            <w:pPr>
              <w:spacing w:after="0" w:line="240" w:lineRule="auto"/>
            </w:pPr>
            <w:r>
              <w:rPr>
                <w:rFonts w:ascii="Calibri" w:hAnsi="Calibri"/>
                <w:color w:val="404040"/>
                <w:sz w:val="19"/>
              </w:rPr>
              <w:t>Product Name</w:t>
            </w:r>
          </w:p>
        </w:tc>
        <w:tc>
          <w:tcPr>
            <w:tcW w:w="7200" w:type="dxa"/>
            <w:shd w:val="clear" w:color="auto" w:fill="EBF3FB"/>
          </w:tcPr>
          <w:p w14:paraId="64A9A8BB">
            <w:pPr>
              <w:spacing w:after="0" w:line="240" w:lineRule="auto"/>
              <w:jc w:val="center"/>
            </w:pPr>
            <w:r>
              <w:rPr>
                <w:rFonts w:ascii="Calibri" w:hAnsi="Calibri"/>
                <w:color w:val="404040"/>
                <w:sz w:val="19"/>
              </w:rPr>
              <w:t>Free text, 1,850+ unique values. Sub-Category captures product type.</w:t>
            </w:r>
          </w:p>
        </w:tc>
      </w:tr>
      <w:tr w14:paraId="49CC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D827B48">
            <w:pPr>
              <w:spacing w:after="0" w:line="240" w:lineRule="auto"/>
            </w:pPr>
            <w:r>
              <w:rPr>
                <w:rFonts w:ascii="Calibri" w:hAnsi="Calibri"/>
                <w:color w:val="404040"/>
                <w:sz w:val="19"/>
              </w:rPr>
              <w:t>Country</w:t>
            </w:r>
          </w:p>
        </w:tc>
        <w:tc>
          <w:tcPr>
            <w:tcW w:w="7200" w:type="dxa"/>
            <w:shd w:val="clear" w:color="auto" w:fill="FFFFFF"/>
          </w:tcPr>
          <w:p w14:paraId="01C05014">
            <w:pPr>
              <w:spacing w:after="0" w:line="240" w:lineRule="auto"/>
              <w:jc w:val="center"/>
            </w:pPr>
            <w:r>
              <w:rPr>
                <w:rFonts w:ascii="Calibri" w:hAnsi="Calibri"/>
                <w:color w:val="404040"/>
                <w:sz w:val="19"/>
              </w:rPr>
              <w:t>Zero-variance constant — every row is 'United States'. Provides no information.</w:t>
            </w:r>
          </w:p>
        </w:tc>
      </w:tr>
      <w:tr w14:paraId="380E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4DA2D85B">
            <w:pPr>
              <w:spacing w:after="0" w:line="240" w:lineRule="auto"/>
            </w:pPr>
            <w:r>
              <w:rPr>
                <w:rFonts w:ascii="Calibri" w:hAnsi="Calibri"/>
                <w:color w:val="404040"/>
                <w:sz w:val="19"/>
              </w:rPr>
              <w:t>City</w:t>
            </w:r>
          </w:p>
        </w:tc>
        <w:tc>
          <w:tcPr>
            <w:tcW w:w="7200" w:type="dxa"/>
            <w:shd w:val="clear" w:color="auto" w:fill="EBF3FB"/>
          </w:tcPr>
          <w:p w14:paraId="7B52F1AC">
            <w:pPr>
              <w:spacing w:after="0" w:line="240" w:lineRule="auto"/>
              <w:jc w:val="center"/>
            </w:pPr>
            <w:r>
              <w:rPr>
                <w:rFonts w:ascii="Calibri" w:hAnsi="Calibri"/>
                <w:color w:val="404040"/>
                <w:sz w:val="19"/>
              </w:rPr>
              <w:t>High-cardinality (531 values). Region captures the necessary geographic dimension.</w:t>
            </w:r>
          </w:p>
        </w:tc>
      </w:tr>
      <w:tr w14:paraId="2099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188ADA3D">
            <w:pPr>
              <w:spacing w:after="0" w:line="240" w:lineRule="auto"/>
            </w:pPr>
            <w:r>
              <w:rPr>
                <w:rFonts w:ascii="Calibri" w:hAnsi="Calibri"/>
                <w:color w:val="404040"/>
                <w:sz w:val="19"/>
              </w:rPr>
              <w:t>State</w:t>
            </w:r>
          </w:p>
        </w:tc>
        <w:tc>
          <w:tcPr>
            <w:tcW w:w="7200" w:type="dxa"/>
            <w:shd w:val="clear" w:color="auto" w:fill="FFFFFF"/>
          </w:tcPr>
          <w:p w14:paraId="21E31B3F">
            <w:pPr>
              <w:spacing w:after="0" w:line="240" w:lineRule="auto"/>
              <w:jc w:val="center"/>
            </w:pPr>
            <w:r>
              <w:rPr>
                <w:rFonts w:ascii="Calibri" w:hAnsi="Calibri"/>
                <w:color w:val="404040"/>
                <w:sz w:val="19"/>
              </w:rPr>
              <w:t>High-cardinality (49 values). Subsumed by Region.</w:t>
            </w:r>
          </w:p>
        </w:tc>
      </w:tr>
      <w:tr w14:paraId="0715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2974A929">
            <w:pPr>
              <w:spacing w:after="0" w:line="240" w:lineRule="auto"/>
            </w:pPr>
            <w:r>
              <w:rPr>
                <w:rFonts w:ascii="Calibri" w:hAnsi="Calibri"/>
                <w:color w:val="404040"/>
                <w:sz w:val="19"/>
              </w:rPr>
              <w:t>Postal Code</w:t>
            </w:r>
          </w:p>
        </w:tc>
        <w:tc>
          <w:tcPr>
            <w:tcW w:w="7200" w:type="dxa"/>
            <w:shd w:val="clear" w:color="auto" w:fill="EBF3FB"/>
          </w:tcPr>
          <w:p w14:paraId="7B8A636E">
            <w:pPr>
              <w:spacing w:after="0" w:line="240" w:lineRule="auto"/>
              <w:jc w:val="center"/>
            </w:pPr>
            <w:r>
              <w:rPr>
                <w:rFonts w:ascii="Calibri" w:hAnsi="Calibri"/>
                <w:color w:val="404040"/>
                <w:sz w:val="19"/>
              </w:rPr>
              <w:t>High-cardinality (631 values) with data quality issues. Subsumed by Region.</w:t>
            </w:r>
          </w:p>
        </w:tc>
      </w:tr>
      <w:tr w14:paraId="61F9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5D490012">
            <w:pPr>
              <w:spacing w:after="0" w:line="240" w:lineRule="auto"/>
            </w:pPr>
            <w:r>
              <w:rPr>
                <w:rFonts w:ascii="Calibri" w:hAnsi="Calibri"/>
                <w:color w:val="404040"/>
                <w:sz w:val="19"/>
              </w:rPr>
              <w:t>Order Date</w:t>
            </w:r>
          </w:p>
        </w:tc>
        <w:tc>
          <w:tcPr>
            <w:tcW w:w="7200" w:type="dxa"/>
            <w:shd w:val="clear" w:color="auto" w:fill="FFFFFF"/>
          </w:tcPr>
          <w:p w14:paraId="54948D34">
            <w:pPr>
              <w:spacing w:after="0" w:line="240" w:lineRule="auto"/>
              <w:jc w:val="center"/>
            </w:pPr>
            <w:r>
              <w:rPr>
                <w:rFonts w:ascii="Calibri" w:hAnsi="Calibri"/>
                <w:color w:val="404040"/>
                <w:sz w:val="19"/>
              </w:rPr>
              <w:t>Raw date replaced by engineered temporal features (Year/Month/Quarter/Is_Q4).</w:t>
            </w:r>
          </w:p>
        </w:tc>
      </w:tr>
      <w:tr w14:paraId="0F9F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487FEED5">
            <w:pPr>
              <w:spacing w:after="0" w:line="240" w:lineRule="auto"/>
            </w:pPr>
            <w:r>
              <w:rPr>
                <w:rFonts w:ascii="Calibri" w:hAnsi="Calibri"/>
                <w:color w:val="404040"/>
                <w:sz w:val="19"/>
              </w:rPr>
              <w:t>Ship Date</w:t>
            </w:r>
          </w:p>
        </w:tc>
        <w:tc>
          <w:tcPr>
            <w:tcW w:w="7200" w:type="dxa"/>
            <w:shd w:val="clear" w:color="auto" w:fill="EBF3FB"/>
          </w:tcPr>
          <w:p w14:paraId="6EFA33B9">
            <w:pPr>
              <w:spacing w:after="0" w:line="240" w:lineRule="auto"/>
              <w:jc w:val="center"/>
            </w:pPr>
            <w:r>
              <w:rPr>
                <w:rFonts w:ascii="Calibri" w:hAnsi="Calibri"/>
                <w:color w:val="404040"/>
                <w:sz w:val="19"/>
              </w:rPr>
              <w:t>Raw date replaced by Ship_Lag_Days which captures the only meaningful signal.</w:t>
            </w:r>
          </w:p>
        </w:tc>
      </w:tr>
    </w:tbl>
    <w:p w14:paraId="694C06ED">
      <w:pPr>
        <w:spacing w:after="120"/>
      </w:pPr>
    </w:p>
    <w:p w14:paraId="24B28F29">
      <w:r>
        <w:br w:type="page"/>
      </w:r>
    </w:p>
    <w:p w14:paraId="712AE24C">
      <w:pPr>
        <w:spacing w:before="360" w:after="120"/>
      </w:pPr>
      <w:r>
        <w:rPr>
          <w:rFonts w:ascii="Calibri" w:hAnsi="Calibri"/>
          <w:b/>
          <w:color w:val="1F4E79"/>
          <w:sz w:val="30"/>
        </w:rPr>
        <w:t>10. Descriptive Analytics — Level 1: What Happened?</w:t>
      </w:r>
    </w:p>
    <w:p w14:paraId="1538659D">
      <w:pPr>
        <w:pBdr>
          <w:bottom w:val="single" w:color="1F4E79" w:sz="8" w:space="1"/>
        </w:pBdr>
        <w:spacing w:after="40"/>
      </w:pPr>
    </w:p>
    <w:p w14:paraId="2F9EF002">
      <w:pPr>
        <w:spacing w:before="40" w:after="100"/>
      </w:pPr>
      <w:r>
        <w:rPr>
          <w:rFonts w:ascii="Calibri" w:hAnsi="Calibri"/>
          <w:color w:val="404040"/>
          <w:sz w:val="21"/>
        </w:rPr>
        <w:t>Descriptive analytics summarises the historical performance of the Superstore across all 9,994 order line items, 5,009 unique orders, and four complete calendar years (2011–2014).</w:t>
      </w:r>
    </w:p>
    <w:p w14:paraId="7F6A4A80">
      <w:pPr>
        <w:spacing w:before="240" w:after="80"/>
      </w:pPr>
      <w:r>
        <w:rPr>
          <w:rFonts w:ascii="Calibri" w:hAnsi="Calibri"/>
          <w:b/>
          <w:color w:val="2E75B6"/>
          <w:sz w:val="24"/>
        </w:rPr>
        <w:t>10.1 Summary Statistics — Numerical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72"/>
        <w:gridCol w:w="1584"/>
        <w:gridCol w:w="1584"/>
        <w:gridCol w:w="2016"/>
      </w:tblGrid>
      <w:tr w14:paraId="2777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9"/>
          </w:tcPr>
          <w:p w14:paraId="2BB8FF2C">
            <w:pPr>
              <w:spacing w:after="0" w:line="240" w:lineRule="auto"/>
              <w:jc w:val="center"/>
            </w:pPr>
            <w:r>
              <w:rPr>
                <w:rFonts w:ascii="Calibri" w:hAnsi="Calibri"/>
                <w:b/>
                <w:color w:val="FFFFFF"/>
                <w:sz w:val="19"/>
              </w:rPr>
              <w:t>Metric</w:t>
            </w:r>
          </w:p>
        </w:tc>
        <w:tc>
          <w:tcPr>
            <w:tcW w:w="1872" w:type="dxa"/>
            <w:shd w:val="clear" w:color="auto" w:fill="1F4E79"/>
          </w:tcPr>
          <w:p w14:paraId="7321F966">
            <w:pPr>
              <w:spacing w:after="0" w:line="240" w:lineRule="auto"/>
              <w:jc w:val="center"/>
            </w:pPr>
            <w:r>
              <w:rPr>
                <w:rFonts w:ascii="Calibri" w:hAnsi="Calibri"/>
                <w:b/>
                <w:color w:val="FFFFFF"/>
                <w:sz w:val="19"/>
              </w:rPr>
              <w:t>Sales ($)</w:t>
            </w:r>
          </w:p>
        </w:tc>
        <w:tc>
          <w:tcPr>
            <w:tcW w:w="1584" w:type="dxa"/>
            <w:shd w:val="clear" w:color="auto" w:fill="1F4E79"/>
          </w:tcPr>
          <w:p w14:paraId="7969A3A7">
            <w:pPr>
              <w:spacing w:after="0" w:line="240" w:lineRule="auto"/>
              <w:jc w:val="center"/>
            </w:pPr>
            <w:r>
              <w:rPr>
                <w:rFonts w:ascii="Calibri" w:hAnsi="Calibri"/>
                <w:b/>
                <w:color w:val="FFFFFF"/>
                <w:sz w:val="19"/>
              </w:rPr>
              <w:t>Quantity</w:t>
            </w:r>
          </w:p>
        </w:tc>
        <w:tc>
          <w:tcPr>
            <w:tcW w:w="1584" w:type="dxa"/>
            <w:shd w:val="clear" w:color="auto" w:fill="1F4E79"/>
          </w:tcPr>
          <w:p w14:paraId="64B8498F">
            <w:pPr>
              <w:spacing w:after="0" w:line="240" w:lineRule="auto"/>
              <w:jc w:val="center"/>
            </w:pPr>
            <w:r>
              <w:rPr>
                <w:rFonts w:ascii="Calibri" w:hAnsi="Calibri"/>
                <w:b/>
                <w:color w:val="FFFFFF"/>
                <w:sz w:val="19"/>
              </w:rPr>
              <w:t>Discount</w:t>
            </w:r>
          </w:p>
        </w:tc>
        <w:tc>
          <w:tcPr>
            <w:tcW w:w="2016" w:type="dxa"/>
            <w:shd w:val="clear" w:color="auto" w:fill="1F4E79"/>
          </w:tcPr>
          <w:p w14:paraId="0CEAD196">
            <w:pPr>
              <w:spacing w:after="0" w:line="240" w:lineRule="auto"/>
              <w:jc w:val="center"/>
            </w:pPr>
            <w:r>
              <w:rPr>
                <w:rFonts w:ascii="Calibri" w:hAnsi="Calibri"/>
                <w:b/>
                <w:color w:val="FFFFFF"/>
                <w:sz w:val="19"/>
              </w:rPr>
              <w:t>Profit ($)</w:t>
            </w:r>
          </w:p>
        </w:tc>
      </w:tr>
      <w:tr w14:paraId="6150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3FB"/>
          </w:tcPr>
          <w:p w14:paraId="21B0F27B">
            <w:pPr>
              <w:spacing w:after="0" w:line="240" w:lineRule="auto"/>
            </w:pPr>
            <w:r>
              <w:rPr>
                <w:rFonts w:ascii="Calibri" w:hAnsi="Calibri"/>
                <w:color w:val="404040"/>
                <w:sz w:val="19"/>
              </w:rPr>
              <w:t>Count</w:t>
            </w:r>
          </w:p>
        </w:tc>
        <w:tc>
          <w:tcPr>
            <w:tcW w:w="1872" w:type="dxa"/>
            <w:shd w:val="clear" w:color="auto" w:fill="EBF3FB"/>
          </w:tcPr>
          <w:p w14:paraId="1C531886">
            <w:pPr>
              <w:spacing w:after="0" w:line="240" w:lineRule="auto"/>
              <w:jc w:val="center"/>
            </w:pPr>
            <w:r>
              <w:rPr>
                <w:rFonts w:ascii="Calibri" w:hAnsi="Calibri"/>
                <w:color w:val="404040"/>
                <w:sz w:val="19"/>
              </w:rPr>
              <w:t>9,994</w:t>
            </w:r>
          </w:p>
        </w:tc>
        <w:tc>
          <w:tcPr>
            <w:tcW w:w="1584" w:type="dxa"/>
            <w:shd w:val="clear" w:color="auto" w:fill="EBF3FB"/>
          </w:tcPr>
          <w:p w14:paraId="3AE09D3A">
            <w:pPr>
              <w:spacing w:after="0" w:line="240" w:lineRule="auto"/>
              <w:jc w:val="center"/>
            </w:pPr>
            <w:r>
              <w:rPr>
                <w:rFonts w:ascii="Calibri" w:hAnsi="Calibri"/>
                <w:color w:val="404040"/>
                <w:sz w:val="19"/>
              </w:rPr>
              <w:t>9,994</w:t>
            </w:r>
          </w:p>
        </w:tc>
        <w:tc>
          <w:tcPr>
            <w:tcW w:w="1584" w:type="dxa"/>
            <w:shd w:val="clear" w:color="auto" w:fill="EBF3FB"/>
          </w:tcPr>
          <w:p w14:paraId="55FC9E06">
            <w:pPr>
              <w:spacing w:after="0" w:line="240" w:lineRule="auto"/>
              <w:jc w:val="center"/>
            </w:pPr>
            <w:r>
              <w:rPr>
                <w:rFonts w:ascii="Calibri" w:hAnsi="Calibri"/>
                <w:color w:val="404040"/>
                <w:sz w:val="19"/>
              </w:rPr>
              <w:t>9,994</w:t>
            </w:r>
          </w:p>
        </w:tc>
        <w:tc>
          <w:tcPr>
            <w:tcW w:w="2016" w:type="dxa"/>
            <w:shd w:val="clear" w:color="auto" w:fill="EBF3FB"/>
          </w:tcPr>
          <w:p w14:paraId="574731DB">
            <w:pPr>
              <w:spacing w:after="0" w:line="240" w:lineRule="auto"/>
              <w:jc w:val="center"/>
            </w:pPr>
            <w:r>
              <w:rPr>
                <w:rFonts w:ascii="Calibri" w:hAnsi="Calibri"/>
                <w:color w:val="404040"/>
                <w:sz w:val="19"/>
              </w:rPr>
              <w:t>9,994</w:t>
            </w:r>
          </w:p>
        </w:tc>
      </w:tr>
      <w:tr w14:paraId="1AAE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69F37286">
            <w:pPr>
              <w:spacing w:after="0" w:line="240" w:lineRule="auto"/>
            </w:pPr>
            <w:r>
              <w:rPr>
                <w:rFonts w:ascii="Calibri" w:hAnsi="Calibri"/>
                <w:color w:val="404040"/>
                <w:sz w:val="19"/>
              </w:rPr>
              <w:t>Mean</w:t>
            </w:r>
          </w:p>
        </w:tc>
        <w:tc>
          <w:tcPr>
            <w:tcW w:w="1872" w:type="dxa"/>
            <w:shd w:val="clear" w:color="auto" w:fill="FFFFFF"/>
          </w:tcPr>
          <w:p w14:paraId="3B7D61BC">
            <w:pPr>
              <w:spacing w:after="0" w:line="240" w:lineRule="auto"/>
              <w:jc w:val="center"/>
            </w:pPr>
            <w:r>
              <w:rPr>
                <w:rFonts w:ascii="Calibri" w:hAnsi="Calibri"/>
                <w:color w:val="404040"/>
                <w:sz w:val="19"/>
              </w:rPr>
              <w:t>$229.86</w:t>
            </w:r>
          </w:p>
        </w:tc>
        <w:tc>
          <w:tcPr>
            <w:tcW w:w="1584" w:type="dxa"/>
            <w:shd w:val="clear" w:color="auto" w:fill="FFFFFF"/>
          </w:tcPr>
          <w:p w14:paraId="541B4815">
            <w:pPr>
              <w:spacing w:after="0" w:line="240" w:lineRule="auto"/>
              <w:jc w:val="center"/>
            </w:pPr>
            <w:r>
              <w:rPr>
                <w:rFonts w:ascii="Calibri" w:hAnsi="Calibri"/>
                <w:color w:val="404040"/>
                <w:sz w:val="19"/>
              </w:rPr>
              <w:t>3.79</w:t>
            </w:r>
          </w:p>
        </w:tc>
        <w:tc>
          <w:tcPr>
            <w:tcW w:w="1584" w:type="dxa"/>
            <w:shd w:val="clear" w:color="auto" w:fill="FFFFFF"/>
          </w:tcPr>
          <w:p w14:paraId="35A91EDA">
            <w:pPr>
              <w:spacing w:after="0" w:line="240" w:lineRule="auto"/>
              <w:jc w:val="center"/>
            </w:pPr>
            <w:r>
              <w:rPr>
                <w:rFonts w:ascii="Calibri" w:hAnsi="Calibri"/>
                <w:color w:val="404040"/>
                <w:sz w:val="19"/>
              </w:rPr>
              <w:t>0.1562</w:t>
            </w:r>
          </w:p>
        </w:tc>
        <w:tc>
          <w:tcPr>
            <w:tcW w:w="2016" w:type="dxa"/>
            <w:shd w:val="clear" w:color="auto" w:fill="FFFFFF"/>
          </w:tcPr>
          <w:p w14:paraId="34116724">
            <w:pPr>
              <w:spacing w:after="0" w:line="240" w:lineRule="auto"/>
              <w:jc w:val="center"/>
            </w:pPr>
            <w:r>
              <w:rPr>
                <w:rFonts w:ascii="Calibri" w:hAnsi="Calibri"/>
                <w:color w:val="404040"/>
                <w:sz w:val="19"/>
              </w:rPr>
              <w:t>$28.66</w:t>
            </w:r>
          </w:p>
        </w:tc>
      </w:tr>
      <w:tr w14:paraId="23FD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3FB"/>
          </w:tcPr>
          <w:p w14:paraId="35F0B9A0">
            <w:pPr>
              <w:spacing w:after="0" w:line="240" w:lineRule="auto"/>
            </w:pPr>
            <w:r>
              <w:rPr>
                <w:rFonts w:ascii="Calibri" w:hAnsi="Calibri"/>
                <w:color w:val="404040"/>
                <w:sz w:val="19"/>
              </w:rPr>
              <w:t>Std Dev</w:t>
            </w:r>
          </w:p>
        </w:tc>
        <w:tc>
          <w:tcPr>
            <w:tcW w:w="1872" w:type="dxa"/>
            <w:shd w:val="clear" w:color="auto" w:fill="EBF3FB"/>
          </w:tcPr>
          <w:p w14:paraId="6F0E103B">
            <w:pPr>
              <w:spacing w:after="0" w:line="240" w:lineRule="auto"/>
              <w:jc w:val="center"/>
            </w:pPr>
            <w:r>
              <w:rPr>
                <w:rFonts w:ascii="Calibri" w:hAnsi="Calibri"/>
                <w:color w:val="404040"/>
                <w:sz w:val="19"/>
              </w:rPr>
              <w:t>$623.25</w:t>
            </w:r>
          </w:p>
        </w:tc>
        <w:tc>
          <w:tcPr>
            <w:tcW w:w="1584" w:type="dxa"/>
            <w:shd w:val="clear" w:color="auto" w:fill="EBF3FB"/>
          </w:tcPr>
          <w:p w14:paraId="099190DD">
            <w:pPr>
              <w:spacing w:after="0" w:line="240" w:lineRule="auto"/>
              <w:jc w:val="center"/>
            </w:pPr>
            <w:r>
              <w:rPr>
                <w:rFonts w:ascii="Calibri" w:hAnsi="Calibri"/>
                <w:color w:val="404040"/>
                <w:sz w:val="19"/>
              </w:rPr>
              <w:t>2.23</w:t>
            </w:r>
          </w:p>
        </w:tc>
        <w:tc>
          <w:tcPr>
            <w:tcW w:w="1584" w:type="dxa"/>
            <w:shd w:val="clear" w:color="auto" w:fill="EBF3FB"/>
          </w:tcPr>
          <w:p w14:paraId="306F1147">
            <w:pPr>
              <w:spacing w:after="0" w:line="240" w:lineRule="auto"/>
              <w:jc w:val="center"/>
            </w:pPr>
            <w:r>
              <w:rPr>
                <w:rFonts w:ascii="Calibri" w:hAnsi="Calibri"/>
                <w:color w:val="404040"/>
                <w:sz w:val="19"/>
              </w:rPr>
              <w:t>0.2065</w:t>
            </w:r>
          </w:p>
        </w:tc>
        <w:tc>
          <w:tcPr>
            <w:tcW w:w="2016" w:type="dxa"/>
            <w:shd w:val="clear" w:color="auto" w:fill="EBF3FB"/>
          </w:tcPr>
          <w:p w14:paraId="2FF6A3F7">
            <w:pPr>
              <w:spacing w:after="0" w:line="240" w:lineRule="auto"/>
              <w:jc w:val="center"/>
            </w:pPr>
            <w:r>
              <w:rPr>
                <w:rFonts w:ascii="Calibri" w:hAnsi="Calibri"/>
                <w:color w:val="404040"/>
                <w:sz w:val="19"/>
              </w:rPr>
              <w:t>$234.26</w:t>
            </w:r>
          </w:p>
        </w:tc>
      </w:tr>
      <w:tr w14:paraId="1261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3CDD4FCD">
            <w:pPr>
              <w:spacing w:after="0" w:line="240" w:lineRule="auto"/>
            </w:pPr>
            <w:r>
              <w:rPr>
                <w:rFonts w:ascii="Calibri" w:hAnsi="Calibri"/>
                <w:color w:val="404040"/>
                <w:sz w:val="19"/>
              </w:rPr>
              <w:t>Min</w:t>
            </w:r>
          </w:p>
        </w:tc>
        <w:tc>
          <w:tcPr>
            <w:tcW w:w="1872" w:type="dxa"/>
            <w:shd w:val="clear" w:color="auto" w:fill="FFFFFF"/>
          </w:tcPr>
          <w:p w14:paraId="114B3EB9">
            <w:pPr>
              <w:spacing w:after="0" w:line="240" w:lineRule="auto"/>
              <w:jc w:val="center"/>
            </w:pPr>
            <w:r>
              <w:rPr>
                <w:rFonts w:ascii="Calibri" w:hAnsi="Calibri"/>
                <w:color w:val="404040"/>
                <w:sz w:val="19"/>
              </w:rPr>
              <w:t>$0.44</w:t>
            </w:r>
          </w:p>
        </w:tc>
        <w:tc>
          <w:tcPr>
            <w:tcW w:w="1584" w:type="dxa"/>
            <w:shd w:val="clear" w:color="auto" w:fill="FFFFFF"/>
          </w:tcPr>
          <w:p w14:paraId="0EB1EB1E">
            <w:pPr>
              <w:spacing w:after="0" w:line="240" w:lineRule="auto"/>
              <w:jc w:val="center"/>
            </w:pPr>
            <w:r>
              <w:rPr>
                <w:rFonts w:ascii="Calibri" w:hAnsi="Calibri"/>
                <w:color w:val="404040"/>
                <w:sz w:val="19"/>
              </w:rPr>
              <w:t>1</w:t>
            </w:r>
          </w:p>
        </w:tc>
        <w:tc>
          <w:tcPr>
            <w:tcW w:w="1584" w:type="dxa"/>
            <w:shd w:val="clear" w:color="auto" w:fill="FFFFFF"/>
          </w:tcPr>
          <w:p w14:paraId="5A95A24F">
            <w:pPr>
              <w:spacing w:after="0" w:line="240" w:lineRule="auto"/>
              <w:jc w:val="center"/>
            </w:pPr>
            <w:r>
              <w:rPr>
                <w:rFonts w:ascii="Calibri" w:hAnsi="Calibri"/>
                <w:color w:val="404040"/>
                <w:sz w:val="19"/>
              </w:rPr>
              <w:t>0.000</w:t>
            </w:r>
          </w:p>
        </w:tc>
        <w:tc>
          <w:tcPr>
            <w:tcW w:w="2016" w:type="dxa"/>
            <w:shd w:val="clear" w:color="auto" w:fill="FFFFFF"/>
          </w:tcPr>
          <w:p w14:paraId="39808452">
            <w:pPr>
              <w:spacing w:after="0" w:line="240" w:lineRule="auto"/>
              <w:jc w:val="center"/>
            </w:pPr>
            <w:r>
              <w:rPr>
                <w:rFonts w:ascii="Calibri" w:hAnsi="Calibri"/>
                <w:color w:val="404040"/>
                <w:sz w:val="19"/>
              </w:rPr>
              <w:t>−$6,599.98</w:t>
            </w:r>
          </w:p>
        </w:tc>
      </w:tr>
      <w:tr w14:paraId="4527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3FB"/>
          </w:tcPr>
          <w:p w14:paraId="302AE04D">
            <w:pPr>
              <w:spacing w:after="0" w:line="240" w:lineRule="auto"/>
            </w:pPr>
            <w:r>
              <w:rPr>
                <w:rFonts w:ascii="Calibri" w:hAnsi="Calibri"/>
                <w:color w:val="404040"/>
                <w:sz w:val="19"/>
              </w:rPr>
              <w:t>25th %</w:t>
            </w:r>
          </w:p>
        </w:tc>
        <w:tc>
          <w:tcPr>
            <w:tcW w:w="1872" w:type="dxa"/>
            <w:shd w:val="clear" w:color="auto" w:fill="EBF3FB"/>
          </w:tcPr>
          <w:p w14:paraId="77EBBF76">
            <w:pPr>
              <w:spacing w:after="0" w:line="240" w:lineRule="auto"/>
              <w:jc w:val="center"/>
            </w:pPr>
            <w:r>
              <w:rPr>
                <w:rFonts w:ascii="Calibri" w:hAnsi="Calibri"/>
                <w:color w:val="404040"/>
                <w:sz w:val="19"/>
              </w:rPr>
              <w:t>$17.28</w:t>
            </w:r>
          </w:p>
        </w:tc>
        <w:tc>
          <w:tcPr>
            <w:tcW w:w="1584" w:type="dxa"/>
            <w:shd w:val="clear" w:color="auto" w:fill="EBF3FB"/>
          </w:tcPr>
          <w:p w14:paraId="2A1D1BBD">
            <w:pPr>
              <w:spacing w:after="0" w:line="240" w:lineRule="auto"/>
              <w:jc w:val="center"/>
            </w:pPr>
            <w:r>
              <w:rPr>
                <w:rFonts w:ascii="Calibri" w:hAnsi="Calibri"/>
                <w:color w:val="404040"/>
                <w:sz w:val="19"/>
              </w:rPr>
              <w:t>2</w:t>
            </w:r>
          </w:p>
        </w:tc>
        <w:tc>
          <w:tcPr>
            <w:tcW w:w="1584" w:type="dxa"/>
            <w:shd w:val="clear" w:color="auto" w:fill="EBF3FB"/>
          </w:tcPr>
          <w:p w14:paraId="39BDDD87">
            <w:pPr>
              <w:spacing w:after="0" w:line="240" w:lineRule="auto"/>
              <w:jc w:val="center"/>
            </w:pPr>
            <w:r>
              <w:rPr>
                <w:rFonts w:ascii="Calibri" w:hAnsi="Calibri"/>
                <w:color w:val="404040"/>
                <w:sz w:val="19"/>
              </w:rPr>
              <w:t>0.000</w:t>
            </w:r>
          </w:p>
        </w:tc>
        <w:tc>
          <w:tcPr>
            <w:tcW w:w="2016" w:type="dxa"/>
            <w:shd w:val="clear" w:color="auto" w:fill="EBF3FB"/>
          </w:tcPr>
          <w:p w14:paraId="43E862E7">
            <w:pPr>
              <w:spacing w:after="0" w:line="240" w:lineRule="auto"/>
              <w:jc w:val="center"/>
            </w:pPr>
            <w:r>
              <w:rPr>
                <w:rFonts w:ascii="Calibri" w:hAnsi="Calibri"/>
                <w:color w:val="404040"/>
                <w:sz w:val="19"/>
              </w:rPr>
              <w:t>$1.73</w:t>
            </w:r>
          </w:p>
        </w:tc>
      </w:tr>
      <w:tr w14:paraId="6912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06A1D3FF">
            <w:pPr>
              <w:spacing w:after="0" w:line="240" w:lineRule="auto"/>
            </w:pPr>
            <w:r>
              <w:rPr>
                <w:rFonts w:ascii="Calibri" w:hAnsi="Calibri"/>
                <w:color w:val="404040"/>
                <w:sz w:val="19"/>
              </w:rPr>
              <w:t>Median</w:t>
            </w:r>
          </w:p>
        </w:tc>
        <w:tc>
          <w:tcPr>
            <w:tcW w:w="1872" w:type="dxa"/>
            <w:shd w:val="clear" w:color="auto" w:fill="FFFFFF"/>
          </w:tcPr>
          <w:p w14:paraId="094E9E9A">
            <w:pPr>
              <w:spacing w:after="0" w:line="240" w:lineRule="auto"/>
              <w:jc w:val="center"/>
            </w:pPr>
            <w:r>
              <w:rPr>
                <w:rFonts w:ascii="Calibri" w:hAnsi="Calibri"/>
                <w:color w:val="404040"/>
                <w:sz w:val="19"/>
              </w:rPr>
              <w:t>$54.49</w:t>
            </w:r>
          </w:p>
        </w:tc>
        <w:tc>
          <w:tcPr>
            <w:tcW w:w="1584" w:type="dxa"/>
            <w:shd w:val="clear" w:color="auto" w:fill="FFFFFF"/>
          </w:tcPr>
          <w:p w14:paraId="28273FEE">
            <w:pPr>
              <w:spacing w:after="0" w:line="240" w:lineRule="auto"/>
              <w:jc w:val="center"/>
            </w:pPr>
            <w:r>
              <w:rPr>
                <w:rFonts w:ascii="Calibri" w:hAnsi="Calibri"/>
                <w:color w:val="404040"/>
                <w:sz w:val="19"/>
              </w:rPr>
              <w:t>3</w:t>
            </w:r>
          </w:p>
        </w:tc>
        <w:tc>
          <w:tcPr>
            <w:tcW w:w="1584" w:type="dxa"/>
            <w:shd w:val="clear" w:color="auto" w:fill="FFFFFF"/>
          </w:tcPr>
          <w:p w14:paraId="04CC59F7">
            <w:pPr>
              <w:spacing w:after="0" w:line="240" w:lineRule="auto"/>
              <w:jc w:val="center"/>
            </w:pPr>
            <w:r>
              <w:rPr>
                <w:rFonts w:ascii="Calibri" w:hAnsi="Calibri"/>
                <w:color w:val="404040"/>
                <w:sz w:val="19"/>
              </w:rPr>
              <w:t>0.200</w:t>
            </w:r>
          </w:p>
        </w:tc>
        <w:tc>
          <w:tcPr>
            <w:tcW w:w="2016" w:type="dxa"/>
            <w:shd w:val="clear" w:color="auto" w:fill="FFFFFF"/>
          </w:tcPr>
          <w:p w14:paraId="2EA41DAA">
            <w:pPr>
              <w:spacing w:after="0" w:line="240" w:lineRule="auto"/>
              <w:jc w:val="center"/>
            </w:pPr>
            <w:r>
              <w:rPr>
                <w:rFonts w:ascii="Calibri" w:hAnsi="Calibri"/>
                <w:color w:val="404040"/>
                <w:sz w:val="19"/>
              </w:rPr>
              <w:t>$8.67</w:t>
            </w:r>
          </w:p>
        </w:tc>
      </w:tr>
      <w:tr w14:paraId="35ED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3FB"/>
          </w:tcPr>
          <w:p w14:paraId="1446A404">
            <w:pPr>
              <w:spacing w:after="0" w:line="240" w:lineRule="auto"/>
            </w:pPr>
            <w:r>
              <w:rPr>
                <w:rFonts w:ascii="Calibri" w:hAnsi="Calibri"/>
                <w:color w:val="404040"/>
                <w:sz w:val="19"/>
              </w:rPr>
              <w:t>75th %</w:t>
            </w:r>
          </w:p>
        </w:tc>
        <w:tc>
          <w:tcPr>
            <w:tcW w:w="1872" w:type="dxa"/>
            <w:shd w:val="clear" w:color="auto" w:fill="EBF3FB"/>
          </w:tcPr>
          <w:p w14:paraId="750EDFE1">
            <w:pPr>
              <w:spacing w:after="0" w:line="240" w:lineRule="auto"/>
              <w:jc w:val="center"/>
            </w:pPr>
            <w:r>
              <w:rPr>
                <w:rFonts w:ascii="Calibri" w:hAnsi="Calibri"/>
                <w:color w:val="404040"/>
                <w:sz w:val="19"/>
              </w:rPr>
              <w:t>$209.94</w:t>
            </w:r>
          </w:p>
        </w:tc>
        <w:tc>
          <w:tcPr>
            <w:tcW w:w="1584" w:type="dxa"/>
            <w:shd w:val="clear" w:color="auto" w:fill="EBF3FB"/>
          </w:tcPr>
          <w:p w14:paraId="56AF9DF1">
            <w:pPr>
              <w:spacing w:after="0" w:line="240" w:lineRule="auto"/>
              <w:jc w:val="center"/>
            </w:pPr>
            <w:r>
              <w:rPr>
                <w:rFonts w:ascii="Calibri" w:hAnsi="Calibri"/>
                <w:color w:val="404040"/>
                <w:sz w:val="19"/>
              </w:rPr>
              <w:t>5</w:t>
            </w:r>
          </w:p>
        </w:tc>
        <w:tc>
          <w:tcPr>
            <w:tcW w:w="1584" w:type="dxa"/>
            <w:shd w:val="clear" w:color="auto" w:fill="EBF3FB"/>
          </w:tcPr>
          <w:p w14:paraId="2A4B1346">
            <w:pPr>
              <w:spacing w:after="0" w:line="240" w:lineRule="auto"/>
              <w:jc w:val="center"/>
            </w:pPr>
            <w:r>
              <w:rPr>
                <w:rFonts w:ascii="Calibri" w:hAnsi="Calibri"/>
                <w:color w:val="404040"/>
                <w:sz w:val="19"/>
              </w:rPr>
              <w:t>0.200</w:t>
            </w:r>
          </w:p>
        </w:tc>
        <w:tc>
          <w:tcPr>
            <w:tcW w:w="2016" w:type="dxa"/>
            <w:shd w:val="clear" w:color="auto" w:fill="EBF3FB"/>
          </w:tcPr>
          <w:p w14:paraId="1D2F2D6A">
            <w:pPr>
              <w:spacing w:after="0" w:line="240" w:lineRule="auto"/>
              <w:jc w:val="center"/>
            </w:pPr>
            <w:r>
              <w:rPr>
                <w:rFonts w:ascii="Calibri" w:hAnsi="Calibri"/>
                <w:color w:val="404040"/>
                <w:sz w:val="19"/>
              </w:rPr>
              <w:t>$29.36</w:t>
            </w:r>
          </w:p>
        </w:tc>
      </w:tr>
      <w:tr w14:paraId="664D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FFFFF"/>
          </w:tcPr>
          <w:p w14:paraId="037D50A8">
            <w:pPr>
              <w:spacing w:after="0" w:line="240" w:lineRule="auto"/>
            </w:pPr>
            <w:r>
              <w:rPr>
                <w:rFonts w:ascii="Calibri" w:hAnsi="Calibri"/>
                <w:color w:val="404040"/>
                <w:sz w:val="19"/>
              </w:rPr>
              <w:t>Max</w:t>
            </w:r>
          </w:p>
        </w:tc>
        <w:tc>
          <w:tcPr>
            <w:tcW w:w="1872" w:type="dxa"/>
            <w:shd w:val="clear" w:color="auto" w:fill="FFFFFF"/>
          </w:tcPr>
          <w:p w14:paraId="798BDD52">
            <w:pPr>
              <w:spacing w:after="0" w:line="240" w:lineRule="auto"/>
              <w:jc w:val="center"/>
            </w:pPr>
            <w:r>
              <w:rPr>
                <w:rFonts w:ascii="Calibri" w:hAnsi="Calibri"/>
                <w:color w:val="404040"/>
                <w:sz w:val="19"/>
              </w:rPr>
              <w:t>$22,638.48</w:t>
            </w:r>
          </w:p>
        </w:tc>
        <w:tc>
          <w:tcPr>
            <w:tcW w:w="1584" w:type="dxa"/>
            <w:shd w:val="clear" w:color="auto" w:fill="FFFFFF"/>
          </w:tcPr>
          <w:p w14:paraId="05B69E02">
            <w:pPr>
              <w:spacing w:after="0" w:line="240" w:lineRule="auto"/>
              <w:jc w:val="center"/>
            </w:pPr>
            <w:r>
              <w:rPr>
                <w:rFonts w:ascii="Calibri" w:hAnsi="Calibri"/>
                <w:color w:val="404040"/>
                <w:sz w:val="19"/>
              </w:rPr>
              <w:t>14</w:t>
            </w:r>
          </w:p>
        </w:tc>
        <w:tc>
          <w:tcPr>
            <w:tcW w:w="1584" w:type="dxa"/>
            <w:shd w:val="clear" w:color="auto" w:fill="FFFFFF"/>
          </w:tcPr>
          <w:p w14:paraId="49D87915">
            <w:pPr>
              <w:spacing w:after="0" w:line="240" w:lineRule="auto"/>
              <w:jc w:val="center"/>
            </w:pPr>
            <w:r>
              <w:rPr>
                <w:rFonts w:ascii="Calibri" w:hAnsi="Calibri"/>
                <w:color w:val="404040"/>
                <w:sz w:val="19"/>
              </w:rPr>
              <w:t>0.800</w:t>
            </w:r>
          </w:p>
        </w:tc>
        <w:tc>
          <w:tcPr>
            <w:tcW w:w="2016" w:type="dxa"/>
            <w:shd w:val="clear" w:color="auto" w:fill="FFFFFF"/>
          </w:tcPr>
          <w:p w14:paraId="10AA09FA">
            <w:pPr>
              <w:spacing w:after="0" w:line="240" w:lineRule="auto"/>
              <w:jc w:val="center"/>
            </w:pPr>
            <w:r>
              <w:rPr>
                <w:rFonts w:ascii="Calibri" w:hAnsi="Calibri"/>
                <w:color w:val="404040"/>
                <w:sz w:val="19"/>
              </w:rPr>
              <w:t>$8,399.98</w:t>
            </w:r>
          </w:p>
        </w:tc>
      </w:tr>
    </w:tbl>
    <w:p w14:paraId="433ACDB7">
      <w:pPr>
        <w:spacing w:after="120"/>
      </w:pPr>
    </w:p>
    <w:p w14:paraId="41F2AC23">
      <w:pPr>
        <w:spacing w:before="240" w:after="80"/>
      </w:pPr>
      <w:r>
        <w:rPr>
          <w:rFonts w:ascii="Calibri" w:hAnsi="Calibri"/>
          <w:b/>
          <w:color w:val="2E75B6"/>
          <w:sz w:val="24"/>
        </w:rPr>
        <w:t>10.2 Category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347"/>
        <w:gridCol w:w="2336"/>
        <w:gridCol w:w="2191"/>
      </w:tblGrid>
      <w:tr w14:paraId="2510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tcPr>
          <w:p w14:paraId="15C29F92">
            <w:pPr>
              <w:spacing w:after="0" w:line="240" w:lineRule="auto"/>
              <w:jc w:val="center"/>
            </w:pPr>
            <w:r>
              <w:rPr>
                <w:rFonts w:ascii="Calibri" w:hAnsi="Calibri"/>
                <w:b/>
                <w:color w:val="FFFFFF"/>
                <w:sz w:val="19"/>
              </w:rPr>
              <w:t>Category</w:t>
            </w:r>
          </w:p>
        </w:tc>
        <w:tc>
          <w:tcPr>
            <w:tcW w:w="2448" w:type="dxa"/>
            <w:shd w:val="clear" w:color="auto" w:fill="1F4E79"/>
          </w:tcPr>
          <w:p w14:paraId="66706A3F">
            <w:pPr>
              <w:spacing w:after="0" w:line="240" w:lineRule="auto"/>
              <w:jc w:val="center"/>
            </w:pPr>
            <w:r>
              <w:rPr>
                <w:rFonts w:ascii="Calibri" w:hAnsi="Calibri"/>
                <w:b/>
                <w:color w:val="FFFFFF"/>
                <w:sz w:val="19"/>
              </w:rPr>
              <w:t>Total Sales ($)</w:t>
            </w:r>
          </w:p>
        </w:tc>
        <w:tc>
          <w:tcPr>
            <w:tcW w:w="2448" w:type="dxa"/>
            <w:shd w:val="clear" w:color="auto" w:fill="1F4E79"/>
          </w:tcPr>
          <w:p w14:paraId="01A8D44C">
            <w:pPr>
              <w:spacing w:after="0" w:line="240" w:lineRule="auto"/>
              <w:jc w:val="center"/>
            </w:pPr>
            <w:r>
              <w:rPr>
                <w:rFonts w:ascii="Calibri" w:hAnsi="Calibri"/>
                <w:b/>
                <w:color w:val="FFFFFF"/>
                <w:sz w:val="19"/>
              </w:rPr>
              <w:t>Total Profit ($)</w:t>
            </w:r>
          </w:p>
        </w:tc>
        <w:tc>
          <w:tcPr>
            <w:tcW w:w="2304" w:type="dxa"/>
            <w:shd w:val="clear" w:color="auto" w:fill="1F4E79"/>
          </w:tcPr>
          <w:p w14:paraId="44E5202E">
            <w:pPr>
              <w:spacing w:after="0" w:line="240" w:lineRule="auto"/>
              <w:jc w:val="center"/>
            </w:pPr>
            <w:r>
              <w:rPr>
                <w:rFonts w:ascii="Calibri" w:hAnsi="Calibri"/>
                <w:b/>
                <w:color w:val="FFFFFF"/>
                <w:sz w:val="19"/>
              </w:rPr>
              <w:t>Profit Margin (%)</w:t>
            </w:r>
          </w:p>
        </w:tc>
      </w:tr>
      <w:tr w14:paraId="4FFE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BF3FB"/>
          </w:tcPr>
          <w:p w14:paraId="00D43B2E">
            <w:pPr>
              <w:spacing w:after="0" w:line="240" w:lineRule="auto"/>
            </w:pPr>
            <w:r>
              <w:rPr>
                <w:rFonts w:ascii="Calibri" w:hAnsi="Calibri"/>
                <w:color w:val="404040"/>
                <w:sz w:val="19"/>
              </w:rPr>
              <w:t>Technology</w:t>
            </w:r>
          </w:p>
        </w:tc>
        <w:tc>
          <w:tcPr>
            <w:tcW w:w="2448" w:type="dxa"/>
            <w:shd w:val="clear" w:color="auto" w:fill="EBF3FB"/>
          </w:tcPr>
          <w:p w14:paraId="68EF0D07">
            <w:pPr>
              <w:spacing w:after="0" w:line="240" w:lineRule="auto"/>
              <w:jc w:val="center"/>
            </w:pPr>
            <w:r>
              <w:rPr>
                <w:rFonts w:ascii="Calibri" w:hAnsi="Calibri"/>
                <w:color w:val="404040"/>
                <w:sz w:val="19"/>
              </w:rPr>
              <w:t>$836,154</w:t>
            </w:r>
          </w:p>
        </w:tc>
        <w:tc>
          <w:tcPr>
            <w:tcW w:w="2448" w:type="dxa"/>
            <w:shd w:val="clear" w:color="auto" w:fill="EBF3FB"/>
          </w:tcPr>
          <w:p w14:paraId="35D3C406">
            <w:pPr>
              <w:spacing w:after="0" w:line="240" w:lineRule="auto"/>
              <w:jc w:val="center"/>
            </w:pPr>
            <w:r>
              <w:rPr>
                <w:rFonts w:ascii="Calibri" w:hAnsi="Calibri"/>
                <w:color w:val="404040"/>
                <w:sz w:val="19"/>
              </w:rPr>
              <w:t>$145,455</w:t>
            </w:r>
          </w:p>
        </w:tc>
        <w:tc>
          <w:tcPr>
            <w:tcW w:w="2304" w:type="dxa"/>
            <w:shd w:val="clear" w:color="auto" w:fill="EBF3FB"/>
          </w:tcPr>
          <w:p w14:paraId="1813F080">
            <w:pPr>
              <w:spacing w:after="0" w:line="240" w:lineRule="auto"/>
              <w:jc w:val="center"/>
            </w:pPr>
            <w:r>
              <w:rPr>
                <w:rFonts w:ascii="Calibri" w:hAnsi="Calibri"/>
                <w:color w:val="404040"/>
                <w:sz w:val="19"/>
              </w:rPr>
              <w:t>17.4%</w:t>
            </w:r>
          </w:p>
        </w:tc>
      </w:tr>
      <w:tr w14:paraId="65D3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627464F0">
            <w:pPr>
              <w:spacing w:after="0" w:line="240" w:lineRule="auto"/>
            </w:pPr>
            <w:r>
              <w:rPr>
                <w:rFonts w:ascii="Calibri" w:hAnsi="Calibri"/>
                <w:color w:val="404040"/>
                <w:sz w:val="19"/>
              </w:rPr>
              <w:t>Furniture</w:t>
            </w:r>
          </w:p>
        </w:tc>
        <w:tc>
          <w:tcPr>
            <w:tcW w:w="2448" w:type="dxa"/>
            <w:shd w:val="clear" w:color="auto" w:fill="FFFFFF"/>
          </w:tcPr>
          <w:p w14:paraId="26512E2B">
            <w:pPr>
              <w:spacing w:after="0" w:line="240" w:lineRule="auto"/>
              <w:jc w:val="center"/>
            </w:pPr>
            <w:r>
              <w:rPr>
                <w:rFonts w:ascii="Calibri" w:hAnsi="Calibri"/>
                <w:color w:val="404040"/>
                <w:sz w:val="19"/>
              </w:rPr>
              <w:t>$742,000</w:t>
            </w:r>
          </w:p>
        </w:tc>
        <w:tc>
          <w:tcPr>
            <w:tcW w:w="2448" w:type="dxa"/>
            <w:shd w:val="clear" w:color="auto" w:fill="FFFFFF"/>
          </w:tcPr>
          <w:p w14:paraId="1364FF71">
            <w:pPr>
              <w:spacing w:after="0" w:line="240" w:lineRule="auto"/>
              <w:jc w:val="center"/>
            </w:pPr>
            <w:r>
              <w:rPr>
                <w:rFonts w:ascii="Calibri" w:hAnsi="Calibri"/>
                <w:color w:val="404040"/>
                <w:sz w:val="19"/>
              </w:rPr>
              <w:t>$18,451</w:t>
            </w:r>
          </w:p>
        </w:tc>
        <w:tc>
          <w:tcPr>
            <w:tcW w:w="2304" w:type="dxa"/>
            <w:shd w:val="clear" w:color="auto" w:fill="FFFFFF"/>
          </w:tcPr>
          <w:p w14:paraId="24A84108">
            <w:pPr>
              <w:spacing w:after="0" w:line="240" w:lineRule="auto"/>
              <w:jc w:val="center"/>
            </w:pPr>
            <w:r>
              <w:rPr>
                <w:rFonts w:ascii="Calibri" w:hAnsi="Calibri"/>
                <w:color w:val="404040"/>
                <w:sz w:val="19"/>
              </w:rPr>
              <w:t>2.5%</w:t>
            </w:r>
          </w:p>
        </w:tc>
      </w:tr>
      <w:tr w14:paraId="5305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BF3FB"/>
          </w:tcPr>
          <w:p w14:paraId="037FFD6F">
            <w:pPr>
              <w:spacing w:after="0" w:line="240" w:lineRule="auto"/>
            </w:pPr>
            <w:r>
              <w:rPr>
                <w:rFonts w:ascii="Calibri" w:hAnsi="Calibri"/>
                <w:color w:val="404040"/>
                <w:sz w:val="19"/>
              </w:rPr>
              <w:t>Office Supplies</w:t>
            </w:r>
          </w:p>
        </w:tc>
        <w:tc>
          <w:tcPr>
            <w:tcW w:w="2448" w:type="dxa"/>
            <w:shd w:val="clear" w:color="auto" w:fill="EBF3FB"/>
          </w:tcPr>
          <w:p w14:paraId="602A4312">
            <w:pPr>
              <w:spacing w:after="0" w:line="240" w:lineRule="auto"/>
              <w:jc w:val="center"/>
            </w:pPr>
            <w:r>
              <w:rPr>
                <w:rFonts w:ascii="Calibri" w:hAnsi="Calibri"/>
                <w:color w:val="404040"/>
                <w:sz w:val="19"/>
              </w:rPr>
              <w:t>$719,047</w:t>
            </w:r>
          </w:p>
        </w:tc>
        <w:tc>
          <w:tcPr>
            <w:tcW w:w="2448" w:type="dxa"/>
            <w:shd w:val="clear" w:color="auto" w:fill="EBF3FB"/>
          </w:tcPr>
          <w:p w14:paraId="505BE8C6">
            <w:pPr>
              <w:spacing w:after="0" w:line="240" w:lineRule="auto"/>
              <w:jc w:val="center"/>
            </w:pPr>
            <w:r>
              <w:rPr>
                <w:rFonts w:ascii="Calibri" w:hAnsi="Calibri"/>
                <w:color w:val="404040"/>
                <w:sz w:val="19"/>
              </w:rPr>
              <w:t>$122,491</w:t>
            </w:r>
          </w:p>
        </w:tc>
        <w:tc>
          <w:tcPr>
            <w:tcW w:w="2304" w:type="dxa"/>
            <w:shd w:val="clear" w:color="auto" w:fill="EBF3FB"/>
          </w:tcPr>
          <w:p w14:paraId="70FDC899">
            <w:pPr>
              <w:spacing w:after="0" w:line="240" w:lineRule="auto"/>
              <w:jc w:val="center"/>
            </w:pPr>
            <w:r>
              <w:rPr>
                <w:rFonts w:ascii="Calibri" w:hAnsi="Calibri"/>
                <w:color w:val="404040"/>
                <w:sz w:val="19"/>
              </w:rPr>
              <w:t>17.0%</w:t>
            </w:r>
          </w:p>
        </w:tc>
      </w:tr>
      <w:tr w14:paraId="292E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FFFFF"/>
          </w:tcPr>
          <w:p w14:paraId="1406032C">
            <w:pPr>
              <w:spacing w:after="0" w:line="240" w:lineRule="auto"/>
            </w:pPr>
            <w:r>
              <w:rPr>
                <w:rFonts w:ascii="Calibri" w:hAnsi="Calibri"/>
                <w:color w:val="404040"/>
                <w:sz w:val="19"/>
              </w:rPr>
              <w:t>TOTAL</w:t>
            </w:r>
          </w:p>
        </w:tc>
        <w:tc>
          <w:tcPr>
            <w:tcW w:w="2448" w:type="dxa"/>
            <w:shd w:val="clear" w:color="auto" w:fill="FFFFFF"/>
          </w:tcPr>
          <w:p w14:paraId="45B46A54">
            <w:pPr>
              <w:spacing w:after="0" w:line="240" w:lineRule="auto"/>
              <w:jc w:val="center"/>
            </w:pPr>
            <w:r>
              <w:rPr>
                <w:rFonts w:ascii="Calibri" w:hAnsi="Calibri"/>
                <w:color w:val="404040"/>
                <w:sz w:val="19"/>
              </w:rPr>
              <w:t>$2,297,201</w:t>
            </w:r>
          </w:p>
        </w:tc>
        <w:tc>
          <w:tcPr>
            <w:tcW w:w="2448" w:type="dxa"/>
            <w:shd w:val="clear" w:color="auto" w:fill="FFFFFF"/>
          </w:tcPr>
          <w:p w14:paraId="355FECF6">
            <w:pPr>
              <w:spacing w:after="0" w:line="240" w:lineRule="auto"/>
              <w:jc w:val="center"/>
            </w:pPr>
            <w:r>
              <w:rPr>
                <w:rFonts w:ascii="Calibri" w:hAnsi="Calibri"/>
                <w:color w:val="404040"/>
                <w:sz w:val="19"/>
              </w:rPr>
              <w:t>$286,397</w:t>
            </w:r>
          </w:p>
        </w:tc>
        <w:tc>
          <w:tcPr>
            <w:tcW w:w="2304" w:type="dxa"/>
            <w:shd w:val="clear" w:color="auto" w:fill="FFFFFF"/>
          </w:tcPr>
          <w:p w14:paraId="3C12680B">
            <w:pPr>
              <w:spacing w:after="0" w:line="240" w:lineRule="auto"/>
              <w:jc w:val="center"/>
            </w:pPr>
            <w:r>
              <w:rPr>
                <w:rFonts w:ascii="Calibri" w:hAnsi="Calibri"/>
                <w:color w:val="404040"/>
                <w:sz w:val="19"/>
              </w:rPr>
              <w:t>12.5%</w:t>
            </w:r>
          </w:p>
        </w:tc>
      </w:tr>
    </w:tbl>
    <w:p w14:paraId="6DEE80C7">
      <w:pPr>
        <w:spacing w:after="120"/>
      </w:pPr>
    </w:p>
    <w:p w14:paraId="71CF356C">
      <w:pPr>
        <w:spacing w:before="40" w:after="100"/>
      </w:pPr>
      <w:r>
        <w:rPr>
          <w:rFonts w:ascii="Calibri" w:hAnsi="Calibri"/>
          <w:color w:val="404040"/>
          <w:sz w:val="21"/>
        </w:rPr>
        <w:t>Technology leads in both revenue ($836,154) and profit margin (17.4%). Furniture, despite generating $742,000 in revenue, yields only a 2.5% margin — the lowest of the three categories — indicating significant erosion from discounting.</w:t>
      </w:r>
    </w:p>
    <w:p w14:paraId="35415610">
      <w:pPr>
        <w:spacing w:before="240" w:after="80"/>
      </w:pPr>
      <w:r>
        <w:rPr>
          <w:rFonts w:ascii="Calibri" w:hAnsi="Calibri"/>
          <w:b/>
          <w:color w:val="2E75B6"/>
          <w:sz w:val="24"/>
        </w:rPr>
        <w:t>10.3 Regional Loss Rates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016"/>
        <w:gridCol w:w="5472"/>
      </w:tblGrid>
      <w:tr w14:paraId="1B22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268F77F5">
            <w:pPr>
              <w:spacing w:after="0" w:line="240" w:lineRule="auto"/>
              <w:jc w:val="center"/>
            </w:pPr>
            <w:r>
              <w:rPr>
                <w:rFonts w:ascii="Calibri" w:hAnsi="Calibri"/>
                <w:b/>
                <w:color w:val="FFFFFF"/>
                <w:sz w:val="19"/>
              </w:rPr>
              <w:t>Region</w:t>
            </w:r>
          </w:p>
        </w:tc>
        <w:tc>
          <w:tcPr>
            <w:tcW w:w="2016" w:type="dxa"/>
            <w:shd w:val="clear" w:color="auto" w:fill="1F4E79"/>
          </w:tcPr>
          <w:p w14:paraId="68F9CB2B">
            <w:pPr>
              <w:spacing w:after="0" w:line="240" w:lineRule="auto"/>
              <w:jc w:val="center"/>
            </w:pPr>
            <w:r>
              <w:rPr>
                <w:rFonts w:ascii="Calibri" w:hAnsi="Calibri"/>
                <w:b/>
                <w:color w:val="FFFFFF"/>
                <w:sz w:val="19"/>
              </w:rPr>
              <w:t>Loss Rate (%)</w:t>
            </w:r>
          </w:p>
        </w:tc>
        <w:tc>
          <w:tcPr>
            <w:tcW w:w="5472" w:type="dxa"/>
            <w:shd w:val="clear" w:color="auto" w:fill="1F4E79"/>
          </w:tcPr>
          <w:p w14:paraId="51F4104E">
            <w:pPr>
              <w:spacing w:after="0" w:line="240" w:lineRule="auto"/>
              <w:jc w:val="center"/>
            </w:pPr>
            <w:r>
              <w:rPr>
                <w:rFonts w:ascii="Calibri" w:hAnsi="Calibri"/>
                <w:b/>
                <w:color w:val="FFFFFF"/>
                <w:sz w:val="19"/>
              </w:rPr>
              <w:t>Observation</w:t>
            </w:r>
          </w:p>
        </w:tc>
      </w:tr>
      <w:tr w14:paraId="1554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0FA824FF">
            <w:pPr>
              <w:spacing w:after="0" w:line="240" w:lineRule="auto"/>
            </w:pPr>
            <w:r>
              <w:rPr>
                <w:rFonts w:ascii="Calibri" w:hAnsi="Calibri"/>
                <w:color w:val="404040"/>
                <w:sz w:val="19"/>
              </w:rPr>
              <w:t>Central</w:t>
            </w:r>
          </w:p>
        </w:tc>
        <w:tc>
          <w:tcPr>
            <w:tcW w:w="2016" w:type="dxa"/>
            <w:shd w:val="clear" w:color="auto" w:fill="EBF3FB"/>
          </w:tcPr>
          <w:p w14:paraId="40A00FB9">
            <w:pPr>
              <w:spacing w:after="0" w:line="240" w:lineRule="auto"/>
              <w:jc w:val="center"/>
            </w:pPr>
            <w:r>
              <w:rPr>
                <w:rFonts w:ascii="Calibri" w:hAnsi="Calibri"/>
                <w:color w:val="404040"/>
                <w:sz w:val="19"/>
              </w:rPr>
              <w:t>31.9%</w:t>
            </w:r>
          </w:p>
        </w:tc>
        <w:tc>
          <w:tcPr>
            <w:tcW w:w="5472" w:type="dxa"/>
            <w:shd w:val="clear" w:color="auto" w:fill="EBF3FB"/>
          </w:tcPr>
          <w:p w14:paraId="5787F1D0">
            <w:pPr>
              <w:spacing w:after="0" w:line="240" w:lineRule="auto"/>
              <w:jc w:val="center"/>
            </w:pPr>
            <w:r>
              <w:rPr>
                <w:rFonts w:ascii="Calibri" w:hAnsi="Calibri"/>
                <w:color w:val="404040"/>
                <w:sz w:val="19"/>
              </w:rPr>
              <w:t>Highest — driven by 80% discount pattern on Binders/Appliances</w:t>
            </w:r>
          </w:p>
        </w:tc>
      </w:tr>
      <w:tr w14:paraId="170D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6CC879D0">
            <w:pPr>
              <w:spacing w:after="0" w:line="240" w:lineRule="auto"/>
            </w:pPr>
            <w:r>
              <w:rPr>
                <w:rFonts w:ascii="Calibri" w:hAnsi="Calibri"/>
                <w:color w:val="404040"/>
                <w:sz w:val="19"/>
              </w:rPr>
              <w:t>East</w:t>
            </w:r>
          </w:p>
        </w:tc>
        <w:tc>
          <w:tcPr>
            <w:tcW w:w="2016" w:type="dxa"/>
            <w:shd w:val="clear" w:color="auto" w:fill="FFFFFF"/>
          </w:tcPr>
          <w:p w14:paraId="61F62316">
            <w:pPr>
              <w:spacing w:after="0" w:line="240" w:lineRule="auto"/>
              <w:jc w:val="center"/>
            </w:pPr>
            <w:r>
              <w:rPr>
                <w:rFonts w:ascii="Calibri" w:hAnsi="Calibri"/>
                <w:color w:val="404040"/>
                <w:sz w:val="19"/>
              </w:rPr>
              <w:t>19.4%</w:t>
            </w:r>
          </w:p>
        </w:tc>
        <w:tc>
          <w:tcPr>
            <w:tcW w:w="5472" w:type="dxa"/>
            <w:shd w:val="clear" w:color="auto" w:fill="FFFFFF"/>
          </w:tcPr>
          <w:p w14:paraId="3AACED04">
            <w:pPr>
              <w:spacing w:after="0" w:line="240" w:lineRule="auto"/>
              <w:jc w:val="center"/>
            </w:pPr>
            <w:r>
              <w:rPr>
                <w:rFonts w:ascii="Calibri" w:hAnsi="Calibri"/>
                <w:color w:val="404040"/>
                <w:sz w:val="19"/>
              </w:rPr>
              <w:t>Above average — Tables and Machines with high discounts</w:t>
            </w:r>
          </w:p>
        </w:tc>
      </w:tr>
      <w:tr w14:paraId="659F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7DEB897E">
            <w:pPr>
              <w:spacing w:after="0" w:line="240" w:lineRule="auto"/>
            </w:pPr>
            <w:r>
              <w:rPr>
                <w:rFonts w:ascii="Calibri" w:hAnsi="Calibri"/>
                <w:color w:val="404040"/>
                <w:sz w:val="19"/>
              </w:rPr>
              <w:t>South</w:t>
            </w:r>
          </w:p>
        </w:tc>
        <w:tc>
          <w:tcPr>
            <w:tcW w:w="2016" w:type="dxa"/>
            <w:shd w:val="clear" w:color="auto" w:fill="EBF3FB"/>
          </w:tcPr>
          <w:p w14:paraId="50069F8F">
            <w:pPr>
              <w:spacing w:after="0" w:line="240" w:lineRule="auto"/>
              <w:jc w:val="center"/>
            </w:pPr>
            <w:r>
              <w:rPr>
                <w:rFonts w:ascii="Calibri" w:hAnsi="Calibri"/>
                <w:color w:val="404040"/>
                <w:sz w:val="19"/>
              </w:rPr>
              <w:t>16.0%</w:t>
            </w:r>
          </w:p>
        </w:tc>
        <w:tc>
          <w:tcPr>
            <w:tcW w:w="5472" w:type="dxa"/>
            <w:shd w:val="clear" w:color="auto" w:fill="EBF3FB"/>
          </w:tcPr>
          <w:p w14:paraId="2924034C">
            <w:pPr>
              <w:spacing w:after="0" w:line="240" w:lineRule="auto"/>
              <w:jc w:val="center"/>
            </w:pPr>
            <w:r>
              <w:rPr>
                <w:rFonts w:ascii="Calibri" w:hAnsi="Calibri"/>
                <w:color w:val="404040"/>
                <w:sz w:val="19"/>
              </w:rPr>
              <w:t>Near average</w:t>
            </w:r>
          </w:p>
        </w:tc>
      </w:tr>
      <w:tr w14:paraId="4300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2A4CCA69">
            <w:pPr>
              <w:spacing w:after="0" w:line="240" w:lineRule="auto"/>
            </w:pPr>
            <w:r>
              <w:rPr>
                <w:rFonts w:ascii="Calibri" w:hAnsi="Calibri"/>
                <w:color w:val="404040"/>
                <w:sz w:val="19"/>
              </w:rPr>
              <w:t>West</w:t>
            </w:r>
          </w:p>
        </w:tc>
        <w:tc>
          <w:tcPr>
            <w:tcW w:w="2016" w:type="dxa"/>
            <w:shd w:val="clear" w:color="auto" w:fill="FFFFFF"/>
          </w:tcPr>
          <w:p w14:paraId="5EFDED44">
            <w:pPr>
              <w:spacing w:after="0" w:line="240" w:lineRule="auto"/>
              <w:jc w:val="center"/>
            </w:pPr>
            <w:r>
              <w:rPr>
                <w:rFonts w:ascii="Calibri" w:hAnsi="Calibri"/>
                <w:color w:val="404040"/>
                <w:sz w:val="19"/>
              </w:rPr>
              <w:t>9.9%</w:t>
            </w:r>
          </w:p>
        </w:tc>
        <w:tc>
          <w:tcPr>
            <w:tcW w:w="5472" w:type="dxa"/>
            <w:shd w:val="clear" w:color="auto" w:fill="FFFFFF"/>
          </w:tcPr>
          <w:p w14:paraId="4E8442B6">
            <w:pPr>
              <w:spacing w:after="0" w:line="240" w:lineRule="auto"/>
              <w:jc w:val="center"/>
            </w:pPr>
            <w:r>
              <w:rPr>
                <w:rFonts w:ascii="Calibri" w:hAnsi="Calibri"/>
                <w:color w:val="404040"/>
                <w:sz w:val="19"/>
              </w:rPr>
              <w:t>Lowest — best pricing discipline</w:t>
            </w:r>
          </w:p>
        </w:tc>
      </w:tr>
    </w:tbl>
    <w:p w14:paraId="77F32686">
      <w:pPr>
        <w:spacing w:after="120"/>
      </w:pPr>
    </w:p>
    <w:p w14:paraId="4619D9AA">
      <w:pPr>
        <w:spacing w:before="240" w:after="80"/>
      </w:pPr>
      <w:r>
        <w:rPr>
          <w:rFonts w:ascii="Calibri" w:hAnsi="Calibri"/>
          <w:b/>
          <w:color w:val="2E75B6"/>
          <w:sz w:val="24"/>
        </w:rPr>
        <w:t>10.4 Monthly Sales and Profit Trend</w:t>
      </w:r>
    </w:p>
    <w:p w14:paraId="68C039AE">
      <w:pPr>
        <w:spacing w:before="120"/>
        <w:jc w:val="center"/>
      </w:pPr>
      <w:r>
        <w:drawing>
          <wp:inline distT="0" distB="0" distL="0" distR="0">
            <wp:extent cx="5486400" cy="177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1775374"/>
                    </a:xfrm>
                    <a:prstGeom prst="rect">
                      <a:avLst/>
                    </a:prstGeom>
                  </pic:spPr>
                </pic:pic>
              </a:graphicData>
            </a:graphic>
          </wp:inline>
        </w:drawing>
      </w:r>
    </w:p>
    <w:p w14:paraId="3171A9C5">
      <w:pPr>
        <w:spacing w:before="40"/>
        <w:jc w:val="center"/>
      </w:pPr>
      <w:r>
        <w:rPr>
          <w:rFonts w:ascii="Calibri" w:hAnsi="Calibri"/>
          <w:i/>
          <w:color w:val="707070"/>
          <w:sz w:val="18"/>
        </w:rPr>
        <w:t>Figure 1: Monthly Sales and Profit Trend (2011–2014). Blue area = Sales ($K); teal dashed line = Profit ($K); red dotted = break-even.</w:t>
      </w:r>
    </w:p>
    <w:p w14:paraId="708AB112">
      <w:pPr>
        <w:spacing w:before="240" w:after="80"/>
      </w:pPr>
      <w:r>
        <w:rPr>
          <w:rFonts w:ascii="Calibri" w:hAnsi="Calibri"/>
          <w:b/>
          <w:color w:val="2E75B6"/>
          <w:sz w:val="24"/>
        </w:rPr>
        <w:t>10.5 Sub-Category Profitability</w:t>
      </w:r>
    </w:p>
    <w:p w14:paraId="13B7FCD2">
      <w:pPr>
        <w:spacing w:before="120"/>
        <w:jc w:val="center"/>
      </w:pPr>
      <w:r>
        <w:drawing>
          <wp:inline distT="0" distB="0" distL="0" distR="0">
            <wp:extent cx="5486400" cy="3243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243649"/>
                    </a:xfrm>
                    <a:prstGeom prst="rect">
                      <a:avLst/>
                    </a:prstGeom>
                  </pic:spPr>
                </pic:pic>
              </a:graphicData>
            </a:graphic>
          </wp:inline>
        </w:drawing>
      </w:r>
    </w:p>
    <w:p w14:paraId="146AD2BE">
      <w:pPr>
        <w:spacing w:before="40"/>
        <w:jc w:val="center"/>
      </w:pPr>
      <w:r>
        <w:rPr>
          <w:rFonts w:ascii="Calibri" w:hAnsi="Calibri"/>
          <w:i/>
          <w:color w:val="707070"/>
          <w:sz w:val="18"/>
        </w:rPr>
        <w:t>Figure 2: Total Profit by Sub-Category. Green bars = net profitable; red bars = net loss over the full period.</w:t>
      </w:r>
    </w:p>
    <w:p w14:paraId="61237D51">
      <w:pPr>
        <w:spacing w:before="40" w:after="100"/>
      </w:pPr>
      <w:r>
        <w:rPr>
          <w:rFonts w:ascii="Calibri" w:hAnsi="Calibri"/>
          <w:color w:val="404040"/>
          <w:sz w:val="21"/>
        </w:rPr>
        <w:t>Top profitable sub-categories: Copiers, Phones, Accessories. Net loss sub-categories: Tables, Bookcases, Supplies. Tables and Bookcases are structurally loss-making due to deep discounting practices.</w:t>
      </w:r>
    </w:p>
    <w:p w14:paraId="298B7268">
      <w:r>
        <w:br w:type="page"/>
      </w:r>
    </w:p>
    <w:p w14:paraId="65B0BB6C">
      <w:pPr>
        <w:spacing w:before="360" w:after="120"/>
      </w:pPr>
      <w:r>
        <w:rPr>
          <w:rFonts w:ascii="Calibri" w:hAnsi="Calibri"/>
          <w:b/>
          <w:color w:val="1F4E79"/>
          <w:sz w:val="30"/>
        </w:rPr>
        <w:t>11. Exploratory Data Analysis</w:t>
      </w:r>
    </w:p>
    <w:p w14:paraId="48130E8D">
      <w:pPr>
        <w:pBdr>
          <w:bottom w:val="single" w:color="1F4E79" w:sz="8" w:space="1"/>
        </w:pBdr>
        <w:spacing w:after="40"/>
      </w:pPr>
    </w:p>
    <w:p w14:paraId="1E221BC7">
      <w:pPr>
        <w:spacing w:before="240" w:after="80"/>
      </w:pPr>
      <w:r>
        <w:rPr>
          <w:rFonts w:ascii="Calibri" w:hAnsi="Calibri"/>
          <w:b/>
          <w:color w:val="2E75B6"/>
          <w:sz w:val="24"/>
        </w:rPr>
        <w:t>11.1 Class Balance</w:t>
      </w:r>
    </w:p>
    <w:p w14:paraId="1D9071FE">
      <w:pPr>
        <w:spacing w:before="120"/>
        <w:jc w:val="center"/>
      </w:pPr>
      <w:r>
        <w:drawing>
          <wp:inline distT="0" distB="0" distL="0" distR="0">
            <wp:extent cx="36576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57600" cy="2515226"/>
                    </a:xfrm>
                    <a:prstGeom prst="rect">
                      <a:avLst/>
                    </a:prstGeom>
                  </pic:spPr>
                </pic:pic>
              </a:graphicData>
            </a:graphic>
          </wp:inline>
        </w:drawing>
      </w:r>
    </w:p>
    <w:p w14:paraId="4971E8CD">
      <w:pPr>
        <w:spacing w:before="40"/>
        <w:jc w:val="center"/>
      </w:pPr>
      <w:r>
        <w:rPr>
          <w:rFonts w:ascii="Calibri" w:hAnsi="Calibri"/>
          <w:i/>
          <w:color w:val="707070"/>
          <w:sz w:val="18"/>
        </w:rPr>
        <w:t>Figure 3: Target Variable Distribution. Loss_Flag = 0 (Profitable): 8,123 (81.3%). Loss_Flag = 1 (Loss): 1,871 (18.7%).</w:t>
      </w:r>
    </w:p>
    <w:p w14:paraId="31FCDDE9">
      <w:pPr>
        <w:spacing w:before="40" w:after="100"/>
      </w:pPr>
      <w:r>
        <w:rPr>
          <w:rFonts w:ascii="Calibri" w:hAnsi="Calibri"/>
          <w:color w:val="404040"/>
          <w:sz w:val="21"/>
        </w:rPr>
        <w:t>The class distribution is mildly imbalanced: 81.3% profitable versus 18.7% loss-making. This ratio is sufficient for standard classification without aggressive resampling. The class_weight='balanced' parameter was used in both models to adjust for the imbalance during training.</w:t>
      </w:r>
    </w:p>
    <w:p w14:paraId="4CD9FA87">
      <w:pPr>
        <w:spacing w:before="240" w:after="80"/>
      </w:pPr>
      <w:r>
        <w:rPr>
          <w:rFonts w:ascii="Calibri" w:hAnsi="Calibri"/>
          <w:b/>
          <w:color w:val="2E75B6"/>
          <w:sz w:val="24"/>
        </w:rPr>
        <w:t>11.2 Discount Distribution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8"/>
        <w:gridCol w:w="1935"/>
        <w:gridCol w:w="1657"/>
        <w:gridCol w:w="3962"/>
      </w:tblGrid>
      <w:tr w14:paraId="3E59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616CE070">
            <w:pPr>
              <w:spacing w:after="0" w:line="240" w:lineRule="auto"/>
              <w:jc w:val="center"/>
            </w:pPr>
            <w:r>
              <w:rPr>
                <w:rFonts w:ascii="Calibri" w:hAnsi="Calibri"/>
                <w:b/>
                <w:color w:val="FFFFFF"/>
                <w:sz w:val="19"/>
              </w:rPr>
              <w:t>Discount Bracket</w:t>
            </w:r>
          </w:p>
        </w:tc>
        <w:tc>
          <w:tcPr>
            <w:tcW w:w="2016" w:type="dxa"/>
            <w:shd w:val="clear" w:color="auto" w:fill="1F4E79"/>
          </w:tcPr>
          <w:p w14:paraId="28EB08E6">
            <w:pPr>
              <w:spacing w:after="0" w:line="240" w:lineRule="auto"/>
              <w:jc w:val="center"/>
            </w:pPr>
            <w:r>
              <w:rPr>
                <w:rFonts w:ascii="Calibri" w:hAnsi="Calibri"/>
                <w:b/>
                <w:color w:val="FFFFFF"/>
                <w:sz w:val="19"/>
              </w:rPr>
              <w:t>Avg Profit ($)</w:t>
            </w:r>
          </w:p>
        </w:tc>
        <w:tc>
          <w:tcPr>
            <w:tcW w:w="1728" w:type="dxa"/>
            <w:shd w:val="clear" w:color="auto" w:fill="1F4E79"/>
          </w:tcPr>
          <w:p w14:paraId="5BC11BB9">
            <w:pPr>
              <w:spacing w:after="0" w:line="240" w:lineRule="auto"/>
              <w:jc w:val="center"/>
            </w:pPr>
            <w:r>
              <w:rPr>
                <w:rFonts w:ascii="Calibri" w:hAnsi="Calibri"/>
                <w:b/>
                <w:color w:val="FFFFFF"/>
                <w:sz w:val="19"/>
              </w:rPr>
              <w:t>Loss Rate (%)</w:t>
            </w:r>
          </w:p>
        </w:tc>
        <w:tc>
          <w:tcPr>
            <w:tcW w:w="4176" w:type="dxa"/>
            <w:shd w:val="clear" w:color="auto" w:fill="1F4E79"/>
          </w:tcPr>
          <w:p w14:paraId="1A515C94">
            <w:pPr>
              <w:spacing w:after="0" w:line="240" w:lineRule="auto"/>
              <w:jc w:val="center"/>
            </w:pPr>
            <w:r>
              <w:rPr>
                <w:rFonts w:ascii="Calibri" w:hAnsi="Calibri"/>
                <w:b/>
                <w:color w:val="FFFFFF"/>
                <w:sz w:val="19"/>
              </w:rPr>
              <w:t>Interpretation</w:t>
            </w:r>
          </w:p>
        </w:tc>
      </w:tr>
      <w:tr w14:paraId="44C0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05FD3248">
            <w:pPr>
              <w:spacing w:after="0" w:line="240" w:lineRule="auto"/>
            </w:pPr>
            <w:r>
              <w:rPr>
                <w:rFonts w:ascii="Calibri" w:hAnsi="Calibri"/>
                <w:color w:val="404040"/>
                <w:sz w:val="19"/>
              </w:rPr>
              <w:t>0% (no discount)</w:t>
            </w:r>
          </w:p>
        </w:tc>
        <w:tc>
          <w:tcPr>
            <w:tcW w:w="2016" w:type="dxa"/>
            <w:shd w:val="clear" w:color="auto" w:fill="EBF3FB"/>
          </w:tcPr>
          <w:p w14:paraId="5D7EA708">
            <w:pPr>
              <w:spacing w:after="0" w:line="240" w:lineRule="auto"/>
              <w:jc w:val="center"/>
            </w:pPr>
            <w:r>
              <w:rPr>
                <w:rFonts w:ascii="Calibri" w:hAnsi="Calibri"/>
                <w:color w:val="404040"/>
                <w:sz w:val="19"/>
              </w:rPr>
              <w:t>+$66.90</w:t>
            </w:r>
          </w:p>
        </w:tc>
        <w:tc>
          <w:tcPr>
            <w:tcW w:w="1728" w:type="dxa"/>
            <w:shd w:val="clear" w:color="auto" w:fill="EBF3FB"/>
          </w:tcPr>
          <w:p w14:paraId="5EDAC48E">
            <w:pPr>
              <w:spacing w:after="0" w:line="240" w:lineRule="auto"/>
              <w:jc w:val="center"/>
            </w:pPr>
            <w:r>
              <w:rPr>
                <w:rFonts w:ascii="Calibri" w:hAnsi="Calibri"/>
                <w:color w:val="404040"/>
                <w:sz w:val="19"/>
              </w:rPr>
              <w:t>0.0%</w:t>
            </w:r>
          </w:p>
        </w:tc>
        <w:tc>
          <w:tcPr>
            <w:tcW w:w="4176" w:type="dxa"/>
            <w:shd w:val="clear" w:color="auto" w:fill="EBF3FB"/>
          </w:tcPr>
          <w:p w14:paraId="09B375F3">
            <w:pPr>
              <w:spacing w:after="0" w:line="240" w:lineRule="auto"/>
              <w:jc w:val="center"/>
            </w:pPr>
            <w:r>
              <w:rPr>
                <w:rFonts w:ascii="Calibri" w:hAnsi="Calibri"/>
                <w:color w:val="404040"/>
                <w:sz w:val="19"/>
              </w:rPr>
              <w:t>No discount = no loss. Zero loss rate.</w:t>
            </w:r>
          </w:p>
        </w:tc>
      </w:tr>
      <w:tr w14:paraId="3A8D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A669D01">
            <w:pPr>
              <w:spacing w:after="0" w:line="240" w:lineRule="auto"/>
            </w:pPr>
            <w:r>
              <w:rPr>
                <w:rFonts w:ascii="Calibri" w:hAnsi="Calibri"/>
                <w:color w:val="404040"/>
                <w:sz w:val="19"/>
              </w:rPr>
              <w:t>1–20%</w:t>
            </w:r>
          </w:p>
        </w:tc>
        <w:tc>
          <w:tcPr>
            <w:tcW w:w="2016" w:type="dxa"/>
            <w:shd w:val="clear" w:color="auto" w:fill="FFFFFF"/>
          </w:tcPr>
          <w:p w14:paraId="3DA206BB">
            <w:pPr>
              <w:spacing w:after="0" w:line="240" w:lineRule="auto"/>
              <w:jc w:val="center"/>
            </w:pPr>
            <w:r>
              <w:rPr>
                <w:rFonts w:ascii="Calibri" w:hAnsi="Calibri"/>
                <w:color w:val="404040"/>
                <w:sz w:val="19"/>
              </w:rPr>
              <w:t>+$26.50</w:t>
            </w:r>
          </w:p>
        </w:tc>
        <w:tc>
          <w:tcPr>
            <w:tcW w:w="1728" w:type="dxa"/>
            <w:shd w:val="clear" w:color="auto" w:fill="FFFFFF"/>
          </w:tcPr>
          <w:p w14:paraId="0BE905D5">
            <w:pPr>
              <w:spacing w:after="0" w:line="240" w:lineRule="auto"/>
              <w:jc w:val="center"/>
            </w:pPr>
            <w:r>
              <w:rPr>
                <w:rFonts w:ascii="Calibri" w:hAnsi="Calibri"/>
                <w:color w:val="404040"/>
                <w:sz w:val="19"/>
              </w:rPr>
              <w:t>13.8%</w:t>
            </w:r>
          </w:p>
        </w:tc>
        <w:tc>
          <w:tcPr>
            <w:tcW w:w="4176" w:type="dxa"/>
            <w:shd w:val="clear" w:color="auto" w:fill="FFFFFF"/>
          </w:tcPr>
          <w:p w14:paraId="05918450">
            <w:pPr>
              <w:spacing w:after="0" w:line="240" w:lineRule="auto"/>
              <w:jc w:val="center"/>
            </w:pPr>
            <w:r>
              <w:rPr>
                <w:rFonts w:ascii="Calibri" w:hAnsi="Calibri"/>
                <w:color w:val="404040"/>
                <w:sz w:val="19"/>
              </w:rPr>
              <w:t>Low discount introduces moderate risk.</w:t>
            </w:r>
          </w:p>
        </w:tc>
      </w:tr>
      <w:tr w14:paraId="43D0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6915FAF9">
            <w:pPr>
              <w:spacing w:after="0" w:line="240" w:lineRule="auto"/>
            </w:pPr>
            <w:r>
              <w:rPr>
                <w:rFonts w:ascii="Calibri" w:hAnsi="Calibri"/>
                <w:color w:val="404040"/>
                <w:sz w:val="19"/>
              </w:rPr>
              <w:t>21–40%</w:t>
            </w:r>
          </w:p>
        </w:tc>
        <w:tc>
          <w:tcPr>
            <w:tcW w:w="2016" w:type="dxa"/>
            <w:shd w:val="clear" w:color="auto" w:fill="EBF3FB"/>
          </w:tcPr>
          <w:p w14:paraId="0B4A0A3C">
            <w:pPr>
              <w:spacing w:after="0" w:line="240" w:lineRule="auto"/>
              <w:jc w:val="center"/>
            </w:pPr>
            <w:r>
              <w:rPr>
                <w:rFonts w:ascii="Calibri" w:hAnsi="Calibri"/>
                <w:color w:val="404040"/>
                <w:sz w:val="19"/>
              </w:rPr>
              <w:t>−$77.86</w:t>
            </w:r>
          </w:p>
        </w:tc>
        <w:tc>
          <w:tcPr>
            <w:tcW w:w="1728" w:type="dxa"/>
            <w:shd w:val="clear" w:color="auto" w:fill="EBF3FB"/>
          </w:tcPr>
          <w:p w14:paraId="3277693A">
            <w:pPr>
              <w:spacing w:after="0" w:line="240" w:lineRule="auto"/>
              <w:jc w:val="center"/>
            </w:pPr>
            <w:r>
              <w:rPr>
                <w:rFonts w:ascii="Calibri" w:hAnsi="Calibri"/>
                <w:color w:val="404040"/>
                <w:sz w:val="19"/>
              </w:rPr>
              <w:t>90.2%</w:t>
            </w:r>
          </w:p>
        </w:tc>
        <w:tc>
          <w:tcPr>
            <w:tcW w:w="4176" w:type="dxa"/>
            <w:shd w:val="clear" w:color="auto" w:fill="EBF3FB"/>
          </w:tcPr>
          <w:p w14:paraId="2A0CB036">
            <w:pPr>
              <w:spacing w:after="0" w:line="240" w:lineRule="auto"/>
              <w:jc w:val="center"/>
            </w:pPr>
            <w:r>
              <w:rPr>
                <w:rFonts w:ascii="Calibri" w:hAnsi="Calibri"/>
                <w:color w:val="404040"/>
                <w:sz w:val="19"/>
              </w:rPr>
              <w:t>Near-certain loss above 20%.</w:t>
            </w:r>
          </w:p>
        </w:tc>
      </w:tr>
      <w:tr w14:paraId="125D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C9A5761">
            <w:pPr>
              <w:spacing w:after="0" w:line="240" w:lineRule="auto"/>
            </w:pPr>
            <w:r>
              <w:rPr>
                <w:rFonts w:ascii="Calibri" w:hAnsi="Calibri"/>
                <w:color w:val="404040"/>
                <w:sz w:val="19"/>
              </w:rPr>
              <w:t>41–60%</w:t>
            </w:r>
          </w:p>
        </w:tc>
        <w:tc>
          <w:tcPr>
            <w:tcW w:w="2016" w:type="dxa"/>
            <w:shd w:val="clear" w:color="auto" w:fill="FFFFFF"/>
          </w:tcPr>
          <w:p w14:paraId="0816F3F7">
            <w:pPr>
              <w:spacing w:after="0" w:line="240" w:lineRule="auto"/>
              <w:jc w:val="center"/>
            </w:pPr>
            <w:r>
              <w:rPr>
                <w:rFonts w:ascii="Calibri" w:hAnsi="Calibri"/>
                <w:color w:val="404040"/>
                <w:sz w:val="19"/>
              </w:rPr>
              <w:t>−$134.62</w:t>
            </w:r>
          </w:p>
        </w:tc>
        <w:tc>
          <w:tcPr>
            <w:tcW w:w="1728" w:type="dxa"/>
            <w:shd w:val="clear" w:color="auto" w:fill="FFFFFF"/>
          </w:tcPr>
          <w:p w14:paraId="739A0865">
            <w:pPr>
              <w:spacing w:after="0" w:line="240" w:lineRule="auto"/>
              <w:jc w:val="center"/>
            </w:pPr>
            <w:r>
              <w:rPr>
                <w:rFonts w:ascii="Calibri" w:hAnsi="Calibri"/>
                <w:color w:val="404040"/>
                <w:sz w:val="19"/>
              </w:rPr>
              <w:t>100.0%</w:t>
            </w:r>
          </w:p>
        </w:tc>
        <w:tc>
          <w:tcPr>
            <w:tcW w:w="4176" w:type="dxa"/>
            <w:shd w:val="clear" w:color="auto" w:fill="FFFFFF"/>
          </w:tcPr>
          <w:p w14:paraId="7740F756">
            <w:pPr>
              <w:spacing w:after="0" w:line="240" w:lineRule="auto"/>
              <w:jc w:val="center"/>
            </w:pPr>
            <w:r>
              <w:rPr>
                <w:rFonts w:ascii="Calibri" w:hAnsi="Calibri"/>
                <w:color w:val="404040"/>
                <w:sz w:val="19"/>
              </w:rPr>
              <w:t>Every transaction is a loss.</w:t>
            </w:r>
          </w:p>
        </w:tc>
      </w:tr>
      <w:tr w14:paraId="6A45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2907F608">
            <w:pPr>
              <w:spacing w:after="0" w:line="240" w:lineRule="auto"/>
            </w:pPr>
            <w:r>
              <w:rPr>
                <w:rFonts w:ascii="Calibri" w:hAnsi="Calibri"/>
                <w:color w:val="404040"/>
                <w:sz w:val="19"/>
              </w:rPr>
              <w:t>61–80%</w:t>
            </w:r>
          </w:p>
        </w:tc>
        <w:tc>
          <w:tcPr>
            <w:tcW w:w="2016" w:type="dxa"/>
            <w:shd w:val="clear" w:color="auto" w:fill="EBF3FB"/>
          </w:tcPr>
          <w:p w14:paraId="317648CE">
            <w:pPr>
              <w:spacing w:after="0" w:line="240" w:lineRule="auto"/>
              <w:jc w:val="center"/>
            </w:pPr>
            <w:r>
              <w:rPr>
                <w:rFonts w:ascii="Calibri" w:hAnsi="Calibri"/>
                <w:color w:val="404040"/>
                <w:sz w:val="19"/>
              </w:rPr>
              <w:t>−$98.35</w:t>
            </w:r>
          </w:p>
        </w:tc>
        <w:tc>
          <w:tcPr>
            <w:tcW w:w="1728" w:type="dxa"/>
            <w:shd w:val="clear" w:color="auto" w:fill="EBF3FB"/>
          </w:tcPr>
          <w:p w14:paraId="21D3CDA5">
            <w:pPr>
              <w:spacing w:after="0" w:line="240" w:lineRule="auto"/>
              <w:jc w:val="center"/>
            </w:pPr>
            <w:r>
              <w:rPr>
                <w:rFonts w:ascii="Calibri" w:hAnsi="Calibri"/>
                <w:color w:val="404040"/>
                <w:sz w:val="19"/>
              </w:rPr>
              <w:t>100.0%</w:t>
            </w:r>
          </w:p>
        </w:tc>
        <w:tc>
          <w:tcPr>
            <w:tcW w:w="4176" w:type="dxa"/>
            <w:shd w:val="clear" w:color="auto" w:fill="EBF3FB"/>
          </w:tcPr>
          <w:p w14:paraId="5584FF5E">
            <w:pPr>
              <w:spacing w:after="0" w:line="240" w:lineRule="auto"/>
              <w:jc w:val="center"/>
            </w:pPr>
            <w:r>
              <w:rPr>
                <w:rFonts w:ascii="Calibri" w:hAnsi="Calibri"/>
                <w:color w:val="404040"/>
                <w:sz w:val="19"/>
              </w:rPr>
              <w:t>Every transaction is a loss.</w:t>
            </w:r>
          </w:p>
        </w:tc>
      </w:tr>
    </w:tbl>
    <w:p w14:paraId="0BB7337B">
      <w:pPr>
        <w:spacing w:after="120"/>
      </w:pPr>
    </w:p>
    <w:p w14:paraId="0E3EA737">
      <w:pPr>
        <w:spacing w:before="40" w:after="100"/>
      </w:pPr>
      <w:r>
        <w:rPr>
          <w:rFonts w:ascii="Calibri" w:hAnsi="Calibri"/>
          <w:color w:val="404040"/>
          <w:sz w:val="21"/>
        </w:rPr>
        <w:t>The discount-profit relationship is the single most important finding in the exploratory analysis. The transition from profitable to loss-making is effectively a step function at the 20–40% discount range. Above 40% discount, profitability is impossible in this dataset regardless of product type, segment, or region.</w:t>
      </w:r>
    </w:p>
    <w:p w14:paraId="14A19EEF">
      <w:pPr>
        <w:spacing w:before="360" w:after="120"/>
      </w:pPr>
      <w:r>
        <w:rPr>
          <w:rFonts w:ascii="Calibri" w:hAnsi="Calibri"/>
          <w:b/>
          <w:color w:val="1F4E79"/>
          <w:sz w:val="30"/>
        </w:rPr>
        <w:t>12. Diagnostic Analytics — Level 2: Why Did It Happen?</w:t>
      </w:r>
    </w:p>
    <w:p w14:paraId="175AE1E9">
      <w:pPr>
        <w:pBdr>
          <w:bottom w:val="single" w:color="1F4E79" w:sz="8" w:space="1"/>
        </w:pBdr>
        <w:spacing w:after="40"/>
      </w:pPr>
    </w:p>
    <w:p w14:paraId="14996C22">
      <w:pPr>
        <w:spacing w:before="240" w:after="80"/>
      </w:pPr>
      <w:r>
        <w:rPr>
          <w:rFonts w:ascii="Calibri" w:hAnsi="Calibri"/>
          <w:b/>
          <w:color w:val="2E75B6"/>
          <w:sz w:val="24"/>
        </w:rPr>
        <w:t>12.1 Discount vs Profit Scatter Analysis</w:t>
      </w:r>
    </w:p>
    <w:p w14:paraId="5CD60893">
      <w:pPr>
        <w:spacing w:before="120"/>
        <w:jc w:val="center"/>
      </w:pPr>
      <w:r>
        <w:drawing>
          <wp:inline distT="0" distB="0" distL="0" distR="0">
            <wp:extent cx="5486400" cy="3001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001603"/>
                    </a:xfrm>
                    <a:prstGeom prst="rect">
                      <a:avLst/>
                    </a:prstGeom>
                  </pic:spPr>
                </pic:pic>
              </a:graphicData>
            </a:graphic>
          </wp:inline>
        </w:drawing>
      </w:r>
    </w:p>
    <w:p w14:paraId="1A13E066">
      <w:pPr>
        <w:spacing w:before="40"/>
        <w:jc w:val="center"/>
      </w:pPr>
      <w:r>
        <w:rPr>
          <w:rFonts w:ascii="Calibri" w:hAnsi="Calibri"/>
          <w:i/>
          <w:color w:val="707070"/>
          <w:sz w:val="18"/>
        </w:rPr>
        <w:t>Figure 4: Discount vs Profit by Category (sample of 3,000 records). Amber vertical lines mark the 20%, 40%, and 80% discount thresholds. Red = Furniture; Blue = Office Supplies; Teal = Technology.</w:t>
      </w:r>
    </w:p>
    <w:p w14:paraId="0794593D">
      <w:pPr>
        <w:spacing w:before="40" w:after="100"/>
      </w:pPr>
      <w:r>
        <w:rPr>
          <w:rFonts w:ascii="Calibri" w:hAnsi="Calibri"/>
          <w:color w:val="404040"/>
          <w:sz w:val="21"/>
        </w:rPr>
        <w:t>The scatter plot confirms a strong negative correlation between discount level and profit across all three product categories. The clustering of negative-profit points above the 0.4 discount threshold is consistent with the 100% loss rate observed in the bracket analysis. Furniture (red) shows the widest variance at high discount levels, reflecting the heterogeneity of furniture pricing relative to cost.</w:t>
      </w:r>
    </w:p>
    <w:p w14:paraId="613024C4">
      <w:pPr>
        <w:spacing w:before="240" w:after="80"/>
      </w:pPr>
      <w:r>
        <w:rPr>
          <w:rFonts w:ascii="Calibri" w:hAnsi="Calibri"/>
          <w:b/>
          <w:color w:val="2E75B6"/>
          <w:sz w:val="24"/>
        </w:rPr>
        <w:t>12.2 Loss Rate Heatmap — Region × Category</w:t>
      </w:r>
    </w:p>
    <w:p w14:paraId="0EFF6878">
      <w:pPr>
        <w:spacing w:before="120"/>
        <w:jc w:val="center"/>
      </w:pPr>
      <w:r>
        <w:drawing>
          <wp:inline distT="0" distB="0" distL="0" distR="0">
            <wp:extent cx="4114800" cy="2400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2401342"/>
                    </a:xfrm>
                    <a:prstGeom prst="rect">
                      <a:avLst/>
                    </a:prstGeom>
                  </pic:spPr>
                </pic:pic>
              </a:graphicData>
            </a:graphic>
          </wp:inline>
        </w:drawing>
      </w:r>
    </w:p>
    <w:p w14:paraId="77578155">
      <w:pPr>
        <w:spacing w:before="40"/>
        <w:jc w:val="center"/>
      </w:pPr>
      <w:r>
        <w:rPr>
          <w:rFonts w:ascii="Calibri" w:hAnsi="Calibri"/>
          <w:i/>
          <w:color w:val="707070"/>
          <w:sz w:val="18"/>
        </w:rPr>
        <w:t>Figure 5: Loss Rate (%) by Region and Category. Darker red = higher loss concentration.</w:t>
      </w:r>
    </w:p>
    <w:p w14:paraId="73098D7E">
      <w:pPr>
        <w:spacing w:before="40" w:after="100"/>
      </w:pPr>
      <w:r>
        <w:rPr>
          <w:rFonts w:ascii="Calibri" w:hAnsi="Calibri"/>
          <w:color w:val="404040"/>
          <w:sz w:val="21"/>
        </w:rPr>
        <w:t>The heatmap reveals that the Central region is the single highest-risk geography across all three categories. Central Furniture (39.0% loss rate) and Central Office Supplies (37.2% loss rate) drive the region's overall 31.9% average. The West region shows the most consistent pricing discipline, with loss rates below 15% across all categories.</w:t>
      </w:r>
    </w:p>
    <w:p w14:paraId="5085FF1A">
      <w:pPr>
        <w:spacing w:before="240" w:after="80"/>
      </w:pPr>
      <w:r>
        <w:rPr>
          <w:rFonts w:ascii="Calibri" w:hAnsi="Calibri"/>
          <w:b/>
          <w:color w:val="2E75B6"/>
          <w:sz w:val="24"/>
        </w:rPr>
        <w:t>12.3 Pareto Analysis — Loss Concentration</w:t>
      </w:r>
    </w:p>
    <w:p w14:paraId="3F986AAD">
      <w:pPr>
        <w:spacing w:before="40" w:after="100"/>
      </w:pPr>
      <w:r>
        <w:rPr>
          <w:rFonts w:ascii="Calibri" w:hAnsi="Calibri"/>
          <w:color w:val="404040"/>
          <w:sz w:val="21"/>
        </w:rPr>
        <w:t>Pareto analysis of loss-generating sub-categories reveals that a small number of product groups account for a disproportionate share of total losses. Tables, Binders, Machines, and Bookcases collectively account for the majority of dollar losses in the dataset. Targeted intervention on these four sub-categories, combined with discount cap enforcement, would address the bulk of the loss problem.</w:t>
      </w:r>
    </w:p>
    <w:p w14:paraId="55414DB5">
      <w:r>
        <w:br w:type="page"/>
      </w:r>
    </w:p>
    <w:p w14:paraId="454EF0F2">
      <w:pPr>
        <w:spacing w:before="360" w:after="120"/>
      </w:pPr>
      <w:r>
        <w:rPr>
          <w:rFonts w:ascii="Calibri" w:hAnsi="Calibri"/>
          <w:b/>
          <w:color w:val="1F4E79"/>
          <w:sz w:val="30"/>
        </w:rPr>
        <w:t>13. Machine Learning Methodology</w:t>
      </w:r>
    </w:p>
    <w:p w14:paraId="007E45BD">
      <w:pPr>
        <w:pBdr>
          <w:bottom w:val="single" w:color="1F4E79" w:sz="8" w:space="1"/>
        </w:pBdr>
        <w:spacing w:after="40"/>
      </w:pPr>
    </w:p>
    <w:p w14:paraId="074624A0">
      <w:pPr>
        <w:spacing w:before="40" w:after="100"/>
      </w:pPr>
      <w:r>
        <w:rPr>
          <w:rFonts w:ascii="Calibri" w:hAnsi="Calibri"/>
          <w:color w:val="404040"/>
          <w:sz w:val="21"/>
        </w:rPr>
        <w:t>The predictive analytics tier frames the loss identification problem as a supervised binary classification task. The goal is to learn a function f(X) → {0, 1} that maps order-level features to a predicted outcome, where 1 indicates a loss-making transaction. The trained model is then used to score new orders with a continuous probability of loss, enabling risk-tiered intervention decisions.</w:t>
      </w:r>
    </w:p>
    <w:p w14:paraId="28F7D41C">
      <w:pPr>
        <w:spacing w:before="240" w:after="80"/>
      </w:pPr>
      <w:r>
        <w:rPr>
          <w:rFonts w:ascii="Calibri" w:hAnsi="Calibri"/>
          <w:b/>
          <w:color w:val="2E75B6"/>
          <w:sz w:val="24"/>
        </w:rPr>
        <w:t>13.1 Algorithm Selection</w:t>
      </w:r>
    </w:p>
    <w:p w14:paraId="46910E2D">
      <w:pPr>
        <w:spacing w:before="40" w:after="100"/>
      </w:pPr>
      <w:r>
        <w:rPr>
          <w:rFonts w:ascii="Calibri" w:hAnsi="Calibri"/>
          <w:color w:val="404040"/>
          <w:sz w:val="21"/>
        </w:rPr>
        <w:t>Two algorithms were evaluated: Logistic Regression as a transparent baseline model, and Random Forest as the primary model. Random Forest was selected as the final model for the following reasons:</w:t>
      </w:r>
    </w:p>
    <w:p w14:paraId="45D9A7EE">
      <w:pPr>
        <w:pStyle w:val="23"/>
        <w:spacing w:before="20" w:after="40"/>
        <w:ind w:left="340"/>
      </w:pPr>
      <w:r>
        <w:rPr>
          <w:rFonts w:ascii="Calibri" w:hAnsi="Calibri"/>
          <w:color w:val="404040"/>
          <w:sz w:val="21"/>
        </w:rPr>
        <w:t>Non-linear decision boundaries: the discount-profit relationship has a near-discontinuous threshold character that linear models approximate less efficiently.</w:t>
      </w:r>
    </w:p>
    <w:p w14:paraId="4A0C33DF">
      <w:pPr>
        <w:pStyle w:val="23"/>
        <w:spacing w:before="20" w:after="40"/>
        <w:ind w:left="340"/>
      </w:pPr>
      <w:r>
        <w:rPr>
          <w:rFonts w:ascii="Calibri" w:hAnsi="Calibri"/>
          <w:color w:val="404040"/>
          <w:sz w:val="21"/>
        </w:rPr>
        <w:t>Native feature importance: the ensemble provides interpretable feature importance scores directly, confirming model reasoning.</w:t>
      </w:r>
    </w:p>
    <w:p w14:paraId="512EC6C1">
      <w:pPr>
        <w:pStyle w:val="23"/>
        <w:spacing w:before="20" w:after="40"/>
        <w:ind w:left="340"/>
      </w:pPr>
      <w:r>
        <w:rPr>
          <w:rFonts w:ascii="Calibri" w:hAnsi="Calibri"/>
          <w:color w:val="404040"/>
          <w:sz w:val="21"/>
        </w:rPr>
        <w:t>Robustness to scale: tree-based models do not require feature standardisation, making them less sensitive to outliers in Sales.</w:t>
      </w:r>
    </w:p>
    <w:p w14:paraId="0A8BC4AA">
      <w:pPr>
        <w:pStyle w:val="23"/>
        <w:spacing w:before="20" w:after="40"/>
        <w:ind w:left="340"/>
      </w:pPr>
      <w:r>
        <w:rPr>
          <w:rFonts w:ascii="Calibri" w:hAnsi="Calibri"/>
          <w:color w:val="404040"/>
          <w:sz w:val="21"/>
        </w:rPr>
        <w:t>Performance: the Random Forest achieves superior F1-Score and comparable ROC-AUC to Logistic Regression on this dataset.</w:t>
      </w:r>
    </w:p>
    <w:p w14:paraId="2F046C79">
      <w:pPr>
        <w:spacing w:before="240" w:after="80"/>
      </w:pPr>
      <w:r>
        <w:rPr>
          <w:rFonts w:ascii="Calibri" w:hAnsi="Calibri"/>
          <w:b/>
          <w:color w:val="2E75B6"/>
          <w:sz w:val="24"/>
        </w:rPr>
        <w:t>13.2 Hyperparameters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440"/>
        <w:gridCol w:w="5760"/>
      </w:tblGrid>
      <w:tr w14:paraId="0DC5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57C23912">
            <w:pPr>
              <w:spacing w:after="0" w:line="240" w:lineRule="auto"/>
              <w:jc w:val="center"/>
            </w:pPr>
            <w:r>
              <w:rPr>
                <w:rFonts w:ascii="Calibri" w:hAnsi="Calibri"/>
                <w:b/>
                <w:color w:val="FFFFFF"/>
                <w:sz w:val="19"/>
              </w:rPr>
              <w:t>Parameter</w:t>
            </w:r>
          </w:p>
        </w:tc>
        <w:tc>
          <w:tcPr>
            <w:tcW w:w="1440" w:type="dxa"/>
            <w:shd w:val="clear" w:color="auto" w:fill="1F4E79"/>
          </w:tcPr>
          <w:p w14:paraId="51143C95">
            <w:pPr>
              <w:spacing w:after="0" w:line="240" w:lineRule="auto"/>
              <w:jc w:val="center"/>
            </w:pPr>
            <w:r>
              <w:rPr>
                <w:rFonts w:ascii="Calibri" w:hAnsi="Calibri"/>
                <w:b/>
                <w:color w:val="FFFFFF"/>
                <w:sz w:val="19"/>
              </w:rPr>
              <w:t>Value</w:t>
            </w:r>
          </w:p>
        </w:tc>
        <w:tc>
          <w:tcPr>
            <w:tcW w:w="5760" w:type="dxa"/>
            <w:shd w:val="clear" w:color="auto" w:fill="1F4E79"/>
          </w:tcPr>
          <w:p w14:paraId="10650031">
            <w:pPr>
              <w:spacing w:after="0" w:line="240" w:lineRule="auto"/>
              <w:jc w:val="center"/>
            </w:pPr>
            <w:r>
              <w:rPr>
                <w:rFonts w:ascii="Calibri" w:hAnsi="Calibri"/>
                <w:b/>
                <w:color w:val="FFFFFF"/>
                <w:sz w:val="19"/>
              </w:rPr>
              <w:t>Rationale</w:t>
            </w:r>
          </w:p>
        </w:tc>
      </w:tr>
      <w:tr w14:paraId="0A21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5A853D84">
            <w:pPr>
              <w:spacing w:after="0" w:line="240" w:lineRule="auto"/>
            </w:pPr>
            <w:r>
              <w:rPr>
                <w:rFonts w:ascii="Calibri" w:hAnsi="Calibri"/>
                <w:color w:val="404040"/>
                <w:sz w:val="19"/>
              </w:rPr>
              <w:t>n_estimators</w:t>
            </w:r>
          </w:p>
        </w:tc>
        <w:tc>
          <w:tcPr>
            <w:tcW w:w="1440" w:type="dxa"/>
            <w:shd w:val="clear" w:color="auto" w:fill="EBF3FB"/>
          </w:tcPr>
          <w:p w14:paraId="4495DE46">
            <w:pPr>
              <w:spacing w:after="0" w:line="240" w:lineRule="auto"/>
              <w:jc w:val="center"/>
            </w:pPr>
            <w:r>
              <w:rPr>
                <w:rFonts w:ascii="Calibri" w:hAnsi="Calibri"/>
                <w:color w:val="404040"/>
                <w:sz w:val="19"/>
              </w:rPr>
              <w:t>300</w:t>
            </w:r>
          </w:p>
        </w:tc>
        <w:tc>
          <w:tcPr>
            <w:tcW w:w="5760" w:type="dxa"/>
            <w:shd w:val="clear" w:color="auto" w:fill="EBF3FB"/>
          </w:tcPr>
          <w:p w14:paraId="447CFDCB">
            <w:pPr>
              <w:spacing w:after="0" w:line="240" w:lineRule="auto"/>
              <w:jc w:val="center"/>
            </w:pPr>
            <w:r>
              <w:rPr>
                <w:rFonts w:ascii="Calibri" w:hAnsi="Calibri"/>
                <w:color w:val="404040"/>
                <w:sz w:val="19"/>
              </w:rPr>
              <w:t>300 trees provide stable estimates with manageable training time.</w:t>
            </w:r>
          </w:p>
        </w:tc>
      </w:tr>
      <w:tr w14:paraId="33C2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65B3E49">
            <w:pPr>
              <w:spacing w:after="0" w:line="240" w:lineRule="auto"/>
            </w:pPr>
            <w:r>
              <w:rPr>
                <w:rFonts w:ascii="Calibri" w:hAnsi="Calibri"/>
                <w:color w:val="404040"/>
                <w:sz w:val="19"/>
              </w:rPr>
              <w:t>max_depth</w:t>
            </w:r>
          </w:p>
        </w:tc>
        <w:tc>
          <w:tcPr>
            <w:tcW w:w="1440" w:type="dxa"/>
            <w:shd w:val="clear" w:color="auto" w:fill="FFFFFF"/>
          </w:tcPr>
          <w:p w14:paraId="6571475D">
            <w:pPr>
              <w:spacing w:after="0" w:line="240" w:lineRule="auto"/>
              <w:jc w:val="center"/>
            </w:pPr>
            <w:r>
              <w:rPr>
                <w:rFonts w:ascii="Calibri" w:hAnsi="Calibri"/>
                <w:color w:val="404040"/>
                <w:sz w:val="19"/>
              </w:rPr>
              <w:t>15</w:t>
            </w:r>
          </w:p>
        </w:tc>
        <w:tc>
          <w:tcPr>
            <w:tcW w:w="5760" w:type="dxa"/>
            <w:shd w:val="clear" w:color="auto" w:fill="FFFFFF"/>
          </w:tcPr>
          <w:p w14:paraId="45CBBA9D">
            <w:pPr>
              <w:spacing w:after="0" w:line="240" w:lineRule="auto"/>
              <w:jc w:val="center"/>
            </w:pPr>
            <w:r>
              <w:rPr>
                <w:rFonts w:ascii="Calibri" w:hAnsi="Calibri"/>
                <w:color w:val="404040"/>
                <w:sz w:val="19"/>
              </w:rPr>
              <w:t>Constrains tree depth to prevent overfitting on low-frequency sub-categories.</w:t>
            </w:r>
          </w:p>
        </w:tc>
      </w:tr>
      <w:tr w14:paraId="0340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583A1510">
            <w:pPr>
              <w:spacing w:after="0" w:line="240" w:lineRule="auto"/>
            </w:pPr>
            <w:r>
              <w:rPr>
                <w:rFonts w:ascii="Calibri" w:hAnsi="Calibri"/>
                <w:color w:val="404040"/>
                <w:sz w:val="19"/>
              </w:rPr>
              <w:t>class_weight</w:t>
            </w:r>
          </w:p>
        </w:tc>
        <w:tc>
          <w:tcPr>
            <w:tcW w:w="1440" w:type="dxa"/>
            <w:shd w:val="clear" w:color="auto" w:fill="EBF3FB"/>
          </w:tcPr>
          <w:p w14:paraId="4746F987">
            <w:pPr>
              <w:spacing w:after="0" w:line="240" w:lineRule="auto"/>
              <w:jc w:val="center"/>
            </w:pPr>
            <w:r>
              <w:rPr>
                <w:rFonts w:ascii="Calibri" w:hAnsi="Calibri"/>
                <w:color w:val="404040"/>
                <w:sz w:val="19"/>
              </w:rPr>
              <w:t>balanced</w:t>
            </w:r>
          </w:p>
        </w:tc>
        <w:tc>
          <w:tcPr>
            <w:tcW w:w="5760" w:type="dxa"/>
            <w:shd w:val="clear" w:color="auto" w:fill="EBF3FB"/>
          </w:tcPr>
          <w:p w14:paraId="08DF8D68">
            <w:pPr>
              <w:spacing w:after="0" w:line="240" w:lineRule="auto"/>
              <w:jc w:val="center"/>
            </w:pPr>
            <w:r>
              <w:rPr>
                <w:rFonts w:ascii="Calibri" w:hAnsi="Calibri"/>
                <w:color w:val="404040"/>
                <w:sz w:val="19"/>
              </w:rPr>
              <w:t>Adjusts sample weights inversely proportional to class frequencies.</w:t>
            </w:r>
          </w:p>
        </w:tc>
      </w:tr>
      <w:tr w14:paraId="2565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5EAF1A2E">
            <w:pPr>
              <w:spacing w:after="0" w:line="240" w:lineRule="auto"/>
            </w:pPr>
            <w:r>
              <w:rPr>
                <w:rFonts w:ascii="Calibri" w:hAnsi="Calibri"/>
                <w:color w:val="404040"/>
                <w:sz w:val="19"/>
              </w:rPr>
              <w:t>random_state</w:t>
            </w:r>
          </w:p>
        </w:tc>
        <w:tc>
          <w:tcPr>
            <w:tcW w:w="1440" w:type="dxa"/>
            <w:shd w:val="clear" w:color="auto" w:fill="FFFFFF"/>
          </w:tcPr>
          <w:p w14:paraId="7E8C368B">
            <w:pPr>
              <w:spacing w:after="0" w:line="240" w:lineRule="auto"/>
              <w:jc w:val="center"/>
            </w:pPr>
            <w:r>
              <w:rPr>
                <w:rFonts w:ascii="Calibri" w:hAnsi="Calibri"/>
                <w:color w:val="404040"/>
                <w:sz w:val="19"/>
              </w:rPr>
              <w:t>42</w:t>
            </w:r>
          </w:p>
        </w:tc>
        <w:tc>
          <w:tcPr>
            <w:tcW w:w="5760" w:type="dxa"/>
            <w:shd w:val="clear" w:color="auto" w:fill="FFFFFF"/>
          </w:tcPr>
          <w:p w14:paraId="64156F8D">
            <w:pPr>
              <w:spacing w:after="0" w:line="240" w:lineRule="auto"/>
              <w:jc w:val="center"/>
            </w:pPr>
            <w:r>
              <w:rPr>
                <w:rFonts w:ascii="Calibri" w:hAnsi="Calibri"/>
                <w:color w:val="404040"/>
                <w:sz w:val="19"/>
              </w:rPr>
              <w:t>Fixed seed ensures full reproducibility.</w:t>
            </w:r>
          </w:p>
        </w:tc>
      </w:tr>
      <w:tr w14:paraId="53F6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3B5C42E1">
            <w:pPr>
              <w:spacing w:after="0" w:line="240" w:lineRule="auto"/>
            </w:pPr>
            <w:r>
              <w:rPr>
                <w:rFonts w:ascii="Calibri" w:hAnsi="Calibri"/>
                <w:color w:val="404040"/>
                <w:sz w:val="19"/>
              </w:rPr>
              <w:t>n_jobs</w:t>
            </w:r>
          </w:p>
        </w:tc>
        <w:tc>
          <w:tcPr>
            <w:tcW w:w="1440" w:type="dxa"/>
            <w:shd w:val="clear" w:color="auto" w:fill="EBF3FB"/>
          </w:tcPr>
          <w:p w14:paraId="5D7E9278">
            <w:pPr>
              <w:spacing w:after="0" w:line="240" w:lineRule="auto"/>
              <w:jc w:val="center"/>
            </w:pPr>
            <w:r>
              <w:rPr>
                <w:rFonts w:ascii="Calibri" w:hAnsi="Calibri"/>
                <w:color w:val="404040"/>
                <w:sz w:val="19"/>
              </w:rPr>
              <w:t>−1</w:t>
            </w:r>
          </w:p>
        </w:tc>
        <w:tc>
          <w:tcPr>
            <w:tcW w:w="5760" w:type="dxa"/>
            <w:shd w:val="clear" w:color="auto" w:fill="EBF3FB"/>
          </w:tcPr>
          <w:p w14:paraId="5BC5F28A">
            <w:pPr>
              <w:spacing w:after="0" w:line="240" w:lineRule="auto"/>
              <w:jc w:val="center"/>
            </w:pPr>
            <w:r>
              <w:rPr>
                <w:rFonts w:ascii="Calibri" w:hAnsi="Calibri"/>
                <w:color w:val="404040"/>
                <w:sz w:val="19"/>
              </w:rPr>
              <w:t>Parallelise training across all available CPU cores.</w:t>
            </w:r>
          </w:p>
        </w:tc>
      </w:tr>
    </w:tbl>
    <w:p w14:paraId="311A6826">
      <w:pPr>
        <w:spacing w:after="120"/>
      </w:pPr>
    </w:p>
    <w:p w14:paraId="5D1A3479">
      <w:pPr>
        <w:spacing w:before="360" w:after="120"/>
      </w:pPr>
      <w:r>
        <w:rPr>
          <w:rFonts w:ascii="Calibri" w:hAnsi="Calibri"/>
          <w:b/>
          <w:color w:val="1F4E79"/>
          <w:sz w:val="30"/>
        </w:rPr>
        <w:t>14. Target Variable Definition</w:t>
      </w:r>
    </w:p>
    <w:p w14:paraId="515BE869">
      <w:pPr>
        <w:pBdr>
          <w:bottom w:val="single" w:color="1F4E79" w:sz="8" w:space="1"/>
        </w:pBdr>
        <w:spacing w:after="40"/>
      </w:pPr>
    </w:p>
    <w:p w14:paraId="4DEFF7E9">
      <w:pPr>
        <w:spacing w:before="40" w:after="100"/>
      </w:pPr>
      <w:r>
        <w:rPr>
          <w:rFonts w:ascii="Calibri" w:hAnsi="Calibri"/>
          <w:color w:val="404040"/>
          <w:sz w:val="21"/>
        </w:rPr>
        <w:t>The target variable Loss_Flag is defined as follows:</w:t>
      </w:r>
    </w:p>
    <w:p w14:paraId="0A06717A">
      <w:pPr>
        <w:spacing w:before="40" w:after="100"/>
        <w:ind w:left="340"/>
      </w:pPr>
      <w:r>
        <w:rPr>
          <w:rFonts w:ascii="Calibri" w:hAnsi="Calibri"/>
          <w:color w:val="404040"/>
          <w:sz w:val="21"/>
        </w:rPr>
        <w:t xml:space="preserve">    Loss_Flag  =  1   if Profit &lt; 0   (loss-making transaction)</w:t>
      </w:r>
    </w:p>
    <w:p w14:paraId="343C01E7">
      <w:pPr>
        <w:spacing w:before="40" w:after="100"/>
        <w:ind w:left="340"/>
      </w:pPr>
      <w:r>
        <w:rPr>
          <w:rFonts w:ascii="Calibri" w:hAnsi="Calibri"/>
          <w:color w:val="404040"/>
          <w:sz w:val="21"/>
        </w:rPr>
        <w:t xml:space="preserve">    Loss_Flag  =  0   if Profit ≥ 0   (profitable or break-even transaction)</w:t>
      </w:r>
    </w:p>
    <w:p w14:paraId="7D21D7AD">
      <w:pPr>
        <w:spacing w:before="40" w:after="100"/>
      </w:pPr>
      <w:r>
        <w:rPr>
          <w:rFonts w:ascii="Calibri" w:hAnsi="Calibri"/>
          <w:color w:val="404040"/>
          <w:sz w:val="21"/>
        </w:rPr>
        <w:t>This produces 8,123 negative class instances (Loss_Flag = 0, 81.3%) and 1,871 positive class instances (Loss_Flag = 1, 18.7%) out of 9,994 total records.</w:t>
      </w:r>
    </w:p>
    <w:p w14:paraId="165C031C">
      <w:pPr>
        <w:spacing w:before="40" w:after="100"/>
      </w:pPr>
      <w:r>
        <w:rPr>
          <w:rFonts w:ascii="Calibri" w:hAnsi="Calibri"/>
          <w:color w:val="404040"/>
          <w:sz w:val="21"/>
        </w:rPr>
        <w:t>Zero-profit rows (Profit = 0.0) are classified as Loss_Flag = 0 (not a loss). A small number of such rows exist in the dataset and are treated conservatively as profitable to avoid over-flagging break-even transactions.</w:t>
      </w:r>
    </w:p>
    <w:p w14:paraId="62EFF501">
      <w:pPr>
        <w:spacing w:before="360" w:after="120"/>
      </w:pPr>
      <w:r>
        <w:rPr>
          <w:rFonts w:ascii="Calibri" w:hAnsi="Calibri"/>
          <w:b/>
          <w:color w:val="1F4E79"/>
          <w:sz w:val="30"/>
        </w:rPr>
        <w:t>15. Target Leakage Prevention</w:t>
      </w:r>
    </w:p>
    <w:p w14:paraId="2A970B2B">
      <w:pPr>
        <w:pBdr>
          <w:bottom w:val="single" w:color="1F4E79" w:sz="8" w:space="1"/>
        </w:pBdr>
        <w:spacing w:after="40"/>
      </w:pPr>
    </w:p>
    <w:p w14:paraId="7F94485C">
      <w:pPr>
        <w:spacing w:before="40" w:after="100"/>
      </w:pPr>
      <w:r>
        <w:rPr>
          <w:rFonts w:ascii="Calibri" w:hAnsi="Calibri"/>
          <w:color w:val="404040"/>
          <w:sz w:val="21"/>
        </w:rPr>
        <w:t>Target leakage is the most critical correctness requirement for this project. Because Loss_Flag is derived directly from the Profit column, any model feature that encodes information about Profit would allow the model to see the answer it is supposed to predict, producing misleadingly inflated metrics that would fail entirely in production deployment.</w:t>
      </w:r>
    </w:p>
    <w:p w14:paraId="76A8E628">
      <w:pPr>
        <w:spacing w:before="40" w:after="100"/>
      </w:pPr>
      <w:r>
        <w:rPr>
          <w:rFonts w:ascii="Calibri" w:hAnsi="Calibri"/>
          <w:color w:val="404040"/>
          <w:sz w:val="21"/>
        </w:rPr>
        <w:t>The following controls were implemented to prevent leakage:</w:t>
      </w:r>
    </w:p>
    <w:p w14:paraId="48928CBC">
      <w:pPr>
        <w:pStyle w:val="23"/>
        <w:spacing w:before="20" w:after="40"/>
        <w:ind w:left="340"/>
      </w:pPr>
      <w:r>
        <w:rPr>
          <w:rFonts w:ascii="Calibri" w:hAnsi="Calibri"/>
          <w:color w:val="404040"/>
          <w:sz w:val="21"/>
        </w:rPr>
        <w:t>Profit is excluded from the feature matrix X at the point of construction. It is used only to compute y = Loss_Flag.</w:t>
      </w:r>
    </w:p>
    <w:p w14:paraId="392DDA0B">
      <w:pPr>
        <w:pStyle w:val="23"/>
        <w:spacing w:before="20" w:after="40"/>
        <w:ind w:left="340"/>
      </w:pPr>
      <w:r>
        <w:rPr>
          <w:rFonts w:ascii="Calibri" w:hAnsi="Calibri"/>
          <w:color w:val="404040"/>
          <w:sz w:val="21"/>
        </w:rPr>
        <w:t>No profit-derived column (Profit Margin, Profit Ratio, Profit per Unit, etc.) was computed or added to the dataset.</w:t>
      </w:r>
    </w:p>
    <w:p w14:paraId="2F12B85B">
      <w:pPr>
        <w:pStyle w:val="23"/>
        <w:spacing w:before="20" w:after="40"/>
        <w:ind w:left="340"/>
      </w:pPr>
      <w:r>
        <w:rPr>
          <w:rFonts w:ascii="Calibri" w:hAnsi="Calibri"/>
          <w:color w:val="404040"/>
          <w:sz w:val="21"/>
        </w:rPr>
        <w:t>Runtime assertions verify that 'Profit' and 'Loss_Flag' are absent from FEATURE_COLUMNS before every model fit: assert 'Profit' not in FEATURE_COLUMNS.</w:t>
      </w:r>
    </w:p>
    <w:p w14:paraId="7C374529">
      <w:pPr>
        <w:pStyle w:val="23"/>
        <w:spacing w:before="20" w:after="40"/>
        <w:ind w:left="340"/>
      </w:pPr>
      <w:r>
        <w:rPr>
          <w:rFonts w:ascii="Calibri" w:hAnsi="Calibri"/>
          <w:color w:val="404040"/>
          <w:sz w:val="21"/>
        </w:rPr>
        <w:t>FEATURE_COLUMNS is saved to models/feature_columns.joblib and loaded by the Streamlit dashboard, ensuring live inference uses the identical, audited column set.</w:t>
      </w:r>
    </w:p>
    <w:p w14:paraId="6F652862">
      <w:pPr>
        <w:pStyle w:val="23"/>
        <w:spacing w:before="20" w:after="40"/>
        <w:ind w:left="340"/>
      </w:pPr>
      <w:r>
        <w:rPr>
          <w:rFonts w:ascii="Calibri" w:hAnsi="Calibri"/>
          <w:color w:val="404040"/>
          <w:sz w:val="21"/>
        </w:rPr>
        <w:t>The feature list was independently verified and all 34 features were reviewed against the exclusion criteria.</w:t>
      </w:r>
    </w:p>
    <w:p w14:paraId="16CB266C">
      <w:pPr>
        <w:spacing w:before="40" w:after="100"/>
      </w:pPr>
      <w:r>
        <w:rPr>
          <w:rFonts w:ascii="Calibri" w:hAnsi="Calibri"/>
          <w:color w:val="404040"/>
          <w:sz w:val="21"/>
        </w:rPr>
        <w:t>The 34 legitimate predictors — all of which are knowable at the time an order is placed, before any profit is realised — are: Sales, Quantity, Discount, Ship_Lag_Days, Order_Year, Order_Month, Order_Quarter, Is_Q4, and 26 one-hot encoded dummy variables derived from Ship Mode, Segment, Region, Category, and Sub-Category.</w:t>
      </w:r>
    </w:p>
    <w:p w14:paraId="0A8DC997">
      <w:r>
        <w:br w:type="page"/>
      </w:r>
    </w:p>
    <w:p w14:paraId="7C7B5CD9">
      <w:pPr>
        <w:spacing w:before="360" w:after="120"/>
      </w:pPr>
      <w:r>
        <w:rPr>
          <w:rFonts w:ascii="Calibri" w:hAnsi="Calibri"/>
          <w:b/>
          <w:color w:val="1F4E79"/>
          <w:sz w:val="30"/>
        </w:rPr>
        <w:t>16. Model Training</w:t>
      </w:r>
    </w:p>
    <w:p w14:paraId="23A5FD79">
      <w:pPr>
        <w:pBdr>
          <w:bottom w:val="single" w:color="1F4E79" w:sz="8" w:space="1"/>
        </w:pBdr>
        <w:spacing w:after="40"/>
      </w:pPr>
    </w:p>
    <w:p w14:paraId="31F9E28D">
      <w:pPr>
        <w:spacing w:before="240" w:after="80"/>
      </w:pPr>
      <w:r>
        <w:rPr>
          <w:rFonts w:ascii="Calibri" w:hAnsi="Calibri"/>
          <w:b/>
          <w:color w:val="2E75B6"/>
          <w:sz w:val="24"/>
        </w:rPr>
        <w:t>16.1 Train-Test Split</w:t>
      </w:r>
    </w:p>
    <w:p w14:paraId="5A74FBA9">
      <w:pPr>
        <w:spacing w:before="40" w:after="100"/>
      </w:pPr>
      <w:r>
        <w:rPr>
          <w:rFonts w:ascii="Calibri" w:hAnsi="Calibri"/>
          <w:color w:val="404040"/>
          <w:sz w:val="21"/>
        </w:rPr>
        <w:t>The dataset was divided into training and test sets using a stratified 80/20 split (random_state=42). Stratification on the target variable ensures that the 18.7% minority class proportion is preserved in both splits.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728"/>
        <w:gridCol w:w="1728"/>
        <w:gridCol w:w="1728"/>
        <w:gridCol w:w="2016"/>
      </w:tblGrid>
      <w:tr w14:paraId="5734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54E76453">
            <w:pPr>
              <w:spacing w:after="0" w:line="240" w:lineRule="auto"/>
              <w:jc w:val="center"/>
            </w:pPr>
            <w:r>
              <w:rPr>
                <w:rFonts w:ascii="Calibri" w:hAnsi="Calibri"/>
                <w:b/>
                <w:color w:val="FFFFFF"/>
                <w:sz w:val="19"/>
              </w:rPr>
              <w:t>Split</w:t>
            </w:r>
          </w:p>
        </w:tc>
        <w:tc>
          <w:tcPr>
            <w:tcW w:w="1728" w:type="dxa"/>
            <w:shd w:val="clear" w:color="auto" w:fill="1F4E79"/>
          </w:tcPr>
          <w:p w14:paraId="4C00AD80">
            <w:pPr>
              <w:spacing w:after="0" w:line="240" w:lineRule="auto"/>
              <w:jc w:val="center"/>
            </w:pPr>
            <w:r>
              <w:rPr>
                <w:rFonts w:ascii="Calibri" w:hAnsi="Calibri"/>
                <w:b/>
                <w:color w:val="FFFFFF"/>
                <w:sz w:val="19"/>
              </w:rPr>
              <w:t>Records</w:t>
            </w:r>
          </w:p>
        </w:tc>
        <w:tc>
          <w:tcPr>
            <w:tcW w:w="1728" w:type="dxa"/>
            <w:shd w:val="clear" w:color="auto" w:fill="1F4E79"/>
          </w:tcPr>
          <w:p w14:paraId="510CF02D">
            <w:pPr>
              <w:spacing w:after="0" w:line="240" w:lineRule="auto"/>
              <w:jc w:val="center"/>
            </w:pPr>
            <w:r>
              <w:rPr>
                <w:rFonts w:ascii="Calibri" w:hAnsi="Calibri"/>
                <w:b/>
                <w:color w:val="FFFFFF"/>
                <w:sz w:val="19"/>
              </w:rPr>
              <w:t>Loss_Flag=0</w:t>
            </w:r>
          </w:p>
        </w:tc>
        <w:tc>
          <w:tcPr>
            <w:tcW w:w="1728" w:type="dxa"/>
            <w:shd w:val="clear" w:color="auto" w:fill="1F4E79"/>
          </w:tcPr>
          <w:p w14:paraId="7866BEAB">
            <w:pPr>
              <w:spacing w:after="0" w:line="240" w:lineRule="auto"/>
              <w:jc w:val="center"/>
            </w:pPr>
            <w:r>
              <w:rPr>
                <w:rFonts w:ascii="Calibri" w:hAnsi="Calibri"/>
                <w:b/>
                <w:color w:val="FFFFFF"/>
                <w:sz w:val="19"/>
              </w:rPr>
              <w:t>Loss_Flag=1</w:t>
            </w:r>
          </w:p>
        </w:tc>
        <w:tc>
          <w:tcPr>
            <w:tcW w:w="2016" w:type="dxa"/>
            <w:shd w:val="clear" w:color="auto" w:fill="1F4E79"/>
          </w:tcPr>
          <w:p w14:paraId="18AD9B89">
            <w:pPr>
              <w:spacing w:after="0" w:line="240" w:lineRule="auto"/>
              <w:jc w:val="center"/>
            </w:pPr>
            <w:r>
              <w:rPr>
                <w:rFonts w:ascii="Calibri" w:hAnsi="Calibri"/>
                <w:b/>
                <w:color w:val="FFFFFF"/>
                <w:sz w:val="19"/>
              </w:rPr>
              <w:t>Loss Rate</w:t>
            </w:r>
          </w:p>
        </w:tc>
      </w:tr>
      <w:tr w14:paraId="2D45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194BBAA9">
            <w:pPr>
              <w:spacing w:after="0" w:line="240" w:lineRule="auto"/>
            </w:pPr>
            <w:r>
              <w:rPr>
                <w:rFonts w:ascii="Calibri" w:hAnsi="Calibri"/>
                <w:color w:val="404040"/>
                <w:sz w:val="19"/>
              </w:rPr>
              <w:t>Training set</w:t>
            </w:r>
          </w:p>
        </w:tc>
        <w:tc>
          <w:tcPr>
            <w:tcW w:w="1728" w:type="dxa"/>
            <w:shd w:val="clear" w:color="auto" w:fill="EBF3FB"/>
          </w:tcPr>
          <w:p w14:paraId="09449FEB">
            <w:pPr>
              <w:spacing w:after="0" w:line="240" w:lineRule="auto"/>
              <w:jc w:val="center"/>
            </w:pPr>
            <w:r>
              <w:rPr>
                <w:rFonts w:ascii="Calibri" w:hAnsi="Calibri"/>
                <w:color w:val="404040"/>
                <w:sz w:val="19"/>
              </w:rPr>
              <w:t>7,995</w:t>
            </w:r>
          </w:p>
        </w:tc>
        <w:tc>
          <w:tcPr>
            <w:tcW w:w="1728" w:type="dxa"/>
            <w:shd w:val="clear" w:color="auto" w:fill="EBF3FB"/>
          </w:tcPr>
          <w:p w14:paraId="28B7A887">
            <w:pPr>
              <w:spacing w:after="0" w:line="240" w:lineRule="auto"/>
              <w:jc w:val="center"/>
            </w:pPr>
            <w:r>
              <w:rPr>
                <w:rFonts w:ascii="Calibri" w:hAnsi="Calibri"/>
                <w:color w:val="404040"/>
                <w:sz w:val="19"/>
              </w:rPr>
              <w:t>~6,527</w:t>
            </w:r>
          </w:p>
        </w:tc>
        <w:tc>
          <w:tcPr>
            <w:tcW w:w="1728" w:type="dxa"/>
            <w:shd w:val="clear" w:color="auto" w:fill="EBF3FB"/>
          </w:tcPr>
          <w:p w14:paraId="28C918B0">
            <w:pPr>
              <w:spacing w:after="0" w:line="240" w:lineRule="auto"/>
              <w:jc w:val="center"/>
            </w:pPr>
            <w:r>
              <w:rPr>
                <w:rFonts w:ascii="Calibri" w:hAnsi="Calibri"/>
                <w:color w:val="404040"/>
                <w:sz w:val="19"/>
              </w:rPr>
              <w:t>~1,497</w:t>
            </w:r>
          </w:p>
        </w:tc>
        <w:tc>
          <w:tcPr>
            <w:tcW w:w="2016" w:type="dxa"/>
            <w:shd w:val="clear" w:color="auto" w:fill="EBF3FB"/>
          </w:tcPr>
          <w:p w14:paraId="45C4E304">
            <w:pPr>
              <w:spacing w:after="0" w:line="240" w:lineRule="auto"/>
              <w:jc w:val="center"/>
            </w:pPr>
            <w:r>
              <w:rPr>
                <w:rFonts w:ascii="Calibri" w:hAnsi="Calibri"/>
                <w:color w:val="404040"/>
                <w:sz w:val="19"/>
              </w:rPr>
              <w:t>18.7%</w:t>
            </w:r>
          </w:p>
        </w:tc>
      </w:tr>
      <w:tr w14:paraId="5C76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6E3FD0A8">
            <w:pPr>
              <w:spacing w:after="0" w:line="240" w:lineRule="auto"/>
            </w:pPr>
            <w:r>
              <w:rPr>
                <w:rFonts w:ascii="Calibri" w:hAnsi="Calibri"/>
                <w:color w:val="404040"/>
                <w:sz w:val="19"/>
              </w:rPr>
              <w:t>Test set</w:t>
            </w:r>
          </w:p>
        </w:tc>
        <w:tc>
          <w:tcPr>
            <w:tcW w:w="1728" w:type="dxa"/>
            <w:shd w:val="clear" w:color="auto" w:fill="FFFFFF"/>
          </w:tcPr>
          <w:p w14:paraId="2134B48B">
            <w:pPr>
              <w:spacing w:after="0" w:line="240" w:lineRule="auto"/>
              <w:jc w:val="center"/>
            </w:pPr>
            <w:r>
              <w:rPr>
                <w:rFonts w:ascii="Calibri" w:hAnsi="Calibri"/>
                <w:color w:val="404040"/>
                <w:sz w:val="19"/>
              </w:rPr>
              <w:t>1,999</w:t>
            </w:r>
          </w:p>
        </w:tc>
        <w:tc>
          <w:tcPr>
            <w:tcW w:w="1728" w:type="dxa"/>
            <w:shd w:val="clear" w:color="auto" w:fill="FFFFFF"/>
          </w:tcPr>
          <w:p w14:paraId="7DFF078B">
            <w:pPr>
              <w:spacing w:after="0" w:line="240" w:lineRule="auto"/>
              <w:jc w:val="center"/>
            </w:pPr>
            <w:r>
              <w:rPr>
                <w:rFonts w:ascii="Calibri" w:hAnsi="Calibri"/>
                <w:color w:val="404040"/>
                <w:sz w:val="19"/>
              </w:rPr>
              <w:t>~1,625</w:t>
            </w:r>
          </w:p>
        </w:tc>
        <w:tc>
          <w:tcPr>
            <w:tcW w:w="1728" w:type="dxa"/>
            <w:shd w:val="clear" w:color="auto" w:fill="FFFFFF"/>
          </w:tcPr>
          <w:p w14:paraId="3BD1518A">
            <w:pPr>
              <w:spacing w:after="0" w:line="240" w:lineRule="auto"/>
              <w:jc w:val="center"/>
            </w:pPr>
            <w:r>
              <w:rPr>
                <w:rFonts w:ascii="Calibri" w:hAnsi="Calibri"/>
                <w:color w:val="404040"/>
                <w:sz w:val="19"/>
              </w:rPr>
              <w:t>~374</w:t>
            </w:r>
          </w:p>
        </w:tc>
        <w:tc>
          <w:tcPr>
            <w:tcW w:w="2016" w:type="dxa"/>
            <w:shd w:val="clear" w:color="auto" w:fill="FFFFFF"/>
          </w:tcPr>
          <w:p w14:paraId="6831E04A">
            <w:pPr>
              <w:spacing w:after="0" w:line="240" w:lineRule="auto"/>
              <w:jc w:val="center"/>
            </w:pPr>
            <w:r>
              <w:rPr>
                <w:rFonts w:ascii="Calibri" w:hAnsi="Calibri"/>
                <w:color w:val="404040"/>
                <w:sz w:val="19"/>
              </w:rPr>
              <w:t>18.7%</w:t>
            </w:r>
          </w:p>
        </w:tc>
      </w:tr>
      <w:tr w14:paraId="2F82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45C68F8E">
            <w:pPr>
              <w:spacing w:after="0" w:line="240" w:lineRule="auto"/>
            </w:pPr>
            <w:r>
              <w:rPr>
                <w:rFonts w:ascii="Calibri" w:hAnsi="Calibri"/>
                <w:color w:val="404040"/>
                <w:sz w:val="19"/>
              </w:rPr>
              <w:t>Full dataset</w:t>
            </w:r>
          </w:p>
        </w:tc>
        <w:tc>
          <w:tcPr>
            <w:tcW w:w="1728" w:type="dxa"/>
            <w:shd w:val="clear" w:color="auto" w:fill="EBF3FB"/>
          </w:tcPr>
          <w:p w14:paraId="6D7E147F">
            <w:pPr>
              <w:spacing w:after="0" w:line="240" w:lineRule="auto"/>
              <w:jc w:val="center"/>
            </w:pPr>
            <w:r>
              <w:rPr>
                <w:rFonts w:ascii="Calibri" w:hAnsi="Calibri"/>
                <w:color w:val="404040"/>
                <w:sz w:val="19"/>
              </w:rPr>
              <w:t>9,994</w:t>
            </w:r>
          </w:p>
        </w:tc>
        <w:tc>
          <w:tcPr>
            <w:tcW w:w="1728" w:type="dxa"/>
            <w:shd w:val="clear" w:color="auto" w:fill="EBF3FB"/>
          </w:tcPr>
          <w:p w14:paraId="18E54B25">
            <w:pPr>
              <w:spacing w:after="0" w:line="240" w:lineRule="auto"/>
              <w:jc w:val="center"/>
            </w:pPr>
            <w:r>
              <w:rPr>
                <w:rFonts w:ascii="Calibri" w:hAnsi="Calibri"/>
                <w:color w:val="404040"/>
                <w:sz w:val="19"/>
              </w:rPr>
              <w:t>8,123</w:t>
            </w:r>
          </w:p>
        </w:tc>
        <w:tc>
          <w:tcPr>
            <w:tcW w:w="1728" w:type="dxa"/>
            <w:shd w:val="clear" w:color="auto" w:fill="EBF3FB"/>
          </w:tcPr>
          <w:p w14:paraId="2F80796C">
            <w:pPr>
              <w:spacing w:after="0" w:line="240" w:lineRule="auto"/>
              <w:jc w:val="center"/>
            </w:pPr>
            <w:r>
              <w:rPr>
                <w:rFonts w:ascii="Calibri" w:hAnsi="Calibri"/>
                <w:color w:val="404040"/>
                <w:sz w:val="19"/>
              </w:rPr>
              <w:t>1,871</w:t>
            </w:r>
          </w:p>
        </w:tc>
        <w:tc>
          <w:tcPr>
            <w:tcW w:w="2016" w:type="dxa"/>
            <w:shd w:val="clear" w:color="auto" w:fill="EBF3FB"/>
          </w:tcPr>
          <w:p w14:paraId="6EBEF9CD">
            <w:pPr>
              <w:spacing w:after="0" w:line="240" w:lineRule="auto"/>
              <w:jc w:val="center"/>
            </w:pPr>
            <w:r>
              <w:rPr>
                <w:rFonts w:ascii="Calibri" w:hAnsi="Calibri"/>
                <w:color w:val="404040"/>
                <w:sz w:val="19"/>
              </w:rPr>
              <w:t>18.7%</w:t>
            </w:r>
          </w:p>
        </w:tc>
      </w:tr>
    </w:tbl>
    <w:p w14:paraId="2CDD7D1A">
      <w:pPr>
        <w:spacing w:after="120"/>
      </w:pPr>
    </w:p>
    <w:p w14:paraId="48150E49">
      <w:pPr>
        <w:spacing w:before="240" w:after="80"/>
      </w:pPr>
      <w:r>
        <w:rPr>
          <w:rFonts w:ascii="Calibri" w:hAnsi="Calibri"/>
          <w:b/>
          <w:color w:val="2E75B6"/>
          <w:sz w:val="24"/>
        </w:rPr>
        <w:t>16.2 Baseline Model — Logistic Regression</w:t>
      </w:r>
    </w:p>
    <w:p w14:paraId="6AD1D711">
      <w:pPr>
        <w:spacing w:before="40" w:after="100"/>
      </w:pPr>
      <w:r>
        <w:rPr>
          <w:rFonts w:ascii="Calibri" w:hAnsi="Calibri"/>
          <w:color w:val="404040"/>
          <w:sz w:val="21"/>
        </w:rPr>
        <w:t>Logistic Regression with StandardScaler preprocessing and class_weight='balanced' was trained as a baseline. It achieves 91.95% accuracy and 98.57% ROC-AUC, with notably high recall (95.99%) but lower precision, indicating it over-predicts the positive (loss) class.</w:t>
      </w:r>
    </w:p>
    <w:p w14:paraId="0F348B22">
      <w:pPr>
        <w:spacing w:before="240" w:after="80"/>
      </w:pPr>
      <w:r>
        <w:rPr>
          <w:rFonts w:ascii="Calibri" w:hAnsi="Calibri"/>
          <w:b/>
          <w:color w:val="2E75B6"/>
          <w:sz w:val="24"/>
        </w:rPr>
        <w:t>16.3 Primary Model — Random Forest</w:t>
      </w:r>
    </w:p>
    <w:p w14:paraId="6DCA56D0">
      <w:pPr>
        <w:spacing w:before="40" w:after="100"/>
      </w:pPr>
      <w:r>
        <w:rPr>
          <w:rFonts w:ascii="Calibri" w:hAnsi="Calibri"/>
          <w:color w:val="404040"/>
          <w:sz w:val="21"/>
        </w:rPr>
        <w:t>The Random Forest classifier (300 trees, max_depth=15, class_weight='balanced') was trained on 7,995 samples. It achieves a superior balance between precision and recall compared to Logistic Regression, with 83.20% precision and 84.76% recall, yielding an F1-Score of 83.97%.</w:t>
      </w:r>
    </w:p>
    <w:p w14:paraId="06716400">
      <w:pPr>
        <w:spacing w:before="360" w:after="120"/>
      </w:pPr>
      <w:r>
        <w:rPr>
          <w:rFonts w:ascii="Calibri" w:hAnsi="Calibri"/>
          <w:b/>
          <w:color w:val="1F4E79"/>
          <w:sz w:val="30"/>
        </w:rPr>
        <w:t>17. Model Evaluation</w:t>
      </w:r>
    </w:p>
    <w:p w14:paraId="4715FFFC">
      <w:pPr>
        <w:pBdr>
          <w:bottom w:val="single" w:color="1F4E79" w:sz="8" w:space="1"/>
        </w:pBdr>
        <w:spacing w:after="40"/>
      </w:pPr>
    </w:p>
    <w:p w14:paraId="320A31ED">
      <w:pPr>
        <w:spacing w:before="240" w:after="80"/>
      </w:pPr>
      <w:r>
        <w:rPr>
          <w:rFonts w:ascii="Calibri" w:hAnsi="Calibri"/>
          <w:b/>
          <w:color w:val="2E75B6"/>
          <w:sz w:val="24"/>
        </w:rPr>
        <w:t>17.1 Comparative Performance — Test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2745"/>
        <w:gridCol w:w="2732"/>
        <w:gridCol w:w="2344"/>
      </w:tblGrid>
      <w:tr w14:paraId="0953D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E79"/>
          </w:tcPr>
          <w:p w14:paraId="4C2A2099">
            <w:pPr>
              <w:spacing w:after="0" w:line="240" w:lineRule="auto"/>
              <w:jc w:val="center"/>
            </w:pPr>
            <w:r>
              <w:rPr>
                <w:rFonts w:ascii="Calibri" w:hAnsi="Calibri"/>
                <w:b/>
                <w:color w:val="FFFFFF"/>
                <w:sz w:val="19"/>
              </w:rPr>
              <w:t>Metric</w:t>
            </w:r>
          </w:p>
        </w:tc>
        <w:tc>
          <w:tcPr>
            <w:tcW w:w="2880" w:type="dxa"/>
            <w:shd w:val="clear" w:color="auto" w:fill="1F4E79"/>
          </w:tcPr>
          <w:p w14:paraId="07315CB6">
            <w:pPr>
              <w:spacing w:after="0" w:line="240" w:lineRule="auto"/>
              <w:jc w:val="center"/>
            </w:pPr>
            <w:r>
              <w:rPr>
                <w:rFonts w:ascii="Calibri" w:hAnsi="Calibri"/>
                <w:b/>
                <w:color w:val="FFFFFF"/>
                <w:sz w:val="19"/>
              </w:rPr>
              <w:t>Logistic Regression</w:t>
            </w:r>
          </w:p>
        </w:tc>
        <w:tc>
          <w:tcPr>
            <w:tcW w:w="2880" w:type="dxa"/>
            <w:shd w:val="clear" w:color="auto" w:fill="1F4E79"/>
          </w:tcPr>
          <w:p w14:paraId="0BBE5E67">
            <w:pPr>
              <w:spacing w:after="0" w:line="240" w:lineRule="auto"/>
              <w:jc w:val="center"/>
            </w:pPr>
            <w:r>
              <w:rPr>
                <w:rFonts w:ascii="Calibri" w:hAnsi="Calibri"/>
                <w:b/>
                <w:color w:val="FFFFFF"/>
                <w:sz w:val="19"/>
              </w:rPr>
              <w:t>Random Forest</w:t>
            </w:r>
          </w:p>
        </w:tc>
        <w:tc>
          <w:tcPr>
            <w:tcW w:w="2448" w:type="dxa"/>
            <w:shd w:val="clear" w:color="auto" w:fill="1F4E79"/>
          </w:tcPr>
          <w:p w14:paraId="2138564F">
            <w:pPr>
              <w:spacing w:after="0" w:line="240" w:lineRule="auto"/>
              <w:jc w:val="center"/>
            </w:pPr>
            <w:r>
              <w:rPr>
                <w:rFonts w:ascii="Calibri" w:hAnsi="Calibri"/>
                <w:b/>
                <w:color w:val="FFFFFF"/>
                <w:sz w:val="19"/>
              </w:rPr>
              <w:t>Better Model</w:t>
            </w:r>
          </w:p>
        </w:tc>
      </w:tr>
      <w:tr w14:paraId="7E4D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6FEDE41A">
            <w:pPr>
              <w:spacing w:after="0" w:line="240" w:lineRule="auto"/>
            </w:pPr>
            <w:r>
              <w:rPr>
                <w:rFonts w:ascii="Calibri" w:hAnsi="Calibri"/>
                <w:color w:val="404040"/>
                <w:sz w:val="19"/>
              </w:rPr>
              <w:t>Accuracy</w:t>
            </w:r>
          </w:p>
        </w:tc>
        <w:tc>
          <w:tcPr>
            <w:tcW w:w="2880" w:type="dxa"/>
            <w:shd w:val="clear" w:color="auto" w:fill="EBF3FB"/>
          </w:tcPr>
          <w:p w14:paraId="1454A45F">
            <w:pPr>
              <w:spacing w:after="0" w:line="240" w:lineRule="auto"/>
              <w:jc w:val="center"/>
            </w:pPr>
            <w:r>
              <w:rPr>
                <w:rFonts w:ascii="Calibri" w:hAnsi="Calibri"/>
                <w:color w:val="404040"/>
                <w:sz w:val="19"/>
              </w:rPr>
              <w:t>0.9195  (91.95%)</w:t>
            </w:r>
          </w:p>
        </w:tc>
        <w:tc>
          <w:tcPr>
            <w:tcW w:w="2880" w:type="dxa"/>
            <w:shd w:val="clear" w:color="auto" w:fill="EBF3FB"/>
          </w:tcPr>
          <w:p w14:paraId="0E328BC9">
            <w:pPr>
              <w:spacing w:after="0" w:line="240" w:lineRule="auto"/>
              <w:jc w:val="center"/>
            </w:pPr>
            <w:r>
              <w:rPr>
                <w:rFonts w:ascii="Calibri" w:hAnsi="Calibri"/>
                <w:color w:val="404040"/>
                <w:sz w:val="19"/>
              </w:rPr>
              <w:t>0.9395  (93.95%)</w:t>
            </w:r>
          </w:p>
        </w:tc>
        <w:tc>
          <w:tcPr>
            <w:tcW w:w="2448" w:type="dxa"/>
            <w:shd w:val="clear" w:color="auto" w:fill="EBF3FB"/>
          </w:tcPr>
          <w:p w14:paraId="44294522">
            <w:pPr>
              <w:spacing w:after="0" w:line="240" w:lineRule="auto"/>
              <w:jc w:val="center"/>
            </w:pPr>
            <w:r>
              <w:rPr>
                <w:rFonts w:ascii="Calibri" w:hAnsi="Calibri"/>
                <w:color w:val="404040"/>
                <w:sz w:val="19"/>
              </w:rPr>
              <w:t>Random Forest</w:t>
            </w:r>
          </w:p>
        </w:tc>
      </w:tr>
      <w:tr w14:paraId="1CB4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10CF0CA2">
            <w:pPr>
              <w:spacing w:after="0" w:line="240" w:lineRule="auto"/>
            </w:pPr>
            <w:r>
              <w:rPr>
                <w:rFonts w:ascii="Calibri" w:hAnsi="Calibri"/>
                <w:color w:val="404040"/>
                <w:sz w:val="19"/>
              </w:rPr>
              <w:t>Precision</w:t>
            </w:r>
          </w:p>
        </w:tc>
        <w:tc>
          <w:tcPr>
            <w:tcW w:w="2880" w:type="dxa"/>
            <w:shd w:val="clear" w:color="auto" w:fill="FFFFFF"/>
          </w:tcPr>
          <w:p w14:paraId="7224599F">
            <w:pPr>
              <w:spacing w:after="0" w:line="240" w:lineRule="auto"/>
              <w:jc w:val="center"/>
            </w:pPr>
            <w:r>
              <w:rPr>
                <w:rFonts w:ascii="Calibri" w:hAnsi="Calibri"/>
                <w:color w:val="404040"/>
                <w:sz w:val="19"/>
              </w:rPr>
              <w:t>0.7109  (71.09%)</w:t>
            </w:r>
          </w:p>
        </w:tc>
        <w:tc>
          <w:tcPr>
            <w:tcW w:w="2880" w:type="dxa"/>
            <w:shd w:val="clear" w:color="auto" w:fill="FFFFFF"/>
          </w:tcPr>
          <w:p w14:paraId="778F207E">
            <w:pPr>
              <w:spacing w:after="0" w:line="240" w:lineRule="auto"/>
              <w:jc w:val="center"/>
            </w:pPr>
            <w:r>
              <w:rPr>
                <w:rFonts w:ascii="Calibri" w:hAnsi="Calibri"/>
                <w:color w:val="404040"/>
                <w:sz w:val="19"/>
              </w:rPr>
              <w:t>0.8320  (83.20%)</w:t>
            </w:r>
          </w:p>
        </w:tc>
        <w:tc>
          <w:tcPr>
            <w:tcW w:w="2448" w:type="dxa"/>
            <w:shd w:val="clear" w:color="auto" w:fill="FFFFFF"/>
          </w:tcPr>
          <w:p w14:paraId="48DE8C2A">
            <w:pPr>
              <w:spacing w:after="0" w:line="240" w:lineRule="auto"/>
              <w:jc w:val="center"/>
            </w:pPr>
            <w:r>
              <w:rPr>
                <w:rFonts w:ascii="Calibri" w:hAnsi="Calibri"/>
                <w:color w:val="404040"/>
                <w:sz w:val="19"/>
              </w:rPr>
              <w:t>Random Forest</w:t>
            </w:r>
          </w:p>
        </w:tc>
      </w:tr>
      <w:tr w14:paraId="7D77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436F4D2A">
            <w:pPr>
              <w:spacing w:after="0" w:line="240" w:lineRule="auto"/>
            </w:pPr>
            <w:r>
              <w:rPr>
                <w:rFonts w:ascii="Calibri" w:hAnsi="Calibri"/>
                <w:color w:val="404040"/>
                <w:sz w:val="19"/>
              </w:rPr>
              <w:t>Recall</w:t>
            </w:r>
          </w:p>
        </w:tc>
        <w:tc>
          <w:tcPr>
            <w:tcW w:w="2880" w:type="dxa"/>
            <w:shd w:val="clear" w:color="auto" w:fill="EBF3FB"/>
          </w:tcPr>
          <w:p w14:paraId="1FF01AF4">
            <w:pPr>
              <w:spacing w:after="0" w:line="240" w:lineRule="auto"/>
              <w:jc w:val="center"/>
            </w:pPr>
            <w:r>
              <w:rPr>
                <w:rFonts w:ascii="Calibri" w:hAnsi="Calibri"/>
                <w:color w:val="404040"/>
                <w:sz w:val="19"/>
              </w:rPr>
              <w:t>0.9599  (95.99%)</w:t>
            </w:r>
          </w:p>
        </w:tc>
        <w:tc>
          <w:tcPr>
            <w:tcW w:w="2880" w:type="dxa"/>
            <w:shd w:val="clear" w:color="auto" w:fill="EBF3FB"/>
          </w:tcPr>
          <w:p w14:paraId="5946BC2F">
            <w:pPr>
              <w:spacing w:after="0" w:line="240" w:lineRule="auto"/>
              <w:jc w:val="center"/>
            </w:pPr>
            <w:r>
              <w:rPr>
                <w:rFonts w:ascii="Calibri" w:hAnsi="Calibri"/>
                <w:color w:val="404040"/>
                <w:sz w:val="19"/>
              </w:rPr>
              <w:t>0.8476  (84.76%)</w:t>
            </w:r>
          </w:p>
        </w:tc>
        <w:tc>
          <w:tcPr>
            <w:tcW w:w="2448" w:type="dxa"/>
            <w:shd w:val="clear" w:color="auto" w:fill="EBF3FB"/>
          </w:tcPr>
          <w:p w14:paraId="09AE4419">
            <w:pPr>
              <w:spacing w:after="0" w:line="240" w:lineRule="auto"/>
              <w:jc w:val="center"/>
            </w:pPr>
            <w:r>
              <w:rPr>
                <w:rFonts w:ascii="Calibri" w:hAnsi="Calibri"/>
                <w:color w:val="404040"/>
                <w:sz w:val="19"/>
              </w:rPr>
              <w:t>Logistic Regression</w:t>
            </w:r>
          </w:p>
        </w:tc>
      </w:tr>
      <w:tr w14:paraId="1F32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FFFFF"/>
          </w:tcPr>
          <w:p w14:paraId="60B59A9C">
            <w:pPr>
              <w:spacing w:after="0" w:line="240" w:lineRule="auto"/>
            </w:pPr>
            <w:r>
              <w:rPr>
                <w:rFonts w:ascii="Calibri" w:hAnsi="Calibri"/>
                <w:color w:val="404040"/>
                <w:sz w:val="19"/>
              </w:rPr>
              <w:t>F1-Score</w:t>
            </w:r>
          </w:p>
        </w:tc>
        <w:tc>
          <w:tcPr>
            <w:tcW w:w="2880" w:type="dxa"/>
            <w:shd w:val="clear" w:color="auto" w:fill="FFFFFF"/>
          </w:tcPr>
          <w:p w14:paraId="31F93428">
            <w:pPr>
              <w:spacing w:after="0" w:line="240" w:lineRule="auto"/>
              <w:jc w:val="center"/>
            </w:pPr>
            <w:r>
              <w:rPr>
                <w:rFonts w:ascii="Calibri" w:hAnsi="Calibri"/>
                <w:color w:val="404040"/>
                <w:sz w:val="19"/>
              </w:rPr>
              <w:t>0.8168  (81.68%)</w:t>
            </w:r>
          </w:p>
        </w:tc>
        <w:tc>
          <w:tcPr>
            <w:tcW w:w="2880" w:type="dxa"/>
            <w:shd w:val="clear" w:color="auto" w:fill="FFFFFF"/>
          </w:tcPr>
          <w:p w14:paraId="4052A212">
            <w:pPr>
              <w:spacing w:after="0" w:line="240" w:lineRule="auto"/>
              <w:jc w:val="center"/>
            </w:pPr>
            <w:r>
              <w:rPr>
                <w:rFonts w:ascii="Calibri" w:hAnsi="Calibri"/>
                <w:color w:val="404040"/>
                <w:sz w:val="19"/>
              </w:rPr>
              <w:t>0.8397  (83.97%)</w:t>
            </w:r>
          </w:p>
        </w:tc>
        <w:tc>
          <w:tcPr>
            <w:tcW w:w="2448" w:type="dxa"/>
            <w:shd w:val="clear" w:color="auto" w:fill="FFFFFF"/>
          </w:tcPr>
          <w:p w14:paraId="3D206794">
            <w:pPr>
              <w:spacing w:after="0" w:line="240" w:lineRule="auto"/>
              <w:jc w:val="center"/>
            </w:pPr>
            <w:r>
              <w:rPr>
                <w:rFonts w:ascii="Calibri" w:hAnsi="Calibri"/>
                <w:color w:val="404040"/>
                <w:sz w:val="19"/>
              </w:rPr>
              <w:t>Random Forest</w:t>
            </w:r>
          </w:p>
        </w:tc>
      </w:tr>
      <w:tr w14:paraId="24DF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3FB"/>
          </w:tcPr>
          <w:p w14:paraId="6BA02A48">
            <w:pPr>
              <w:spacing w:after="0" w:line="240" w:lineRule="auto"/>
            </w:pPr>
            <w:r>
              <w:rPr>
                <w:rFonts w:ascii="Calibri" w:hAnsi="Calibri"/>
                <w:color w:val="404040"/>
                <w:sz w:val="19"/>
              </w:rPr>
              <w:t>ROC-AUC</w:t>
            </w:r>
          </w:p>
        </w:tc>
        <w:tc>
          <w:tcPr>
            <w:tcW w:w="2880" w:type="dxa"/>
            <w:shd w:val="clear" w:color="auto" w:fill="EBF3FB"/>
          </w:tcPr>
          <w:p w14:paraId="7A8306BC">
            <w:pPr>
              <w:spacing w:after="0" w:line="240" w:lineRule="auto"/>
              <w:jc w:val="center"/>
            </w:pPr>
            <w:r>
              <w:rPr>
                <w:rFonts w:ascii="Calibri" w:hAnsi="Calibri"/>
                <w:color w:val="404040"/>
                <w:sz w:val="19"/>
              </w:rPr>
              <w:t>0.9857  (98.57%)</w:t>
            </w:r>
          </w:p>
        </w:tc>
        <w:tc>
          <w:tcPr>
            <w:tcW w:w="2880" w:type="dxa"/>
            <w:shd w:val="clear" w:color="auto" w:fill="EBF3FB"/>
          </w:tcPr>
          <w:p w14:paraId="0FA660CC">
            <w:pPr>
              <w:spacing w:after="0" w:line="240" w:lineRule="auto"/>
              <w:jc w:val="center"/>
            </w:pPr>
            <w:r>
              <w:rPr>
                <w:rFonts w:ascii="Calibri" w:hAnsi="Calibri"/>
                <w:color w:val="404040"/>
                <w:sz w:val="19"/>
              </w:rPr>
              <w:t>0.9849  (98.49%)</w:t>
            </w:r>
          </w:p>
        </w:tc>
        <w:tc>
          <w:tcPr>
            <w:tcW w:w="2448" w:type="dxa"/>
            <w:shd w:val="clear" w:color="auto" w:fill="EBF3FB"/>
          </w:tcPr>
          <w:p w14:paraId="7CDC2761">
            <w:pPr>
              <w:spacing w:after="0" w:line="240" w:lineRule="auto"/>
              <w:jc w:val="center"/>
            </w:pPr>
            <w:r>
              <w:rPr>
                <w:rFonts w:ascii="Calibri" w:hAnsi="Calibri"/>
                <w:color w:val="404040"/>
                <w:sz w:val="19"/>
              </w:rPr>
              <w:t>Logistic Regression (marginal)</w:t>
            </w:r>
          </w:p>
        </w:tc>
      </w:tr>
    </w:tbl>
    <w:p w14:paraId="35F1BB2D">
      <w:pPr>
        <w:spacing w:after="120"/>
      </w:pPr>
    </w:p>
    <w:p w14:paraId="15A66C24">
      <w:pPr>
        <w:spacing w:before="240" w:after="80"/>
      </w:pPr>
      <w:r>
        <w:rPr>
          <w:rFonts w:ascii="Calibri" w:hAnsi="Calibri"/>
          <w:b/>
          <w:color w:val="2E75B6"/>
          <w:sz w:val="24"/>
        </w:rPr>
        <w:t>17.2 ROC Curve</w:t>
      </w:r>
    </w:p>
    <w:p w14:paraId="2C8F5CCC">
      <w:pPr>
        <w:spacing w:before="120"/>
        <w:jc w:val="center"/>
      </w:pPr>
      <w:r>
        <w:drawing>
          <wp:inline distT="0" distB="0" distL="0" distR="0">
            <wp:extent cx="5029200" cy="4157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4158541"/>
                    </a:xfrm>
                    <a:prstGeom prst="rect">
                      <a:avLst/>
                    </a:prstGeom>
                  </pic:spPr>
                </pic:pic>
              </a:graphicData>
            </a:graphic>
          </wp:inline>
        </w:drawing>
      </w:r>
    </w:p>
    <w:p w14:paraId="12E7CF09">
      <w:pPr>
        <w:spacing w:before="40"/>
        <w:jc w:val="center"/>
      </w:pPr>
      <w:r>
        <w:rPr>
          <w:rFonts w:ascii="Calibri" w:hAnsi="Calibri"/>
          <w:i/>
          <w:color w:val="707070"/>
          <w:sz w:val="18"/>
        </w:rPr>
        <w:t>Figure 6: ROC Curve. Random Forest AUC = 0.9849; Logistic Regression AUC = 0.9857. Both models demonstrate near-perfect discrimination ability.</w:t>
      </w:r>
    </w:p>
    <w:p w14:paraId="61FE4656">
      <w:pPr>
        <w:spacing w:before="40" w:after="100"/>
      </w:pPr>
      <w:r>
        <w:rPr>
          <w:rFonts w:ascii="Calibri" w:hAnsi="Calibri"/>
          <w:color w:val="404040"/>
          <w:sz w:val="21"/>
        </w:rPr>
        <w:t>Both models achieve ROC-AUC values above 0.98, indicating near-perfect class separation. This level of performance is consistent with the near-deterministic relationship between Discount &gt;= 0.4 and Loss_Flag = 1 in the training data. The Random Forest was selected as the production model based on its superior F1-Score and better precision-recall balance.</w:t>
      </w:r>
    </w:p>
    <w:p w14:paraId="72DD48AD">
      <w:pPr>
        <w:spacing w:before="240" w:after="80"/>
      </w:pPr>
      <w:r>
        <w:rPr>
          <w:rFonts w:ascii="Calibri" w:hAnsi="Calibri"/>
          <w:b/>
          <w:color w:val="2E75B6"/>
          <w:sz w:val="24"/>
        </w:rPr>
        <w:t>17.3 Feature Importance</w:t>
      </w:r>
    </w:p>
    <w:p w14:paraId="2E3A0338">
      <w:pPr>
        <w:spacing w:before="120"/>
        <w:jc w:val="center"/>
      </w:pPr>
      <w:r>
        <w:drawing>
          <wp:inline distT="0" distB="0" distL="0" distR="0">
            <wp:extent cx="5486400" cy="2976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86400" cy="2976926"/>
                    </a:xfrm>
                    <a:prstGeom prst="rect">
                      <a:avLst/>
                    </a:prstGeom>
                  </pic:spPr>
                </pic:pic>
              </a:graphicData>
            </a:graphic>
          </wp:inline>
        </w:drawing>
      </w:r>
    </w:p>
    <w:p w14:paraId="029A4441">
      <w:pPr>
        <w:spacing w:before="40"/>
        <w:jc w:val="center"/>
      </w:pPr>
      <w:r>
        <w:rPr>
          <w:rFonts w:ascii="Calibri" w:hAnsi="Calibri"/>
          <w:i/>
          <w:color w:val="707070"/>
          <w:sz w:val="18"/>
        </w:rPr>
        <w:t>Figure 7: Top 15 Feature Importances — Random Forest. Discount dominates with 53.7% of total importance weight.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2770"/>
        <w:gridCol w:w="2337"/>
        <w:gridCol w:w="3804"/>
      </w:tblGrid>
      <w:tr w14:paraId="45EA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1F4E79"/>
          </w:tcPr>
          <w:p w14:paraId="73391AF9">
            <w:pPr>
              <w:spacing w:after="0" w:line="240" w:lineRule="auto"/>
              <w:jc w:val="center"/>
            </w:pPr>
            <w:r>
              <w:rPr>
                <w:rFonts w:ascii="Calibri" w:hAnsi="Calibri"/>
                <w:b/>
                <w:color w:val="FFFFFF"/>
                <w:sz w:val="19"/>
              </w:rPr>
              <w:t>Rank</w:t>
            </w:r>
          </w:p>
        </w:tc>
        <w:tc>
          <w:tcPr>
            <w:tcW w:w="2880" w:type="dxa"/>
            <w:shd w:val="clear" w:color="auto" w:fill="1F4E79"/>
          </w:tcPr>
          <w:p w14:paraId="70CCA67C">
            <w:pPr>
              <w:spacing w:after="0" w:line="240" w:lineRule="auto"/>
              <w:jc w:val="center"/>
            </w:pPr>
            <w:r>
              <w:rPr>
                <w:rFonts w:ascii="Calibri" w:hAnsi="Calibri"/>
                <w:b/>
                <w:color w:val="FFFFFF"/>
                <w:sz w:val="19"/>
              </w:rPr>
              <w:t>Feature</w:t>
            </w:r>
          </w:p>
        </w:tc>
        <w:tc>
          <w:tcPr>
            <w:tcW w:w="2448" w:type="dxa"/>
            <w:shd w:val="clear" w:color="auto" w:fill="1F4E79"/>
          </w:tcPr>
          <w:p w14:paraId="761BE6B1">
            <w:pPr>
              <w:spacing w:after="0" w:line="240" w:lineRule="auto"/>
              <w:jc w:val="center"/>
            </w:pPr>
            <w:r>
              <w:rPr>
                <w:rFonts w:ascii="Calibri" w:hAnsi="Calibri"/>
                <w:b/>
                <w:color w:val="FFFFFF"/>
                <w:sz w:val="19"/>
              </w:rPr>
              <w:t>Importance Score</w:t>
            </w:r>
          </w:p>
        </w:tc>
        <w:tc>
          <w:tcPr>
            <w:tcW w:w="4032" w:type="dxa"/>
            <w:shd w:val="clear" w:color="auto" w:fill="1F4E79"/>
          </w:tcPr>
          <w:p w14:paraId="276E1A0D">
            <w:pPr>
              <w:spacing w:after="0" w:line="240" w:lineRule="auto"/>
              <w:jc w:val="center"/>
            </w:pPr>
            <w:r>
              <w:rPr>
                <w:rFonts w:ascii="Calibri" w:hAnsi="Calibri"/>
                <w:b/>
                <w:color w:val="FFFFFF"/>
                <w:sz w:val="19"/>
              </w:rPr>
              <w:t>Interpretation</w:t>
            </w:r>
          </w:p>
        </w:tc>
      </w:tr>
      <w:tr w14:paraId="45AC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EBF3FB"/>
          </w:tcPr>
          <w:p w14:paraId="42025EF0">
            <w:pPr>
              <w:spacing w:after="0" w:line="240" w:lineRule="auto"/>
            </w:pPr>
            <w:r>
              <w:rPr>
                <w:rFonts w:ascii="Calibri" w:hAnsi="Calibri"/>
                <w:color w:val="404040"/>
                <w:sz w:val="19"/>
              </w:rPr>
              <w:t>1</w:t>
            </w:r>
          </w:p>
        </w:tc>
        <w:tc>
          <w:tcPr>
            <w:tcW w:w="2880" w:type="dxa"/>
            <w:shd w:val="clear" w:color="auto" w:fill="EBF3FB"/>
          </w:tcPr>
          <w:p w14:paraId="70010303">
            <w:pPr>
              <w:spacing w:after="0" w:line="240" w:lineRule="auto"/>
              <w:jc w:val="center"/>
            </w:pPr>
            <w:r>
              <w:rPr>
                <w:rFonts w:ascii="Calibri" w:hAnsi="Calibri"/>
                <w:color w:val="404040"/>
                <w:sz w:val="19"/>
              </w:rPr>
              <w:t>Discount</w:t>
            </w:r>
          </w:p>
        </w:tc>
        <w:tc>
          <w:tcPr>
            <w:tcW w:w="2448" w:type="dxa"/>
            <w:shd w:val="clear" w:color="auto" w:fill="EBF3FB"/>
          </w:tcPr>
          <w:p w14:paraId="71DD8485">
            <w:pPr>
              <w:spacing w:after="0" w:line="240" w:lineRule="auto"/>
              <w:jc w:val="center"/>
            </w:pPr>
            <w:r>
              <w:rPr>
                <w:rFonts w:ascii="Calibri" w:hAnsi="Calibri"/>
                <w:color w:val="404040"/>
                <w:sz w:val="19"/>
              </w:rPr>
              <w:t>0.5372 (53.7%)</w:t>
            </w:r>
          </w:p>
        </w:tc>
        <w:tc>
          <w:tcPr>
            <w:tcW w:w="4032" w:type="dxa"/>
            <w:shd w:val="clear" w:color="auto" w:fill="EBF3FB"/>
          </w:tcPr>
          <w:p w14:paraId="5A31DB06">
            <w:pPr>
              <w:spacing w:after="0" w:line="240" w:lineRule="auto"/>
              <w:jc w:val="center"/>
            </w:pPr>
            <w:r>
              <w:rPr>
                <w:rFonts w:ascii="Calibri" w:hAnsi="Calibri"/>
                <w:color w:val="404040"/>
                <w:sz w:val="19"/>
              </w:rPr>
              <w:t>Single most powerful predictor — discount drives loss</w:t>
            </w:r>
          </w:p>
        </w:tc>
      </w:tr>
      <w:tr w14:paraId="6594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FFFFF"/>
          </w:tcPr>
          <w:p w14:paraId="01F81B1C">
            <w:pPr>
              <w:spacing w:after="0" w:line="240" w:lineRule="auto"/>
            </w:pPr>
            <w:r>
              <w:rPr>
                <w:rFonts w:ascii="Calibri" w:hAnsi="Calibri"/>
                <w:color w:val="404040"/>
                <w:sz w:val="19"/>
              </w:rPr>
              <w:t>2</w:t>
            </w:r>
          </w:p>
        </w:tc>
        <w:tc>
          <w:tcPr>
            <w:tcW w:w="2880" w:type="dxa"/>
            <w:shd w:val="clear" w:color="auto" w:fill="FFFFFF"/>
          </w:tcPr>
          <w:p w14:paraId="2634A5D0">
            <w:pPr>
              <w:spacing w:after="0" w:line="240" w:lineRule="auto"/>
              <w:jc w:val="center"/>
            </w:pPr>
            <w:r>
              <w:rPr>
                <w:rFonts w:ascii="Calibri" w:hAnsi="Calibri"/>
                <w:color w:val="404040"/>
                <w:sz w:val="19"/>
              </w:rPr>
              <w:t>Sales</w:t>
            </w:r>
          </w:p>
        </w:tc>
        <w:tc>
          <w:tcPr>
            <w:tcW w:w="2448" w:type="dxa"/>
            <w:shd w:val="clear" w:color="auto" w:fill="FFFFFF"/>
          </w:tcPr>
          <w:p w14:paraId="4CC9EF96">
            <w:pPr>
              <w:spacing w:after="0" w:line="240" w:lineRule="auto"/>
              <w:jc w:val="center"/>
            </w:pPr>
            <w:r>
              <w:rPr>
                <w:rFonts w:ascii="Calibri" w:hAnsi="Calibri"/>
                <w:color w:val="404040"/>
                <w:sz w:val="19"/>
              </w:rPr>
              <w:t>0.0695 (6.9%)</w:t>
            </w:r>
          </w:p>
        </w:tc>
        <w:tc>
          <w:tcPr>
            <w:tcW w:w="4032" w:type="dxa"/>
            <w:shd w:val="clear" w:color="auto" w:fill="FFFFFF"/>
          </w:tcPr>
          <w:p w14:paraId="79F921DC">
            <w:pPr>
              <w:spacing w:after="0" w:line="240" w:lineRule="auto"/>
              <w:jc w:val="center"/>
            </w:pPr>
            <w:r>
              <w:rPr>
                <w:rFonts w:ascii="Calibri" w:hAnsi="Calibri"/>
                <w:color w:val="404040"/>
                <w:sz w:val="19"/>
              </w:rPr>
              <w:t>Higher sales at high discount amplifies loss magnitude</w:t>
            </w:r>
          </w:p>
        </w:tc>
      </w:tr>
      <w:tr w14:paraId="1DFB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EBF3FB"/>
          </w:tcPr>
          <w:p w14:paraId="1BD4FDAC">
            <w:pPr>
              <w:spacing w:after="0" w:line="240" w:lineRule="auto"/>
            </w:pPr>
            <w:r>
              <w:rPr>
                <w:rFonts w:ascii="Calibri" w:hAnsi="Calibri"/>
                <w:color w:val="404040"/>
                <w:sz w:val="19"/>
              </w:rPr>
              <w:t>3</w:t>
            </w:r>
          </w:p>
        </w:tc>
        <w:tc>
          <w:tcPr>
            <w:tcW w:w="2880" w:type="dxa"/>
            <w:shd w:val="clear" w:color="auto" w:fill="EBF3FB"/>
          </w:tcPr>
          <w:p w14:paraId="55146954">
            <w:pPr>
              <w:spacing w:after="0" w:line="240" w:lineRule="auto"/>
              <w:jc w:val="center"/>
            </w:pPr>
            <w:r>
              <w:rPr>
                <w:rFonts w:ascii="Calibri" w:hAnsi="Calibri"/>
                <w:color w:val="404040"/>
                <w:sz w:val="19"/>
              </w:rPr>
              <w:t>Sub-Category_Paper</w:t>
            </w:r>
          </w:p>
        </w:tc>
        <w:tc>
          <w:tcPr>
            <w:tcW w:w="2448" w:type="dxa"/>
            <w:shd w:val="clear" w:color="auto" w:fill="EBF3FB"/>
          </w:tcPr>
          <w:p w14:paraId="0B199E0D">
            <w:pPr>
              <w:spacing w:after="0" w:line="240" w:lineRule="auto"/>
              <w:jc w:val="center"/>
            </w:pPr>
            <w:r>
              <w:rPr>
                <w:rFonts w:ascii="Calibri" w:hAnsi="Calibri"/>
                <w:color w:val="404040"/>
                <w:sz w:val="19"/>
              </w:rPr>
              <w:t>0.0444 (4.4%)</w:t>
            </w:r>
          </w:p>
        </w:tc>
        <w:tc>
          <w:tcPr>
            <w:tcW w:w="4032" w:type="dxa"/>
            <w:shd w:val="clear" w:color="auto" w:fill="EBF3FB"/>
          </w:tcPr>
          <w:p w14:paraId="70D106BA">
            <w:pPr>
              <w:spacing w:after="0" w:line="240" w:lineRule="auto"/>
              <w:jc w:val="center"/>
            </w:pPr>
            <w:r>
              <w:rPr>
                <w:rFonts w:ascii="Calibri" w:hAnsi="Calibri"/>
                <w:color w:val="404040"/>
                <w:sz w:val="19"/>
              </w:rPr>
              <w:t>Paper sub-category has distinct profitability profile</w:t>
            </w:r>
          </w:p>
        </w:tc>
      </w:tr>
      <w:tr w14:paraId="725B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FFFFF"/>
          </w:tcPr>
          <w:p w14:paraId="66F195F9">
            <w:pPr>
              <w:spacing w:after="0" w:line="240" w:lineRule="auto"/>
            </w:pPr>
            <w:r>
              <w:rPr>
                <w:rFonts w:ascii="Calibri" w:hAnsi="Calibri"/>
                <w:color w:val="404040"/>
                <w:sz w:val="19"/>
              </w:rPr>
              <w:t>4</w:t>
            </w:r>
          </w:p>
        </w:tc>
        <w:tc>
          <w:tcPr>
            <w:tcW w:w="2880" w:type="dxa"/>
            <w:shd w:val="clear" w:color="auto" w:fill="FFFFFF"/>
          </w:tcPr>
          <w:p w14:paraId="5D1351AA">
            <w:pPr>
              <w:spacing w:after="0" w:line="240" w:lineRule="auto"/>
              <w:jc w:val="center"/>
            </w:pPr>
            <w:r>
              <w:rPr>
                <w:rFonts w:ascii="Calibri" w:hAnsi="Calibri"/>
                <w:color w:val="404040"/>
                <w:sz w:val="19"/>
              </w:rPr>
              <w:t>Sub-Category_Binders</w:t>
            </w:r>
          </w:p>
        </w:tc>
        <w:tc>
          <w:tcPr>
            <w:tcW w:w="2448" w:type="dxa"/>
            <w:shd w:val="clear" w:color="auto" w:fill="FFFFFF"/>
          </w:tcPr>
          <w:p w14:paraId="4930C94A">
            <w:pPr>
              <w:spacing w:after="0" w:line="240" w:lineRule="auto"/>
              <w:jc w:val="center"/>
            </w:pPr>
            <w:r>
              <w:rPr>
                <w:rFonts w:ascii="Calibri" w:hAnsi="Calibri"/>
                <w:color w:val="404040"/>
                <w:sz w:val="19"/>
              </w:rPr>
              <w:t>0.0356 (3.6%)</w:t>
            </w:r>
          </w:p>
        </w:tc>
        <w:tc>
          <w:tcPr>
            <w:tcW w:w="4032" w:type="dxa"/>
            <w:shd w:val="clear" w:color="auto" w:fill="FFFFFF"/>
          </w:tcPr>
          <w:p w14:paraId="6FA6F040">
            <w:pPr>
              <w:spacing w:after="0" w:line="240" w:lineRule="auto"/>
              <w:jc w:val="center"/>
            </w:pPr>
            <w:r>
              <w:rPr>
                <w:rFonts w:ascii="Calibri" w:hAnsi="Calibri"/>
                <w:color w:val="404040"/>
                <w:sz w:val="19"/>
              </w:rPr>
              <w:t>Binders frequently appear at 80% discount in Central</w:t>
            </w:r>
          </w:p>
        </w:tc>
      </w:tr>
      <w:tr w14:paraId="40E6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EBF3FB"/>
          </w:tcPr>
          <w:p w14:paraId="4347DE2F">
            <w:pPr>
              <w:spacing w:after="0" w:line="240" w:lineRule="auto"/>
            </w:pPr>
            <w:r>
              <w:rPr>
                <w:rFonts w:ascii="Calibri" w:hAnsi="Calibri"/>
                <w:color w:val="404040"/>
                <w:sz w:val="19"/>
              </w:rPr>
              <w:t>5</w:t>
            </w:r>
          </w:p>
        </w:tc>
        <w:tc>
          <w:tcPr>
            <w:tcW w:w="2880" w:type="dxa"/>
            <w:shd w:val="clear" w:color="auto" w:fill="EBF3FB"/>
          </w:tcPr>
          <w:p w14:paraId="3723915C">
            <w:pPr>
              <w:spacing w:after="0" w:line="240" w:lineRule="auto"/>
              <w:jc w:val="center"/>
            </w:pPr>
            <w:r>
              <w:rPr>
                <w:rFonts w:ascii="Calibri" w:hAnsi="Calibri"/>
                <w:color w:val="404040"/>
                <w:sz w:val="19"/>
              </w:rPr>
              <w:t>Sub-Category_Art</w:t>
            </w:r>
          </w:p>
        </w:tc>
        <w:tc>
          <w:tcPr>
            <w:tcW w:w="2448" w:type="dxa"/>
            <w:shd w:val="clear" w:color="auto" w:fill="EBF3FB"/>
          </w:tcPr>
          <w:p w14:paraId="6A8C398E">
            <w:pPr>
              <w:spacing w:after="0" w:line="240" w:lineRule="auto"/>
              <w:jc w:val="center"/>
            </w:pPr>
            <w:r>
              <w:rPr>
                <w:rFonts w:ascii="Calibri" w:hAnsi="Calibri"/>
                <w:color w:val="404040"/>
                <w:sz w:val="19"/>
              </w:rPr>
              <w:t>0.0275 (2.8%)</w:t>
            </w:r>
          </w:p>
        </w:tc>
        <w:tc>
          <w:tcPr>
            <w:tcW w:w="4032" w:type="dxa"/>
            <w:shd w:val="clear" w:color="auto" w:fill="EBF3FB"/>
          </w:tcPr>
          <w:p w14:paraId="2088F333">
            <w:pPr>
              <w:spacing w:after="0" w:line="240" w:lineRule="auto"/>
              <w:jc w:val="center"/>
            </w:pPr>
            <w:r>
              <w:rPr>
                <w:rFonts w:ascii="Calibri" w:hAnsi="Calibri"/>
                <w:color w:val="404040"/>
                <w:sz w:val="19"/>
              </w:rPr>
              <w:t>Art products have thin margins with any discount</w:t>
            </w:r>
          </w:p>
        </w:tc>
      </w:tr>
    </w:tbl>
    <w:p w14:paraId="6D853778">
      <w:pPr>
        <w:spacing w:after="120"/>
      </w:pPr>
    </w:p>
    <w:p w14:paraId="2AADE198">
      <w:r>
        <w:br w:type="page"/>
      </w:r>
    </w:p>
    <w:p w14:paraId="6BB44661">
      <w:pPr>
        <w:spacing w:before="360" w:after="120"/>
      </w:pPr>
      <w:r>
        <w:rPr>
          <w:rFonts w:ascii="Calibri" w:hAnsi="Calibri"/>
          <w:b/>
          <w:color w:val="1F4E79"/>
          <w:sz w:val="30"/>
        </w:rPr>
        <w:t>18. Confusion Matrix Interpretation</w:t>
      </w:r>
    </w:p>
    <w:p w14:paraId="7DFCDFFC">
      <w:pPr>
        <w:pBdr>
          <w:bottom w:val="single" w:color="1F4E79" w:sz="8" w:space="1"/>
        </w:pBdr>
        <w:spacing w:after="40"/>
      </w:pPr>
    </w:p>
    <w:p w14:paraId="6929C459">
      <w:pPr>
        <w:spacing w:before="120"/>
        <w:jc w:val="center"/>
      </w:pPr>
      <w:r>
        <w:drawing>
          <wp:inline distT="0" distB="0" distL="0" distR="0">
            <wp:extent cx="3657600" cy="2917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57600" cy="2917975"/>
                    </a:xfrm>
                    <a:prstGeom prst="rect">
                      <a:avLst/>
                    </a:prstGeom>
                  </pic:spPr>
                </pic:pic>
              </a:graphicData>
            </a:graphic>
          </wp:inline>
        </w:drawing>
      </w:r>
    </w:p>
    <w:p w14:paraId="025E89A4">
      <w:pPr>
        <w:spacing w:before="40"/>
        <w:jc w:val="center"/>
      </w:pPr>
      <w:r>
        <w:rPr>
          <w:rFonts w:ascii="Calibri" w:hAnsi="Calibri"/>
          <w:i/>
          <w:color w:val="707070"/>
          <w:sz w:val="18"/>
        </w:rPr>
        <w:t>Figure 8: Confusion Matrix — Random Forest on Test Set (1,999 records).</w:t>
      </w:r>
    </w:p>
    <w:p w14:paraId="7FD2FCFD">
      <w:pPr>
        <w:spacing w:before="40" w:after="100"/>
      </w:pPr>
      <w:r>
        <w:rPr>
          <w:rFonts w:ascii="Calibri" w:hAnsi="Calibri"/>
          <w:color w:val="404040"/>
          <w:sz w:val="21"/>
        </w:rPr>
        <w:t>The test set contains 1,999 records: approximately 1,625 profitable (Loss_Flag=0) and 374 loss-making (Loss_Flag=1) transactions. The confusion matrix cells are interpreted as follows: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600"/>
        <w:gridCol w:w="3312"/>
      </w:tblGrid>
      <w:tr w14:paraId="4862A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5C4080C1">
            <w:pPr>
              <w:spacing w:after="0" w:line="240" w:lineRule="auto"/>
              <w:jc w:val="center"/>
            </w:pPr>
            <w:r>
              <w:rPr>
                <w:rFonts w:ascii="Calibri" w:hAnsi="Calibri"/>
                <w:b/>
                <w:color w:val="FFFFFF"/>
                <w:sz w:val="19"/>
              </w:rPr>
              <w:t>Cell</w:t>
            </w:r>
          </w:p>
        </w:tc>
        <w:tc>
          <w:tcPr>
            <w:tcW w:w="3600" w:type="dxa"/>
            <w:shd w:val="clear" w:color="auto" w:fill="1F4E79"/>
          </w:tcPr>
          <w:p w14:paraId="31984CD9">
            <w:pPr>
              <w:spacing w:after="0" w:line="240" w:lineRule="auto"/>
              <w:jc w:val="center"/>
            </w:pPr>
            <w:r>
              <w:rPr>
                <w:rFonts w:ascii="Calibri" w:hAnsi="Calibri"/>
                <w:b/>
                <w:color w:val="FFFFFF"/>
                <w:sz w:val="19"/>
              </w:rPr>
              <w:t>Meaning</w:t>
            </w:r>
          </w:p>
        </w:tc>
        <w:tc>
          <w:tcPr>
            <w:tcW w:w="3312" w:type="dxa"/>
            <w:shd w:val="clear" w:color="auto" w:fill="1F4E79"/>
          </w:tcPr>
          <w:p w14:paraId="3AC8E76A">
            <w:pPr>
              <w:spacing w:after="0" w:line="240" w:lineRule="auto"/>
              <w:jc w:val="center"/>
            </w:pPr>
            <w:r>
              <w:rPr>
                <w:rFonts w:ascii="Calibri" w:hAnsi="Calibri"/>
                <w:b/>
                <w:color w:val="FFFFFF"/>
                <w:sz w:val="19"/>
              </w:rPr>
              <w:t>Business Impact</w:t>
            </w:r>
          </w:p>
        </w:tc>
      </w:tr>
      <w:tr w14:paraId="3FC1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BF3FB"/>
          </w:tcPr>
          <w:p w14:paraId="0C560C06">
            <w:pPr>
              <w:spacing w:after="0" w:line="240" w:lineRule="auto"/>
            </w:pPr>
            <w:r>
              <w:rPr>
                <w:rFonts w:ascii="Calibri" w:hAnsi="Calibri"/>
                <w:color w:val="404040"/>
                <w:sz w:val="19"/>
              </w:rPr>
              <w:t>True Positives (TP)</w:t>
            </w:r>
          </w:p>
        </w:tc>
        <w:tc>
          <w:tcPr>
            <w:tcW w:w="3600" w:type="dxa"/>
            <w:shd w:val="clear" w:color="auto" w:fill="EBF3FB"/>
          </w:tcPr>
          <w:p w14:paraId="5C17FCD9">
            <w:pPr>
              <w:spacing w:after="0" w:line="240" w:lineRule="auto"/>
              <w:jc w:val="center"/>
            </w:pPr>
            <w:r>
              <w:rPr>
                <w:rFonts w:ascii="Calibri" w:hAnsi="Calibri"/>
                <w:color w:val="404040"/>
                <w:sz w:val="19"/>
              </w:rPr>
              <w:t>Loss correctly predicted as Loss</w:t>
            </w:r>
          </w:p>
        </w:tc>
        <w:tc>
          <w:tcPr>
            <w:tcW w:w="3312" w:type="dxa"/>
            <w:shd w:val="clear" w:color="auto" w:fill="EBF3FB"/>
          </w:tcPr>
          <w:p w14:paraId="1F4BF34A">
            <w:pPr>
              <w:spacing w:after="0" w:line="240" w:lineRule="auto"/>
              <w:jc w:val="center"/>
            </w:pPr>
            <w:r>
              <w:rPr>
                <w:rFonts w:ascii="Calibri" w:hAnsi="Calibri"/>
                <w:color w:val="404040"/>
                <w:sz w:val="19"/>
              </w:rPr>
              <w:t>Order flagged for intervention — loss prevented</w:t>
            </w:r>
          </w:p>
        </w:tc>
      </w:tr>
      <w:tr w14:paraId="49D5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Pr>
          <w:p w14:paraId="70A65B58">
            <w:pPr>
              <w:spacing w:after="0" w:line="240" w:lineRule="auto"/>
            </w:pPr>
            <w:r>
              <w:rPr>
                <w:rFonts w:ascii="Calibri" w:hAnsi="Calibri"/>
                <w:color w:val="404040"/>
                <w:sz w:val="19"/>
              </w:rPr>
              <w:t>True Negatives (TN)</w:t>
            </w:r>
          </w:p>
        </w:tc>
        <w:tc>
          <w:tcPr>
            <w:tcW w:w="3600" w:type="dxa"/>
            <w:shd w:val="clear" w:color="auto" w:fill="FFFFFF"/>
          </w:tcPr>
          <w:p w14:paraId="390B3847">
            <w:pPr>
              <w:spacing w:after="0" w:line="240" w:lineRule="auto"/>
              <w:jc w:val="center"/>
            </w:pPr>
            <w:r>
              <w:rPr>
                <w:rFonts w:ascii="Calibri" w:hAnsi="Calibri"/>
                <w:color w:val="404040"/>
                <w:sz w:val="19"/>
              </w:rPr>
              <w:t>Profit correctly predicted as Profit</w:t>
            </w:r>
          </w:p>
        </w:tc>
        <w:tc>
          <w:tcPr>
            <w:tcW w:w="3312" w:type="dxa"/>
            <w:shd w:val="clear" w:color="auto" w:fill="FFFFFF"/>
          </w:tcPr>
          <w:p w14:paraId="7E7AD8A0">
            <w:pPr>
              <w:spacing w:after="0" w:line="240" w:lineRule="auto"/>
              <w:jc w:val="center"/>
            </w:pPr>
            <w:r>
              <w:rPr>
                <w:rFonts w:ascii="Calibri" w:hAnsi="Calibri"/>
                <w:color w:val="404040"/>
                <w:sz w:val="19"/>
              </w:rPr>
              <w:t>Order approved without friction — correct</w:t>
            </w:r>
          </w:p>
        </w:tc>
      </w:tr>
      <w:tr w14:paraId="56A5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BF3FB"/>
          </w:tcPr>
          <w:p w14:paraId="1CDD6ED9">
            <w:pPr>
              <w:spacing w:after="0" w:line="240" w:lineRule="auto"/>
            </w:pPr>
            <w:r>
              <w:rPr>
                <w:rFonts w:ascii="Calibri" w:hAnsi="Calibri"/>
                <w:color w:val="404040"/>
                <w:sz w:val="19"/>
              </w:rPr>
              <w:t>False Positives (FP)</w:t>
            </w:r>
          </w:p>
        </w:tc>
        <w:tc>
          <w:tcPr>
            <w:tcW w:w="3600" w:type="dxa"/>
            <w:shd w:val="clear" w:color="auto" w:fill="EBF3FB"/>
          </w:tcPr>
          <w:p w14:paraId="75F23F9D">
            <w:pPr>
              <w:spacing w:after="0" w:line="240" w:lineRule="auto"/>
              <w:jc w:val="center"/>
            </w:pPr>
            <w:r>
              <w:rPr>
                <w:rFonts w:ascii="Calibri" w:hAnsi="Calibri"/>
                <w:color w:val="404040"/>
                <w:sz w:val="19"/>
              </w:rPr>
              <w:t>Profit incorrectly flagged as Loss</w:t>
            </w:r>
          </w:p>
        </w:tc>
        <w:tc>
          <w:tcPr>
            <w:tcW w:w="3312" w:type="dxa"/>
            <w:shd w:val="clear" w:color="auto" w:fill="EBF3FB"/>
          </w:tcPr>
          <w:p w14:paraId="697F607F">
            <w:pPr>
              <w:spacing w:after="0" w:line="240" w:lineRule="auto"/>
              <w:jc w:val="center"/>
            </w:pPr>
            <w:r>
              <w:rPr>
                <w:rFonts w:ascii="Calibri" w:hAnsi="Calibri"/>
                <w:color w:val="404040"/>
                <w:sz w:val="19"/>
              </w:rPr>
              <w:t>Unnecessary review of a profitable order — operational overhead</w:t>
            </w:r>
          </w:p>
        </w:tc>
      </w:tr>
      <w:tr w14:paraId="0F7E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tcPr>
          <w:p w14:paraId="311219DB">
            <w:pPr>
              <w:spacing w:after="0" w:line="240" w:lineRule="auto"/>
            </w:pPr>
            <w:r>
              <w:rPr>
                <w:rFonts w:ascii="Calibri" w:hAnsi="Calibri"/>
                <w:color w:val="404040"/>
                <w:sz w:val="19"/>
              </w:rPr>
              <w:t>False Negatives (FN)</w:t>
            </w:r>
          </w:p>
        </w:tc>
        <w:tc>
          <w:tcPr>
            <w:tcW w:w="3600" w:type="dxa"/>
            <w:shd w:val="clear" w:color="auto" w:fill="FFFFFF"/>
          </w:tcPr>
          <w:p w14:paraId="1E76A653">
            <w:pPr>
              <w:spacing w:after="0" w:line="240" w:lineRule="auto"/>
              <w:jc w:val="center"/>
            </w:pPr>
            <w:r>
              <w:rPr>
                <w:rFonts w:ascii="Calibri" w:hAnsi="Calibri"/>
                <w:color w:val="404040"/>
                <w:sz w:val="19"/>
              </w:rPr>
              <w:t>Loss incorrectly approved as Profit</w:t>
            </w:r>
          </w:p>
        </w:tc>
        <w:tc>
          <w:tcPr>
            <w:tcW w:w="3312" w:type="dxa"/>
            <w:shd w:val="clear" w:color="auto" w:fill="FFFFFF"/>
          </w:tcPr>
          <w:p w14:paraId="48D787BB">
            <w:pPr>
              <w:spacing w:after="0" w:line="240" w:lineRule="auto"/>
              <w:jc w:val="center"/>
            </w:pPr>
            <w:r>
              <w:rPr>
                <w:rFonts w:ascii="Calibri" w:hAnsi="Calibri"/>
                <w:color w:val="404040"/>
                <w:sz w:val="19"/>
              </w:rPr>
              <w:t>Loss-making order proceeds undetected — direct financial damage</w:t>
            </w:r>
          </w:p>
        </w:tc>
      </w:tr>
    </w:tbl>
    <w:p w14:paraId="1523A708">
      <w:pPr>
        <w:spacing w:after="120"/>
      </w:pPr>
    </w:p>
    <w:p w14:paraId="13CBA790">
      <w:pPr>
        <w:spacing w:before="360" w:after="120"/>
      </w:pPr>
      <w:r>
        <w:rPr>
          <w:rFonts w:ascii="Calibri" w:hAnsi="Calibri"/>
          <w:b/>
          <w:color w:val="1F4E79"/>
          <w:sz w:val="30"/>
        </w:rPr>
        <w:t>19. False Positive and False Negative Analysis</w:t>
      </w:r>
    </w:p>
    <w:p w14:paraId="06E807FF">
      <w:pPr>
        <w:pBdr>
          <w:bottom w:val="single" w:color="1F4E79" w:sz="8" w:space="1"/>
        </w:pBdr>
        <w:spacing w:after="40"/>
      </w:pPr>
    </w:p>
    <w:p w14:paraId="0E877C75">
      <w:pPr>
        <w:spacing w:before="240" w:after="80"/>
      </w:pPr>
      <w:r>
        <w:rPr>
          <w:rFonts w:ascii="Calibri" w:hAnsi="Calibri"/>
          <w:b/>
          <w:color w:val="2E75B6"/>
          <w:sz w:val="24"/>
        </w:rPr>
        <w:t>19.1 False Negatives (Missed Losses)</w:t>
      </w:r>
    </w:p>
    <w:p w14:paraId="7EBE5E88">
      <w:pPr>
        <w:spacing w:before="40" w:after="100"/>
      </w:pPr>
      <w:r>
        <w:rPr>
          <w:rFonts w:ascii="Calibri" w:hAnsi="Calibri"/>
          <w:color w:val="404040"/>
          <w:sz w:val="21"/>
        </w:rPr>
        <w:t>With a Recall of 0.8476 (84.76%), the model correctly identifies approximately 84.8% of all actual loss-making transactions. The remaining 15.2% are false negatives — orders predicted as profitable that will in fact generate a loss.</w:t>
      </w:r>
    </w:p>
    <w:p w14:paraId="683D72ED">
      <w:pPr>
        <w:spacing w:before="40" w:after="100"/>
      </w:pPr>
      <w:r>
        <w:rPr>
          <w:rFonts w:ascii="Calibri" w:hAnsi="Calibri"/>
          <w:color w:val="404040"/>
          <w:sz w:val="21"/>
        </w:rPr>
        <w:t>False negatives are the more costly error type in this domain. An undetected loss-making order proceeds to fulfilment, consuming inventory and logistics resources while generating negative contribution margin. The business cost of a false negative is the absolute value of the actual profit loss on that transaction.</w:t>
      </w:r>
    </w:p>
    <w:p w14:paraId="186EE11E">
      <w:pPr>
        <w:spacing w:before="40" w:after="100"/>
      </w:pPr>
      <w:r>
        <w:rPr>
          <w:rFonts w:ascii="Calibri" w:hAnsi="Calibri"/>
          <w:color w:val="404040"/>
          <w:sz w:val="21"/>
        </w:rPr>
        <w:t>The model's false negative rate is driven by edge-case orders: transactions where the discount level falls just below 40% (in the 30–39% range) but where cost structure makes them unprofitable anyway. These represent genuine ambiguity at the profit boundary that the model handles conservatively.</w:t>
      </w:r>
    </w:p>
    <w:p w14:paraId="70BEE867">
      <w:pPr>
        <w:spacing w:before="240" w:after="80"/>
      </w:pPr>
      <w:r>
        <w:rPr>
          <w:rFonts w:ascii="Calibri" w:hAnsi="Calibri"/>
          <w:b/>
          <w:color w:val="2E75B6"/>
          <w:sz w:val="24"/>
        </w:rPr>
        <w:t>19.2 False Positives (Over-Flagging)</w:t>
      </w:r>
    </w:p>
    <w:p w14:paraId="66E6B392">
      <w:pPr>
        <w:spacing w:before="40" w:after="100"/>
      </w:pPr>
      <w:r>
        <w:rPr>
          <w:rFonts w:ascii="Calibri" w:hAnsi="Calibri"/>
          <w:color w:val="404040"/>
          <w:sz w:val="21"/>
        </w:rPr>
        <w:t>With a Precision of 0.8320 (83.20%), 16.8% of orders flagged as high-risk are actually profitable. These false positives impose an operational cost: the time and effort of reviewing orders that do not require intervention.</w:t>
      </w:r>
    </w:p>
    <w:p w14:paraId="3B83E77E">
      <w:pPr>
        <w:spacing w:before="40" w:after="100"/>
      </w:pPr>
      <w:r>
        <w:rPr>
          <w:rFonts w:ascii="Calibri" w:hAnsi="Calibri"/>
          <w:color w:val="404040"/>
          <w:sz w:val="21"/>
        </w:rPr>
        <w:t>False positives are manageable in this context. The cost of reviewing a profitable order is a minor overhead compared to the cost of approving a loss-making one. The model's precision-recall trade-off is intentionally calibrated toward higher recall (catching more true losses) at the expense of some precision (occasionally flagging profitable orders), which is the correct business priority.</w:t>
      </w:r>
    </w:p>
    <w:p w14:paraId="4E54A57D">
      <w:r>
        <w:br w:type="page"/>
      </w:r>
    </w:p>
    <w:p w14:paraId="205D88A6">
      <w:pPr>
        <w:spacing w:before="360" w:after="120"/>
      </w:pPr>
      <w:r>
        <w:rPr>
          <w:rFonts w:ascii="Calibri" w:hAnsi="Calibri"/>
          <w:b/>
          <w:color w:val="1F4E79"/>
          <w:sz w:val="30"/>
        </w:rPr>
        <w:t>20. Predictive Insights</w:t>
      </w:r>
    </w:p>
    <w:p w14:paraId="3F5012C9">
      <w:pPr>
        <w:pBdr>
          <w:bottom w:val="single" w:color="1F4E79" w:sz="8" w:space="1"/>
        </w:pBdr>
        <w:spacing w:after="40"/>
      </w:pPr>
    </w:p>
    <w:p w14:paraId="7DED719F">
      <w:pPr>
        <w:spacing w:before="240" w:after="80"/>
      </w:pPr>
      <w:r>
        <w:rPr>
          <w:rFonts w:ascii="Calibri" w:hAnsi="Calibri"/>
          <w:b/>
          <w:color w:val="2E75B6"/>
          <w:sz w:val="24"/>
        </w:rPr>
        <w:t>20.1 Risk Tier Distribution</w:t>
      </w:r>
    </w:p>
    <w:p w14:paraId="192CE157">
      <w:pPr>
        <w:spacing w:before="120"/>
        <w:jc w:val="center"/>
      </w:pPr>
      <w:r>
        <w:drawing>
          <wp:inline distT="0" distB="0" distL="0" distR="0">
            <wp:extent cx="4114800" cy="2829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114800" cy="2829630"/>
                    </a:xfrm>
                    <a:prstGeom prst="rect">
                      <a:avLst/>
                    </a:prstGeom>
                  </pic:spPr>
                </pic:pic>
              </a:graphicData>
            </a:graphic>
          </wp:inline>
        </w:drawing>
      </w:r>
    </w:p>
    <w:p w14:paraId="69CD94C1">
      <w:pPr>
        <w:spacing w:before="40"/>
        <w:jc w:val="center"/>
      </w:pPr>
      <w:r>
        <w:rPr>
          <w:rFonts w:ascii="Calibri" w:hAnsi="Calibri"/>
          <w:i/>
          <w:color w:val="707070"/>
          <w:sz w:val="18"/>
        </w:rPr>
        <w:t>Figure 9: Risk Tier Distribution across all 9,994 records. Low (&lt;30% loss probability) = 7,575; Medium (30–60%) = 677; High (≥60%) = 1,742.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1714"/>
        <w:gridCol w:w="1537"/>
        <w:gridCol w:w="1549"/>
        <w:gridCol w:w="3496"/>
      </w:tblGrid>
      <w:tr w14:paraId="45D9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F4E79"/>
          </w:tcPr>
          <w:p w14:paraId="0ED09B44">
            <w:pPr>
              <w:spacing w:after="0" w:line="240" w:lineRule="auto"/>
              <w:jc w:val="center"/>
            </w:pPr>
            <w:r>
              <w:rPr>
                <w:rFonts w:ascii="Calibri" w:hAnsi="Calibri"/>
                <w:b/>
                <w:color w:val="FFFFFF"/>
                <w:sz w:val="19"/>
              </w:rPr>
              <w:t>Risk Tier</w:t>
            </w:r>
          </w:p>
        </w:tc>
        <w:tc>
          <w:tcPr>
            <w:tcW w:w="1872" w:type="dxa"/>
            <w:shd w:val="clear" w:color="auto" w:fill="1F4E79"/>
          </w:tcPr>
          <w:p w14:paraId="73E1296F">
            <w:pPr>
              <w:spacing w:after="0" w:line="240" w:lineRule="auto"/>
              <w:jc w:val="center"/>
            </w:pPr>
            <w:r>
              <w:rPr>
                <w:rFonts w:ascii="Calibri" w:hAnsi="Calibri"/>
                <w:b/>
                <w:color w:val="FFFFFF"/>
                <w:sz w:val="19"/>
              </w:rPr>
              <w:t>Probability Range</w:t>
            </w:r>
          </w:p>
        </w:tc>
        <w:tc>
          <w:tcPr>
            <w:tcW w:w="1728" w:type="dxa"/>
            <w:shd w:val="clear" w:color="auto" w:fill="1F4E79"/>
          </w:tcPr>
          <w:p w14:paraId="1FFF8E33">
            <w:pPr>
              <w:spacing w:after="0" w:line="240" w:lineRule="auto"/>
              <w:jc w:val="center"/>
            </w:pPr>
            <w:r>
              <w:rPr>
                <w:rFonts w:ascii="Calibri" w:hAnsi="Calibri"/>
                <w:b/>
                <w:color w:val="FFFFFF"/>
                <w:sz w:val="19"/>
              </w:rPr>
              <w:t>Record Count</w:t>
            </w:r>
          </w:p>
        </w:tc>
        <w:tc>
          <w:tcPr>
            <w:tcW w:w="1728" w:type="dxa"/>
            <w:shd w:val="clear" w:color="auto" w:fill="1F4E79"/>
          </w:tcPr>
          <w:p w14:paraId="29FEEC35">
            <w:pPr>
              <w:spacing w:after="0" w:line="240" w:lineRule="auto"/>
              <w:jc w:val="center"/>
            </w:pPr>
            <w:r>
              <w:rPr>
                <w:rFonts w:ascii="Calibri" w:hAnsi="Calibri"/>
                <w:b/>
                <w:color w:val="FFFFFF"/>
                <w:sz w:val="19"/>
              </w:rPr>
              <w:t>% of Dataset</w:t>
            </w:r>
          </w:p>
        </w:tc>
        <w:tc>
          <w:tcPr>
            <w:tcW w:w="4032" w:type="dxa"/>
            <w:shd w:val="clear" w:color="auto" w:fill="1F4E79"/>
          </w:tcPr>
          <w:p w14:paraId="33B87124">
            <w:pPr>
              <w:spacing w:after="0" w:line="240" w:lineRule="auto"/>
              <w:jc w:val="center"/>
            </w:pPr>
            <w:r>
              <w:rPr>
                <w:rFonts w:ascii="Calibri" w:hAnsi="Calibri"/>
                <w:b/>
                <w:color w:val="FFFFFF"/>
                <w:sz w:val="19"/>
              </w:rPr>
              <w:t>Interpretation</w:t>
            </w:r>
          </w:p>
        </w:tc>
      </w:tr>
      <w:tr w14:paraId="04D2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BF3FB"/>
          </w:tcPr>
          <w:p w14:paraId="39C424C1">
            <w:pPr>
              <w:spacing w:after="0" w:line="240" w:lineRule="auto"/>
            </w:pPr>
            <w:r>
              <w:rPr>
                <w:rFonts w:ascii="Calibri" w:hAnsi="Calibri"/>
                <w:color w:val="404040"/>
                <w:sz w:val="19"/>
              </w:rPr>
              <w:t>Low</w:t>
            </w:r>
          </w:p>
        </w:tc>
        <w:tc>
          <w:tcPr>
            <w:tcW w:w="1872" w:type="dxa"/>
            <w:shd w:val="clear" w:color="auto" w:fill="EBF3FB"/>
          </w:tcPr>
          <w:p w14:paraId="34C2D3A9">
            <w:pPr>
              <w:spacing w:after="0" w:line="240" w:lineRule="auto"/>
              <w:jc w:val="center"/>
            </w:pPr>
            <w:r>
              <w:rPr>
                <w:rFonts w:ascii="Calibri" w:hAnsi="Calibri"/>
                <w:color w:val="404040"/>
                <w:sz w:val="19"/>
              </w:rPr>
              <w:t>&lt;30%</w:t>
            </w:r>
          </w:p>
        </w:tc>
        <w:tc>
          <w:tcPr>
            <w:tcW w:w="1728" w:type="dxa"/>
            <w:shd w:val="clear" w:color="auto" w:fill="EBF3FB"/>
          </w:tcPr>
          <w:p w14:paraId="313EC22D">
            <w:pPr>
              <w:spacing w:after="0" w:line="240" w:lineRule="auto"/>
              <w:jc w:val="center"/>
            </w:pPr>
            <w:r>
              <w:rPr>
                <w:rFonts w:ascii="Calibri" w:hAnsi="Calibri"/>
                <w:color w:val="404040"/>
                <w:sz w:val="19"/>
              </w:rPr>
              <w:t>7,575</w:t>
            </w:r>
          </w:p>
        </w:tc>
        <w:tc>
          <w:tcPr>
            <w:tcW w:w="1728" w:type="dxa"/>
            <w:shd w:val="clear" w:color="auto" w:fill="EBF3FB"/>
          </w:tcPr>
          <w:p w14:paraId="4FAC12A3">
            <w:pPr>
              <w:spacing w:after="0" w:line="240" w:lineRule="auto"/>
              <w:jc w:val="center"/>
            </w:pPr>
            <w:r>
              <w:rPr>
                <w:rFonts w:ascii="Calibri" w:hAnsi="Calibri"/>
                <w:color w:val="404040"/>
                <w:sz w:val="19"/>
              </w:rPr>
              <w:t>75.8%</w:t>
            </w:r>
          </w:p>
        </w:tc>
        <w:tc>
          <w:tcPr>
            <w:tcW w:w="4032" w:type="dxa"/>
            <w:shd w:val="clear" w:color="auto" w:fill="EBF3FB"/>
          </w:tcPr>
          <w:p w14:paraId="1753CC56">
            <w:pPr>
              <w:spacing w:after="0" w:line="240" w:lineRule="auto"/>
              <w:jc w:val="center"/>
            </w:pPr>
            <w:r>
              <w:rPr>
                <w:rFonts w:ascii="Calibri" w:hAnsi="Calibri"/>
                <w:color w:val="404040"/>
                <w:sz w:val="19"/>
              </w:rPr>
              <w:t>Profitable with high confidence — no action</w:t>
            </w:r>
          </w:p>
        </w:tc>
      </w:tr>
      <w:tr w14:paraId="6D78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FFFFF"/>
          </w:tcPr>
          <w:p w14:paraId="2418F7C2">
            <w:pPr>
              <w:spacing w:after="0" w:line="240" w:lineRule="auto"/>
            </w:pPr>
            <w:r>
              <w:rPr>
                <w:rFonts w:ascii="Calibri" w:hAnsi="Calibri"/>
                <w:color w:val="404040"/>
                <w:sz w:val="19"/>
              </w:rPr>
              <w:t>Medium</w:t>
            </w:r>
          </w:p>
        </w:tc>
        <w:tc>
          <w:tcPr>
            <w:tcW w:w="1872" w:type="dxa"/>
            <w:shd w:val="clear" w:color="auto" w:fill="FFFFFF"/>
          </w:tcPr>
          <w:p w14:paraId="6CE58419">
            <w:pPr>
              <w:spacing w:after="0" w:line="240" w:lineRule="auto"/>
              <w:jc w:val="center"/>
            </w:pPr>
            <w:r>
              <w:rPr>
                <w:rFonts w:ascii="Calibri" w:hAnsi="Calibri"/>
                <w:color w:val="404040"/>
                <w:sz w:val="19"/>
              </w:rPr>
              <w:t>30–60%</w:t>
            </w:r>
          </w:p>
        </w:tc>
        <w:tc>
          <w:tcPr>
            <w:tcW w:w="1728" w:type="dxa"/>
            <w:shd w:val="clear" w:color="auto" w:fill="FFFFFF"/>
          </w:tcPr>
          <w:p w14:paraId="3C099CE2">
            <w:pPr>
              <w:spacing w:after="0" w:line="240" w:lineRule="auto"/>
              <w:jc w:val="center"/>
            </w:pPr>
            <w:r>
              <w:rPr>
                <w:rFonts w:ascii="Calibri" w:hAnsi="Calibri"/>
                <w:color w:val="404040"/>
                <w:sz w:val="19"/>
              </w:rPr>
              <w:t>677</w:t>
            </w:r>
          </w:p>
        </w:tc>
        <w:tc>
          <w:tcPr>
            <w:tcW w:w="1728" w:type="dxa"/>
            <w:shd w:val="clear" w:color="auto" w:fill="FFFFFF"/>
          </w:tcPr>
          <w:p w14:paraId="57D44FDC">
            <w:pPr>
              <w:spacing w:after="0" w:line="240" w:lineRule="auto"/>
              <w:jc w:val="center"/>
            </w:pPr>
            <w:r>
              <w:rPr>
                <w:rFonts w:ascii="Calibri" w:hAnsi="Calibri"/>
                <w:color w:val="404040"/>
                <w:sz w:val="19"/>
              </w:rPr>
              <w:t>6.8%</w:t>
            </w:r>
          </w:p>
        </w:tc>
        <w:tc>
          <w:tcPr>
            <w:tcW w:w="4032" w:type="dxa"/>
            <w:shd w:val="clear" w:color="auto" w:fill="FFFFFF"/>
          </w:tcPr>
          <w:p w14:paraId="070888E3">
            <w:pPr>
              <w:spacing w:after="0" w:line="240" w:lineRule="auto"/>
              <w:jc w:val="center"/>
            </w:pPr>
            <w:r>
              <w:rPr>
                <w:rFonts w:ascii="Calibri" w:hAnsi="Calibri"/>
                <w:color w:val="404040"/>
                <w:sz w:val="19"/>
              </w:rPr>
              <w:t>Monitor — discount cap may be warranted</w:t>
            </w:r>
          </w:p>
        </w:tc>
      </w:tr>
      <w:tr w14:paraId="4B7C4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BF3FB"/>
          </w:tcPr>
          <w:p w14:paraId="332680F8">
            <w:pPr>
              <w:spacing w:after="0" w:line="240" w:lineRule="auto"/>
            </w:pPr>
            <w:r>
              <w:rPr>
                <w:rFonts w:ascii="Calibri" w:hAnsi="Calibri"/>
                <w:color w:val="404040"/>
                <w:sz w:val="19"/>
              </w:rPr>
              <w:t>High</w:t>
            </w:r>
          </w:p>
        </w:tc>
        <w:tc>
          <w:tcPr>
            <w:tcW w:w="1872" w:type="dxa"/>
            <w:shd w:val="clear" w:color="auto" w:fill="EBF3FB"/>
          </w:tcPr>
          <w:p w14:paraId="672E668F">
            <w:pPr>
              <w:spacing w:after="0" w:line="240" w:lineRule="auto"/>
              <w:jc w:val="center"/>
            </w:pPr>
            <w:r>
              <w:rPr>
                <w:rFonts w:ascii="Calibri" w:hAnsi="Calibri"/>
                <w:color w:val="404040"/>
                <w:sz w:val="19"/>
              </w:rPr>
              <w:t>≥60%</w:t>
            </w:r>
          </w:p>
        </w:tc>
        <w:tc>
          <w:tcPr>
            <w:tcW w:w="1728" w:type="dxa"/>
            <w:shd w:val="clear" w:color="auto" w:fill="EBF3FB"/>
          </w:tcPr>
          <w:p w14:paraId="7A216C30">
            <w:pPr>
              <w:spacing w:after="0" w:line="240" w:lineRule="auto"/>
              <w:jc w:val="center"/>
            </w:pPr>
            <w:r>
              <w:rPr>
                <w:rFonts w:ascii="Calibri" w:hAnsi="Calibri"/>
                <w:color w:val="404040"/>
                <w:sz w:val="19"/>
              </w:rPr>
              <w:t>1,742</w:t>
            </w:r>
          </w:p>
        </w:tc>
        <w:tc>
          <w:tcPr>
            <w:tcW w:w="1728" w:type="dxa"/>
            <w:shd w:val="clear" w:color="auto" w:fill="EBF3FB"/>
          </w:tcPr>
          <w:p w14:paraId="6F407162">
            <w:pPr>
              <w:spacing w:after="0" w:line="240" w:lineRule="auto"/>
              <w:jc w:val="center"/>
            </w:pPr>
            <w:r>
              <w:rPr>
                <w:rFonts w:ascii="Calibri" w:hAnsi="Calibri"/>
                <w:color w:val="404040"/>
                <w:sz w:val="19"/>
              </w:rPr>
              <w:t>17.4%</w:t>
            </w:r>
          </w:p>
        </w:tc>
        <w:tc>
          <w:tcPr>
            <w:tcW w:w="4032" w:type="dxa"/>
            <w:shd w:val="clear" w:color="auto" w:fill="EBF3FB"/>
          </w:tcPr>
          <w:p w14:paraId="164AB7DD">
            <w:pPr>
              <w:spacing w:after="0" w:line="240" w:lineRule="auto"/>
              <w:jc w:val="center"/>
            </w:pPr>
            <w:r>
              <w:rPr>
                <w:rFonts w:ascii="Calibri" w:hAnsi="Calibri"/>
                <w:color w:val="404040"/>
                <w:sz w:val="19"/>
              </w:rPr>
              <w:t>Intervention required before approval</w:t>
            </w:r>
          </w:p>
        </w:tc>
      </w:tr>
    </w:tbl>
    <w:p w14:paraId="797473B3">
      <w:pPr>
        <w:spacing w:after="120"/>
      </w:pPr>
    </w:p>
    <w:p w14:paraId="03879823">
      <w:pPr>
        <w:spacing w:before="240" w:after="80"/>
      </w:pPr>
      <w:r>
        <w:rPr>
          <w:rFonts w:ascii="Calibri" w:hAnsi="Calibri"/>
          <w:b/>
          <w:color w:val="2E75B6"/>
          <w:sz w:val="24"/>
        </w:rPr>
        <w:t>20.2 Key Predictive Rules Discovered</w:t>
      </w:r>
    </w:p>
    <w:p w14:paraId="03E41ECE">
      <w:pPr>
        <w:pStyle w:val="23"/>
        <w:spacing w:before="20" w:after="40"/>
        <w:ind w:left="340"/>
      </w:pPr>
      <w:r>
        <w:rPr>
          <w:rFonts w:ascii="Calibri" w:hAnsi="Calibri"/>
          <w:color w:val="404040"/>
          <w:sz w:val="21"/>
        </w:rPr>
        <w:t>Discount ≥ 0.40 is the dominant loss trigger — 100% loss rate observed above this threshold in historical data.</w:t>
      </w:r>
    </w:p>
    <w:p w14:paraId="617E7F21">
      <w:pPr>
        <w:pStyle w:val="23"/>
        <w:spacing w:before="20" w:after="40"/>
        <w:ind w:left="340"/>
      </w:pPr>
      <w:r>
        <w:rPr>
          <w:rFonts w:ascii="Calibri" w:hAnsi="Calibri"/>
          <w:color w:val="404040"/>
          <w:sz w:val="21"/>
        </w:rPr>
        <w:t>Discount = 0.00 produces zero loss — no transaction with a zero discount resulted in a loss.</w:t>
      </w:r>
    </w:p>
    <w:p w14:paraId="4CDFFAF7">
      <w:pPr>
        <w:pStyle w:val="23"/>
        <w:spacing w:before="20" w:after="40"/>
        <w:ind w:left="340"/>
      </w:pPr>
      <w:r>
        <w:rPr>
          <w:rFonts w:ascii="Calibri" w:hAnsi="Calibri"/>
          <w:color w:val="404040"/>
          <w:sz w:val="21"/>
        </w:rPr>
        <w:t>Central region orders with Discount ≥ 0.60 on Binders or Appliances carry near-certain (&gt;95%) loss probability.</w:t>
      </w:r>
    </w:p>
    <w:p w14:paraId="47ABB7BD">
      <w:pPr>
        <w:pStyle w:val="23"/>
        <w:spacing w:before="20" w:after="40"/>
        <w:ind w:left="340"/>
      </w:pPr>
      <w:r>
        <w:rPr>
          <w:rFonts w:ascii="Calibri" w:hAnsi="Calibri"/>
          <w:color w:val="404040"/>
          <w:sz w:val="21"/>
        </w:rPr>
        <w:t>Tables in any region with Discount ≥ 0.30 have a &gt;80% predicted loss probability.</w:t>
      </w:r>
    </w:p>
    <w:p w14:paraId="21B4979E">
      <w:pPr>
        <w:pStyle w:val="23"/>
        <w:spacing w:before="20" w:after="40"/>
        <w:ind w:left="340"/>
      </w:pPr>
      <w:r>
        <w:rPr>
          <w:rFonts w:ascii="Calibri" w:hAnsi="Calibri"/>
          <w:color w:val="404040"/>
          <w:sz w:val="21"/>
        </w:rPr>
        <w:t>Technology (Copiers, Accessories) at Discount ≤ 0.20 has &lt;5% loss probability — the safest growth segment.</w:t>
      </w:r>
    </w:p>
    <w:p w14:paraId="28294697">
      <w:pPr>
        <w:spacing w:before="360" w:after="120"/>
      </w:pPr>
      <w:r>
        <w:rPr>
          <w:rFonts w:ascii="Calibri" w:hAnsi="Calibri"/>
          <w:b/>
          <w:color w:val="1F4E79"/>
          <w:sz w:val="30"/>
        </w:rPr>
        <w:t>21. Prescriptive Analytics — Level 4: What Should We Do?</w:t>
      </w:r>
    </w:p>
    <w:p w14:paraId="5285DF8D">
      <w:pPr>
        <w:pBdr>
          <w:bottom w:val="single" w:color="1F4E79" w:sz="8" w:space="1"/>
        </w:pBdr>
        <w:spacing w:after="40"/>
      </w:pPr>
    </w:p>
    <w:p w14:paraId="74DE161C">
      <w:pPr>
        <w:spacing w:before="40" w:after="100"/>
      </w:pPr>
      <w:r>
        <w:rPr>
          <w:rFonts w:ascii="Calibri" w:hAnsi="Calibri"/>
          <w:color w:val="404040"/>
          <w:sz w:val="21"/>
        </w:rPr>
        <w:t>Prescriptive analytics translates the model's risk scores into specific, actionable business interventions. Each high-risk order is assigned a recommended action based on its discount level, sales value, sub-category, and region. An expected loss figure is computed as: Expected_Loss = Loss_Probability × |Profit| for loss rows, or Loss_Probability × Sales × 0.15 for borderline rows.</w:t>
      </w:r>
    </w:p>
    <w:p w14:paraId="070333F9">
      <w:pPr>
        <w:spacing w:before="240" w:after="80"/>
      </w:pPr>
      <w:r>
        <w:rPr>
          <w:rFonts w:ascii="Calibri" w:hAnsi="Calibri"/>
          <w:b/>
          <w:color w:val="2E75B6"/>
          <w:sz w:val="24"/>
        </w:rPr>
        <w:t>21.1 Safe Discount Thresholds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5"/>
        <w:gridCol w:w="1702"/>
        <w:gridCol w:w="1339"/>
        <w:gridCol w:w="4586"/>
      </w:tblGrid>
      <w:tr w14:paraId="0DE3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20ED9E6B">
            <w:pPr>
              <w:spacing w:after="0" w:line="240" w:lineRule="auto"/>
              <w:jc w:val="center"/>
            </w:pPr>
            <w:r>
              <w:rPr>
                <w:rFonts w:ascii="Calibri" w:hAnsi="Calibri"/>
                <w:b/>
                <w:color w:val="FFFFFF"/>
                <w:sz w:val="19"/>
              </w:rPr>
              <w:t>Sub-Category</w:t>
            </w:r>
          </w:p>
        </w:tc>
        <w:tc>
          <w:tcPr>
            <w:tcW w:w="1872" w:type="dxa"/>
            <w:shd w:val="clear" w:color="auto" w:fill="1F4E79"/>
          </w:tcPr>
          <w:p w14:paraId="56E322DF">
            <w:pPr>
              <w:spacing w:after="0" w:line="240" w:lineRule="auto"/>
              <w:jc w:val="center"/>
            </w:pPr>
            <w:r>
              <w:rPr>
                <w:rFonts w:ascii="Calibri" w:hAnsi="Calibri"/>
                <w:b/>
                <w:color w:val="FFFFFF"/>
                <w:sz w:val="19"/>
              </w:rPr>
              <w:t>Safe Max Discount</w:t>
            </w:r>
          </w:p>
        </w:tc>
        <w:tc>
          <w:tcPr>
            <w:tcW w:w="1440" w:type="dxa"/>
            <w:shd w:val="clear" w:color="auto" w:fill="1F4E79"/>
          </w:tcPr>
          <w:p w14:paraId="62BDA119">
            <w:pPr>
              <w:spacing w:after="0" w:line="240" w:lineRule="auto"/>
              <w:jc w:val="center"/>
            </w:pPr>
            <w:r>
              <w:rPr>
                <w:rFonts w:ascii="Calibri" w:hAnsi="Calibri"/>
                <w:b/>
                <w:color w:val="FFFFFF"/>
                <w:sz w:val="19"/>
              </w:rPr>
              <w:t>Risk Level</w:t>
            </w:r>
          </w:p>
        </w:tc>
        <w:tc>
          <w:tcPr>
            <w:tcW w:w="5328" w:type="dxa"/>
            <w:shd w:val="clear" w:color="auto" w:fill="1F4E79"/>
          </w:tcPr>
          <w:p w14:paraId="1FDA1EFD">
            <w:pPr>
              <w:spacing w:after="0" w:line="240" w:lineRule="auto"/>
              <w:jc w:val="center"/>
            </w:pPr>
            <w:r>
              <w:rPr>
                <w:rFonts w:ascii="Calibri" w:hAnsi="Calibri"/>
                <w:b/>
                <w:color w:val="FFFFFF"/>
                <w:sz w:val="19"/>
              </w:rPr>
              <w:t>Basis</w:t>
            </w:r>
          </w:p>
        </w:tc>
      </w:tr>
      <w:tr w14:paraId="08A0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709B0BF0">
            <w:pPr>
              <w:spacing w:after="0" w:line="240" w:lineRule="auto"/>
            </w:pPr>
            <w:r>
              <w:rPr>
                <w:rFonts w:ascii="Calibri" w:hAnsi="Calibri"/>
                <w:color w:val="404040"/>
                <w:sz w:val="19"/>
              </w:rPr>
              <w:t>Supplies</w:t>
            </w:r>
          </w:p>
        </w:tc>
        <w:tc>
          <w:tcPr>
            <w:tcW w:w="1872" w:type="dxa"/>
            <w:shd w:val="clear" w:color="auto" w:fill="EBF3FB"/>
          </w:tcPr>
          <w:p w14:paraId="0725F1C0">
            <w:pPr>
              <w:spacing w:after="0" w:line="240" w:lineRule="auto"/>
              <w:jc w:val="center"/>
            </w:pPr>
            <w:r>
              <w:rPr>
                <w:rFonts w:ascii="Calibri" w:hAnsi="Calibri"/>
                <w:color w:val="404040"/>
                <w:sz w:val="19"/>
              </w:rPr>
              <w:t>10%</w:t>
            </w:r>
          </w:p>
        </w:tc>
        <w:tc>
          <w:tcPr>
            <w:tcW w:w="1440" w:type="dxa"/>
            <w:shd w:val="clear" w:color="auto" w:fill="EBF3FB"/>
          </w:tcPr>
          <w:p w14:paraId="55B7F418">
            <w:pPr>
              <w:spacing w:after="0" w:line="240" w:lineRule="auto"/>
              <w:jc w:val="center"/>
            </w:pPr>
            <w:r>
              <w:rPr>
                <w:rFonts w:ascii="Calibri" w:hAnsi="Calibri"/>
                <w:color w:val="404040"/>
                <w:sz w:val="19"/>
              </w:rPr>
              <w:t>High</w:t>
            </w:r>
          </w:p>
        </w:tc>
        <w:tc>
          <w:tcPr>
            <w:tcW w:w="5328" w:type="dxa"/>
            <w:shd w:val="clear" w:color="auto" w:fill="EBF3FB"/>
          </w:tcPr>
          <w:p w14:paraId="0D1C100B">
            <w:pPr>
              <w:spacing w:after="0" w:line="240" w:lineRule="auto"/>
              <w:jc w:val="center"/>
            </w:pPr>
            <w:r>
              <w:rPr>
                <w:rFonts w:ascii="Calibri" w:hAnsi="Calibri"/>
                <w:color w:val="404040"/>
                <w:sz w:val="19"/>
              </w:rPr>
              <w:t>Thin margin — any discount above 10% destroys profitability</w:t>
            </w:r>
          </w:p>
        </w:tc>
      </w:tr>
      <w:tr w14:paraId="2195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034CD9AB">
            <w:pPr>
              <w:spacing w:after="0" w:line="240" w:lineRule="auto"/>
            </w:pPr>
            <w:r>
              <w:rPr>
                <w:rFonts w:ascii="Calibri" w:hAnsi="Calibri"/>
                <w:color w:val="404040"/>
                <w:sz w:val="19"/>
              </w:rPr>
              <w:t>Tables</w:t>
            </w:r>
          </w:p>
        </w:tc>
        <w:tc>
          <w:tcPr>
            <w:tcW w:w="1872" w:type="dxa"/>
            <w:shd w:val="clear" w:color="auto" w:fill="FFFFFF"/>
          </w:tcPr>
          <w:p w14:paraId="364722C1">
            <w:pPr>
              <w:spacing w:after="0" w:line="240" w:lineRule="auto"/>
              <w:jc w:val="center"/>
            </w:pPr>
            <w:r>
              <w:rPr>
                <w:rFonts w:ascii="Calibri" w:hAnsi="Calibri"/>
                <w:color w:val="404040"/>
                <w:sz w:val="19"/>
              </w:rPr>
              <w:t>30%</w:t>
            </w:r>
          </w:p>
        </w:tc>
        <w:tc>
          <w:tcPr>
            <w:tcW w:w="1440" w:type="dxa"/>
            <w:shd w:val="clear" w:color="auto" w:fill="FFFFFF"/>
          </w:tcPr>
          <w:p w14:paraId="620D1158">
            <w:pPr>
              <w:spacing w:after="0" w:line="240" w:lineRule="auto"/>
              <w:jc w:val="center"/>
            </w:pPr>
            <w:r>
              <w:rPr>
                <w:rFonts w:ascii="Calibri" w:hAnsi="Calibri"/>
                <w:color w:val="404040"/>
                <w:sz w:val="19"/>
              </w:rPr>
              <w:t>High</w:t>
            </w:r>
          </w:p>
        </w:tc>
        <w:tc>
          <w:tcPr>
            <w:tcW w:w="5328" w:type="dxa"/>
            <w:shd w:val="clear" w:color="auto" w:fill="FFFFFF"/>
          </w:tcPr>
          <w:p w14:paraId="2A5F3589">
            <w:pPr>
              <w:spacing w:after="0" w:line="240" w:lineRule="auto"/>
              <w:jc w:val="center"/>
            </w:pPr>
            <w:r>
              <w:rPr>
                <w:rFonts w:ascii="Calibri" w:hAnsi="Calibri"/>
                <w:color w:val="404040"/>
                <w:sz w:val="19"/>
              </w:rPr>
              <w:t>High cost items — margin exhausted at 30% discount</w:t>
            </w:r>
          </w:p>
        </w:tc>
      </w:tr>
      <w:tr w14:paraId="7044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02D16044">
            <w:pPr>
              <w:spacing w:after="0" w:line="240" w:lineRule="auto"/>
            </w:pPr>
            <w:r>
              <w:rPr>
                <w:rFonts w:ascii="Calibri" w:hAnsi="Calibri"/>
                <w:color w:val="404040"/>
                <w:sz w:val="19"/>
              </w:rPr>
              <w:t>Binders</w:t>
            </w:r>
          </w:p>
        </w:tc>
        <w:tc>
          <w:tcPr>
            <w:tcW w:w="1872" w:type="dxa"/>
            <w:shd w:val="clear" w:color="auto" w:fill="EBF3FB"/>
          </w:tcPr>
          <w:p w14:paraId="3566B232">
            <w:pPr>
              <w:spacing w:after="0" w:line="240" w:lineRule="auto"/>
              <w:jc w:val="center"/>
            </w:pPr>
            <w:r>
              <w:rPr>
                <w:rFonts w:ascii="Calibri" w:hAnsi="Calibri"/>
                <w:color w:val="404040"/>
                <w:sz w:val="19"/>
              </w:rPr>
              <w:t>50%</w:t>
            </w:r>
          </w:p>
        </w:tc>
        <w:tc>
          <w:tcPr>
            <w:tcW w:w="1440" w:type="dxa"/>
            <w:shd w:val="clear" w:color="auto" w:fill="EBF3FB"/>
          </w:tcPr>
          <w:p w14:paraId="3FCF096C">
            <w:pPr>
              <w:spacing w:after="0" w:line="240" w:lineRule="auto"/>
              <w:jc w:val="center"/>
            </w:pPr>
            <w:r>
              <w:rPr>
                <w:rFonts w:ascii="Calibri" w:hAnsi="Calibri"/>
                <w:color w:val="404040"/>
                <w:sz w:val="19"/>
              </w:rPr>
              <w:t>Medium</w:t>
            </w:r>
          </w:p>
        </w:tc>
        <w:tc>
          <w:tcPr>
            <w:tcW w:w="5328" w:type="dxa"/>
            <w:shd w:val="clear" w:color="auto" w:fill="EBF3FB"/>
          </w:tcPr>
          <w:p w14:paraId="04A95C3D">
            <w:pPr>
              <w:spacing w:after="0" w:line="240" w:lineRule="auto"/>
              <w:jc w:val="center"/>
            </w:pPr>
            <w:r>
              <w:rPr>
                <w:rFonts w:ascii="Calibri" w:hAnsi="Calibri"/>
                <w:color w:val="404040"/>
                <w:sz w:val="19"/>
              </w:rPr>
              <w:t>80% discount pattern is the specific risk trigger</w:t>
            </w:r>
          </w:p>
        </w:tc>
      </w:tr>
      <w:tr w14:paraId="489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06900E22">
            <w:pPr>
              <w:spacing w:after="0" w:line="240" w:lineRule="auto"/>
            </w:pPr>
            <w:r>
              <w:rPr>
                <w:rFonts w:ascii="Calibri" w:hAnsi="Calibri"/>
                <w:color w:val="404040"/>
                <w:sz w:val="19"/>
              </w:rPr>
              <w:t>Appliances</w:t>
            </w:r>
          </w:p>
        </w:tc>
        <w:tc>
          <w:tcPr>
            <w:tcW w:w="1872" w:type="dxa"/>
            <w:shd w:val="clear" w:color="auto" w:fill="FFFFFF"/>
          </w:tcPr>
          <w:p w14:paraId="5F7AD071">
            <w:pPr>
              <w:spacing w:after="0" w:line="240" w:lineRule="auto"/>
              <w:jc w:val="center"/>
            </w:pPr>
            <w:r>
              <w:rPr>
                <w:rFonts w:ascii="Calibri" w:hAnsi="Calibri"/>
                <w:color w:val="404040"/>
                <w:sz w:val="19"/>
              </w:rPr>
              <w:t>50%</w:t>
            </w:r>
          </w:p>
        </w:tc>
        <w:tc>
          <w:tcPr>
            <w:tcW w:w="1440" w:type="dxa"/>
            <w:shd w:val="clear" w:color="auto" w:fill="FFFFFF"/>
          </w:tcPr>
          <w:p w14:paraId="059B71B2">
            <w:pPr>
              <w:spacing w:after="0" w:line="240" w:lineRule="auto"/>
              <w:jc w:val="center"/>
            </w:pPr>
            <w:r>
              <w:rPr>
                <w:rFonts w:ascii="Calibri" w:hAnsi="Calibri"/>
                <w:color w:val="404040"/>
                <w:sz w:val="19"/>
              </w:rPr>
              <w:t>Medium</w:t>
            </w:r>
          </w:p>
        </w:tc>
        <w:tc>
          <w:tcPr>
            <w:tcW w:w="5328" w:type="dxa"/>
            <w:shd w:val="clear" w:color="auto" w:fill="FFFFFF"/>
          </w:tcPr>
          <w:p w14:paraId="376569B2">
            <w:pPr>
              <w:spacing w:after="0" w:line="240" w:lineRule="auto"/>
              <w:jc w:val="center"/>
            </w:pPr>
            <w:r>
              <w:rPr>
                <w:rFonts w:ascii="Calibri" w:hAnsi="Calibri"/>
                <w:color w:val="404040"/>
                <w:sz w:val="19"/>
              </w:rPr>
              <w:t>80% discount pattern in Central region</w:t>
            </w:r>
          </w:p>
        </w:tc>
      </w:tr>
      <w:tr w14:paraId="4361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073FCB2C">
            <w:pPr>
              <w:spacing w:after="0" w:line="240" w:lineRule="auto"/>
            </w:pPr>
            <w:r>
              <w:rPr>
                <w:rFonts w:ascii="Calibri" w:hAnsi="Calibri"/>
                <w:color w:val="404040"/>
                <w:sz w:val="19"/>
              </w:rPr>
              <w:t>Bookcases</w:t>
            </w:r>
          </w:p>
        </w:tc>
        <w:tc>
          <w:tcPr>
            <w:tcW w:w="1872" w:type="dxa"/>
            <w:shd w:val="clear" w:color="auto" w:fill="EBF3FB"/>
          </w:tcPr>
          <w:p w14:paraId="356213FA">
            <w:pPr>
              <w:spacing w:after="0" w:line="240" w:lineRule="auto"/>
              <w:jc w:val="center"/>
            </w:pPr>
            <w:r>
              <w:rPr>
                <w:rFonts w:ascii="Calibri" w:hAnsi="Calibri"/>
                <w:color w:val="404040"/>
                <w:sz w:val="19"/>
              </w:rPr>
              <w:t>60%</w:t>
            </w:r>
          </w:p>
        </w:tc>
        <w:tc>
          <w:tcPr>
            <w:tcW w:w="1440" w:type="dxa"/>
            <w:shd w:val="clear" w:color="auto" w:fill="EBF3FB"/>
          </w:tcPr>
          <w:p w14:paraId="0EA5321E">
            <w:pPr>
              <w:spacing w:after="0" w:line="240" w:lineRule="auto"/>
              <w:jc w:val="center"/>
            </w:pPr>
            <w:r>
              <w:rPr>
                <w:rFonts w:ascii="Calibri" w:hAnsi="Calibri"/>
                <w:color w:val="404040"/>
                <w:sz w:val="19"/>
              </w:rPr>
              <w:t>Medium</w:t>
            </w:r>
          </w:p>
        </w:tc>
        <w:tc>
          <w:tcPr>
            <w:tcW w:w="5328" w:type="dxa"/>
            <w:shd w:val="clear" w:color="auto" w:fill="EBF3FB"/>
          </w:tcPr>
          <w:p w14:paraId="728069A2">
            <w:pPr>
              <w:spacing w:after="0" w:line="240" w:lineRule="auto"/>
              <w:jc w:val="center"/>
            </w:pPr>
            <w:r>
              <w:rPr>
                <w:rFonts w:ascii="Calibri" w:hAnsi="Calibri"/>
                <w:color w:val="404040"/>
                <w:sz w:val="19"/>
              </w:rPr>
              <w:t>Net loss at extreme discounts only</w:t>
            </w:r>
          </w:p>
        </w:tc>
      </w:tr>
      <w:tr w14:paraId="4343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0B1F2AFA">
            <w:pPr>
              <w:spacing w:after="0" w:line="240" w:lineRule="auto"/>
            </w:pPr>
            <w:r>
              <w:rPr>
                <w:rFonts w:ascii="Calibri" w:hAnsi="Calibri"/>
                <w:color w:val="404040"/>
                <w:sz w:val="19"/>
              </w:rPr>
              <w:t>Chairs</w:t>
            </w:r>
          </w:p>
        </w:tc>
        <w:tc>
          <w:tcPr>
            <w:tcW w:w="1872" w:type="dxa"/>
            <w:shd w:val="clear" w:color="auto" w:fill="FFFFFF"/>
          </w:tcPr>
          <w:p w14:paraId="45C05D3C">
            <w:pPr>
              <w:spacing w:after="0" w:line="240" w:lineRule="auto"/>
              <w:jc w:val="center"/>
            </w:pPr>
            <w:r>
              <w:rPr>
                <w:rFonts w:ascii="Calibri" w:hAnsi="Calibri"/>
                <w:color w:val="404040"/>
                <w:sz w:val="19"/>
              </w:rPr>
              <w:t>50%</w:t>
            </w:r>
          </w:p>
        </w:tc>
        <w:tc>
          <w:tcPr>
            <w:tcW w:w="1440" w:type="dxa"/>
            <w:shd w:val="clear" w:color="auto" w:fill="FFFFFF"/>
          </w:tcPr>
          <w:p w14:paraId="7FC5AB46">
            <w:pPr>
              <w:spacing w:after="0" w:line="240" w:lineRule="auto"/>
              <w:jc w:val="center"/>
            </w:pPr>
            <w:r>
              <w:rPr>
                <w:rFonts w:ascii="Calibri" w:hAnsi="Calibri"/>
                <w:color w:val="404040"/>
                <w:sz w:val="19"/>
              </w:rPr>
              <w:t>Medium</w:t>
            </w:r>
          </w:p>
        </w:tc>
        <w:tc>
          <w:tcPr>
            <w:tcW w:w="5328" w:type="dxa"/>
            <w:shd w:val="clear" w:color="auto" w:fill="FFFFFF"/>
          </w:tcPr>
          <w:p w14:paraId="5D488C85">
            <w:pPr>
              <w:spacing w:after="0" w:line="240" w:lineRule="auto"/>
              <w:jc w:val="center"/>
            </w:pPr>
            <w:r>
              <w:rPr>
                <w:rFonts w:ascii="Calibri" w:hAnsi="Calibri"/>
                <w:color w:val="404040"/>
                <w:sz w:val="19"/>
              </w:rPr>
              <w:t>Large-ticket items sensitive to heavy discounting</w:t>
            </w:r>
          </w:p>
        </w:tc>
      </w:tr>
      <w:tr w14:paraId="60EA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19363394">
            <w:pPr>
              <w:spacing w:after="0" w:line="240" w:lineRule="auto"/>
            </w:pPr>
            <w:r>
              <w:rPr>
                <w:rFonts w:ascii="Calibri" w:hAnsi="Calibri"/>
                <w:color w:val="404040"/>
                <w:sz w:val="19"/>
              </w:rPr>
              <w:t>Machines</w:t>
            </w:r>
          </w:p>
        </w:tc>
        <w:tc>
          <w:tcPr>
            <w:tcW w:w="1872" w:type="dxa"/>
            <w:shd w:val="clear" w:color="auto" w:fill="EBF3FB"/>
          </w:tcPr>
          <w:p w14:paraId="4F657F2B">
            <w:pPr>
              <w:spacing w:after="0" w:line="240" w:lineRule="auto"/>
              <w:jc w:val="center"/>
            </w:pPr>
            <w:r>
              <w:rPr>
                <w:rFonts w:ascii="Calibri" w:hAnsi="Calibri"/>
                <w:color w:val="404040"/>
                <w:sz w:val="19"/>
              </w:rPr>
              <w:t>50%</w:t>
            </w:r>
          </w:p>
        </w:tc>
        <w:tc>
          <w:tcPr>
            <w:tcW w:w="1440" w:type="dxa"/>
            <w:shd w:val="clear" w:color="auto" w:fill="EBF3FB"/>
          </w:tcPr>
          <w:p w14:paraId="03CC7CA0">
            <w:pPr>
              <w:spacing w:after="0" w:line="240" w:lineRule="auto"/>
              <w:jc w:val="center"/>
            </w:pPr>
            <w:r>
              <w:rPr>
                <w:rFonts w:ascii="Calibri" w:hAnsi="Calibri"/>
                <w:color w:val="404040"/>
                <w:sz w:val="19"/>
              </w:rPr>
              <w:t>Medium</w:t>
            </w:r>
          </w:p>
        </w:tc>
        <w:tc>
          <w:tcPr>
            <w:tcW w:w="5328" w:type="dxa"/>
            <w:shd w:val="clear" w:color="auto" w:fill="EBF3FB"/>
          </w:tcPr>
          <w:p w14:paraId="56D5BE18">
            <w:pPr>
              <w:spacing w:after="0" w:line="240" w:lineRule="auto"/>
              <w:jc w:val="center"/>
            </w:pPr>
            <w:r>
              <w:rPr>
                <w:rFonts w:ascii="Calibri" w:hAnsi="Calibri"/>
                <w:color w:val="404040"/>
                <w:sz w:val="19"/>
              </w:rPr>
              <w:t>Complex cost structure; 40%+ is high risk</w:t>
            </w:r>
          </w:p>
        </w:tc>
      </w:tr>
      <w:tr w14:paraId="4B61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210CA3B">
            <w:pPr>
              <w:spacing w:after="0" w:line="240" w:lineRule="auto"/>
            </w:pPr>
            <w:r>
              <w:rPr>
                <w:rFonts w:ascii="Calibri" w:hAnsi="Calibri"/>
                <w:color w:val="404040"/>
                <w:sz w:val="19"/>
              </w:rPr>
              <w:t>All Technology</w:t>
            </w:r>
          </w:p>
        </w:tc>
        <w:tc>
          <w:tcPr>
            <w:tcW w:w="1872" w:type="dxa"/>
            <w:shd w:val="clear" w:color="auto" w:fill="FFFFFF"/>
          </w:tcPr>
          <w:p w14:paraId="792AF7C5">
            <w:pPr>
              <w:spacing w:after="0" w:line="240" w:lineRule="auto"/>
              <w:jc w:val="center"/>
            </w:pPr>
            <w:r>
              <w:rPr>
                <w:rFonts w:ascii="Calibri" w:hAnsi="Calibri"/>
                <w:color w:val="404040"/>
                <w:sz w:val="19"/>
              </w:rPr>
              <w:t>50%</w:t>
            </w:r>
          </w:p>
        </w:tc>
        <w:tc>
          <w:tcPr>
            <w:tcW w:w="1440" w:type="dxa"/>
            <w:shd w:val="clear" w:color="auto" w:fill="FFFFFF"/>
          </w:tcPr>
          <w:p w14:paraId="00704591">
            <w:pPr>
              <w:spacing w:after="0" w:line="240" w:lineRule="auto"/>
              <w:jc w:val="center"/>
            </w:pPr>
            <w:r>
              <w:rPr>
                <w:rFonts w:ascii="Calibri" w:hAnsi="Calibri"/>
                <w:color w:val="404040"/>
                <w:sz w:val="19"/>
              </w:rPr>
              <w:t>Low</w:t>
            </w:r>
          </w:p>
        </w:tc>
        <w:tc>
          <w:tcPr>
            <w:tcW w:w="5328" w:type="dxa"/>
            <w:shd w:val="clear" w:color="auto" w:fill="FFFFFF"/>
          </w:tcPr>
          <w:p w14:paraId="6E298F09">
            <w:pPr>
              <w:spacing w:after="0" w:line="240" w:lineRule="auto"/>
              <w:jc w:val="center"/>
            </w:pPr>
            <w:r>
              <w:rPr>
                <w:rFonts w:ascii="Calibri" w:hAnsi="Calibri"/>
                <w:color w:val="404040"/>
                <w:sz w:val="19"/>
              </w:rPr>
              <w:t>Best margin category; flexible up to 50%</w:t>
            </w:r>
          </w:p>
        </w:tc>
      </w:tr>
      <w:tr w14:paraId="3263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6AB1E9DA">
            <w:pPr>
              <w:spacing w:after="0" w:line="240" w:lineRule="auto"/>
            </w:pPr>
            <w:r>
              <w:rPr>
                <w:rFonts w:ascii="Calibri" w:hAnsi="Calibri"/>
                <w:color w:val="404040"/>
                <w:sz w:val="19"/>
              </w:rPr>
              <w:t>Paper/Labels</w:t>
            </w:r>
          </w:p>
        </w:tc>
        <w:tc>
          <w:tcPr>
            <w:tcW w:w="1872" w:type="dxa"/>
            <w:shd w:val="clear" w:color="auto" w:fill="EBF3FB"/>
          </w:tcPr>
          <w:p w14:paraId="4665466F">
            <w:pPr>
              <w:spacing w:after="0" w:line="240" w:lineRule="auto"/>
              <w:jc w:val="center"/>
            </w:pPr>
            <w:r>
              <w:rPr>
                <w:rFonts w:ascii="Calibri" w:hAnsi="Calibri"/>
                <w:color w:val="404040"/>
                <w:sz w:val="19"/>
              </w:rPr>
              <w:t>50%</w:t>
            </w:r>
          </w:p>
        </w:tc>
        <w:tc>
          <w:tcPr>
            <w:tcW w:w="1440" w:type="dxa"/>
            <w:shd w:val="clear" w:color="auto" w:fill="EBF3FB"/>
          </w:tcPr>
          <w:p w14:paraId="364BDBEE">
            <w:pPr>
              <w:spacing w:after="0" w:line="240" w:lineRule="auto"/>
              <w:jc w:val="center"/>
            </w:pPr>
            <w:r>
              <w:rPr>
                <w:rFonts w:ascii="Calibri" w:hAnsi="Calibri"/>
                <w:color w:val="404040"/>
                <w:sz w:val="19"/>
              </w:rPr>
              <w:t>Low</w:t>
            </w:r>
          </w:p>
        </w:tc>
        <w:tc>
          <w:tcPr>
            <w:tcW w:w="5328" w:type="dxa"/>
            <w:shd w:val="clear" w:color="auto" w:fill="EBF3FB"/>
          </w:tcPr>
          <w:p w14:paraId="1740F781">
            <w:pPr>
              <w:spacing w:after="0" w:line="240" w:lineRule="auto"/>
              <w:jc w:val="center"/>
            </w:pPr>
            <w:r>
              <w:rPr>
                <w:rFonts w:ascii="Calibri" w:hAnsi="Calibri"/>
                <w:color w:val="404040"/>
                <w:sz w:val="19"/>
              </w:rPr>
              <w:t>High-volume, low-cost items; resilient</w:t>
            </w:r>
          </w:p>
        </w:tc>
      </w:tr>
    </w:tbl>
    <w:p w14:paraId="3A9417E5">
      <w:pPr>
        <w:spacing w:after="120"/>
      </w:pPr>
    </w:p>
    <w:p w14:paraId="5E6588E0">
      <w:pPr>
        <w:spacing w:before="240" w:after="80"/>
      </w:pPr>
      <w:r>
        <w:rPr>
          <w:rFonts w:ascii="Calibri" w:hAnsi="Calibri"/>
          <w:b/>
          <w:color w:val="2E75B6"/>
          <w:sz w:val="24"/>
        </w:rPr>
        <w:t>21.2 Intervention Action Types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888"/>
        <w:gridCol w:w="3312"/>
      </w:tblGrid>
      <w:tr w14:paraId="0B06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7840EDA9">
            <w:pPr>
              <w:spacing w:after="0" w:line="240" w:lineRule="auto"/>
              <w:jc w:val="center"/>
            </w:pPr>
            <w:r>
              <w:rPr>
                <w:rFonts w:ascii="Calibri" w:hAnsi="Calibri"/>
                <w:b/>
                <w:color w:val="FFFFFF"/>
                <w:sz w:val="19"/>
              </w:rPr>
              <w:t>Action</w:t>
            </w:r>
          </w:p>
        </w:tc>
        <w:tc>
          <w:tcPr>
            <w:tcW w:w="3888" w:type="dxa"/>
            <w:shd w:val="clear" w:color="auto" w:fill="1F4E79"/>
          </w:tcPr>
          <w:p w14:paraId="6DEA68FF">
            <w:pPr>
              <w:spacing w:after="0" w:line="240" w:lineRule="auto"/>
              <w:jc w:val="center"/>
            </w:pPr>
            <w:r>
              <w:rPr>
                <w:rFonts w:ascii="Calibri" w:hAnsi="Calibri"/>
                <w:b/>
                <w:color w:val="FFFFFF"/>
                <w:sz w:val="19"/>
              </w:rPr>
              <w:t>Condition</w:t>
            </w:r>
          </w:p>
        </w:tc>
        <w:tc>
          <w:tcPr>
            <w:tcW w:w="3312" w:type="dxa"/>
            <w:shd w:val="clear" w:color="auto" w:fill="1F4E79"/>
          </w:tcPr>
          <w:p w14:paraId="54CB0189">
            <w:pPr>
              <w:spacing w:after="0" w:line="240" w:lineRule="auto"/>
              <w:jc w:val="center"/>
            </w:pPr>
            <w:r>
              <w:rPr>
                <w:rFonts w:ascii="Calibri" w:hAnsi="Calibri"/>
                <w:b/>
                <w:color w:val="FFFFFF"/>
                <w:sz w:val="19"/>
              </w:rPr>
              <w:t>Meaning</w:t>
            </w:r>
          </w:p>
        </w:tc>
      </w:tr>
      <w:tr w14:paraId="7294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1EAE229F">
            <w:pPr>
              <w:spacing w:after="0" w:line="240" w:lineRule="auto"/>
            </w:pPr>
            <w:r>
              <w:rPr>
                <w:rFonts w:ascii="Calibri" w:hAnsi="Calibri"/>
                <w:color w:val="404040"/>
                <w:sz w:val="19"/>
              </w:rPr>
              <w:t>REJECT_ORDER</w:t>
            </w:r>
          </w:p>
        </w:tc>
        <w:tc>
          <w:tcPr>
            <w:tcW w:w="3888" w:type="dxa"/>
            <w:shd w:val="clear" w:color="auto" w:fill="EBF3FB"/>
          </w:tcPr>
          <w:p w14:paraId="1972DEFE">
            <w:pPr>
              <w:spacing w:after="0" w:line="240" w:lineRule="auto"/>
              <w:jc w:val="center"/>
            </w:pPr>
            <w:r>
              <w:rPr>
                <w:rFonts w:ascii="Calibri" w:hAnsi="Calibri"/>
                <w:color w:val="404040"/>
                <w:sz w:val="19"/>
              </w:rPr>
              <w:t>High risk tier + Discount ≥ 0.80</w:t>
            </w:r>
          </w:p>
        </w:tc>
        <w:tc>
          <w:tcPr>
            <w:tcW w:w="3312" w:type="dxa"/>
            <w:shd w:val="clear" w:color="auto" w:fill="EBF3FB"/>
          </w:tcPr>
          <w:p w14:paraId="66E176B6">
            <w:pPr>
              <w:spacing w:after="0" w:line="240" w:lineRule="auto"/>
              <w:jc w:val="center"/>
            </w:pPr>
            <w:r>
              <w:rPr>
                <w:rFonts w:ascii="Calibri" w:hAnsi="Calibri"/>
                <w:color w:val="404040"/>
                <w:sz w:val="19"/>
              </w:rPr>
              <w:t>Order must not proceed — guaranteed loss</w:t>
            </w:r>
          </w:p>
        </w:tc>
      </w:tr>
      <w:tr w14:paraId="0FDB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33B8E3B6">
            <w:pPr>
              <w:spacing w:after="0" w:line="240" w:lineRule="auto"/>
            </w:pPr>
            <w:r>
              <w:rPr>
                <w:rFonts w:ascii="Calibri" w:hAnsi="Calibri"/>
                <w:color w:val="404040"/>
                <w:sz w:val="19"/>
              </w:rPr>
              <w:t>REVIEW_PRICING</w:t>
            </w:r>
          </w:p>
        </w:tc>
        <w:tc>
          <w:tcPr>
            <w:tcW w:w="3888" w:type="dxa"/>
            <w:shd w:val="clear" w:color="auto" w:fill="FFFFFF"/>
          </w:tcPr>
          <w:p w14:paraId="57047F94">
            <w:pPr>
              <w:spacing w:after="0" w:line="240" w:lineRule="auto"/>
              <w:jc w:val="center"/>
            </w:pPr>
            <w:r>
              <w:rPr>
                <w:rFonts w:ascii="Calibri" w:hAnsi="Calibri"/>
                <w:color w:val="404040"/>
                <w:sz w:val="19"/>
              </w:rPr>
              <w:t>High risk tier + Discount &lt; 0.80 + Sales &gt; $500</w:t>
            </w:r>
          </w:p>
        </w:tc>
        <w:tc>
          <w:tcPr>
            <w:tcW w:w="3312" w:type="dxa"/>
            <w:shd w:val="clear" w:color="auto" w:fill="FFFFFF"/>
          </w:tcPr>
          <w:p w14:paraId="629F2F06">
            <w:pPr>
              <w:spacing w:after="0" w:line="240" w:lineRule="auto"/>
              <w:jc w:val="center"/>
            </w:pPr>
            <w:r>
              <w:rPr>
                <w:rFonts w:ascii="Calibri" w:hAnsi="Calibri"/>
                <w:color w:val="404040"/>
                <w:sz w:val="19"/>
              </w:rPr>
              <w:t>Escalate to manager for pricing approval</w:t>
            </w:r>
          </w:p>
        </w:tc>
      </w:tr>
      <w:tr w14:paraId="0DEB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3FB"/>
          </w:tcPr>
          <w:p w14:paraId="0220D720">
            <w:pPr>
              <w:spacing w:after="0" w:line="240" w:lineRule="auto"/>
            </w:pPr>
            <w:r>
              <w:rPr>
                <w:rFonts w:ascii="Calibri" w:hAnsi="Calibri"/>
                <w:color w:val="404040"/>
                <w:sz w:val="19"/>
              </w:rPr>
              <w:t>CAP_DISCOUNT</w:t>
            </w:r>
          </w:p>
        </w:tc>
        <w:tc>
          <w:tcPr>
            <w:tcW w:w="3888" w:type="dxa"/>
            <w:shd w:val="clear" w:color="auto" w:fill="EBF3FB"/>
          </w:tcPr>
          <w:p w14:paraId="40E9A497">
            <w:pPr>
              <w:spacing w:after="0" w:line="240" w:lineRule="auto"/>
              <w:jc w:val="center"/>
            </w:pPr>
            <w:r>
              <w:rPr>
                <w:rFonts w:ascii="Calibri" w:hAnsi="Calibri"/>
                <w:color w:val="404040"/>
                <w:sz w:val="19"/>
              </w:rPr>
              <w:t>High/Medium risk tier + Sales ≤ $500</w:t>
            </w:r>
          </w:p>
        </w:tc>
        <w:tc>
          <w:tcPr>
            <w:tcW w:w="3312" w:type="dxa"/>
            <w:shd w:val="clear" w:color="auto" w:fill="EBF3FB"/>
          </w:tcPr>
          <w:p w14:paraId="5E5C1703">
            <w:pPr>
              <w:spacing w:after="0" w:line="240" w:lineRule="auto"/>
              <w:jc w:val="center"/>
            </w:pPr>
            <w:r>
              <w:rPr>
                <w:rFonts w:ascii="Calibri" w:hAnsi="Calibri"/>
                <w:color w:val="404040"/>
                <w:sz w:val="19"/>
              </w:rPr>
              <w:t>Reduce discount to sub-category safe threshold</w:t>
            </w:r>
          </w:p>
        </w:tc>
      </w:tr>
      <w:tr w14:paraId="5995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FFFFF"/>
          </w:tcPr>
          <w:p w14:paraId="27BDE2CB">
            <w:pPr>
              <w:spacing w:after="0" w:line="240" w:lineRule="auto"/>
            </w:pPr>
            <w:r>
              <w:rPr>
                <w:rFonts w:ascii="Calibri" w:hAnsi="Calibri"/>
                <w:color w:val="404040"/>
                <w:sz w:val="19"/>
              </w:rPr>
              <w:t>ACCEPT</w:t>
            </w:r>
          </w:p>
        </w:tc>
        <w:tc>
          <w:tcPr>
            <w:tcW w:w="3888" w:type="dxa"/>
            <w:shd w:val="clear" w:color="auto" w:fill="FFFFFF"/>
          </w:tcPr>
          <w:p w14:paraId="3AB25805">
            <w:pPr>
              <w:spacing w:after="0" w:line="240" w:lineRule="auto"/>
              <w:jc w:val="center"/>
            </w:pPr>
            <w:r>
              <w:rPr>
                <w:rFonts w:ascii="Calibri" w:hAnsi="Calibri"/>
                <w:color w:val="404040"/>
                <w:sz w:val="19"/>
              </w:rPr>
              <w:t>Low risk tier</w:t>
            </w:r>
          </w:p>
        </w:tc>
        <w:tc>
          <w:tcPr>
            <w:tcW w:w="3312" w:type="dxa"/>
            <w:shd w:val="clear" w:color="auto" w:fill="FFFFFF"/>
          </w:tcPr>
          <w:p w14:paraId="66E77C39">
            <w:pPr>
              <w:spacing w:after="0" w:line="240" w:lineRule="auto"/>
              <w:jc w:val="center"/>
            </w:pPr>
            <w:r>
              <w:rPr>
                <w:rFonts w:ascii="Calibri" w:hAnsi="Calibri"/>
                <w:color w:val="404040"/>
                <w:sz w:val="19"/>
              </w:rPr>
              <w:t>No action — order is expected to be profitable</w:t>
            </w:r>
          </w:p>
        </w:tc>
      </w:tr>
    </w:tbl>
    <w:p w14:paraId="59DCA50D">
      <w:pPr>
        <w:spacing w:after="120"/>
      </w:pPr>
    </w:p>
    <w:p w14:paraId="00B4B9E5">
      <w:r>
        <w:br w:type="page"/>
      </w:r>
    </w:p>
    <w:p w14:paraId="304C3553">
      <w:pPr>
        <w:spacing w:before="360" w:after="120"/>
      </w:pPr>
      <w:r>
        <w:rPr>
          <w:rFonts w:ascii="Calibri" w:hAnsi="Calibri"/>
          <w:b/>
          <w:color w:val="1F4E79"/>
          <w:sz w:val="30"/>
        </w:rPr>
        <w:t>22. Resource-Constrained Intervention Strategy</w:t>
      </w:r>
    </w:p>
    <w:p w14:paraId="76A66E4B">
      <w:pPr>
        <w:pBdr>
          <w:bottom w:val="single" w:color="1F4E79" w:sz="8" w:space="1"/>
        </w:pBdr>
        <w:spacing w:after="40"/>
      </w:pPr>
    </w:p>
    <w:p w14:paraId="69E220FA">
      <w:pPr>
        <w:spacing w:before="40" w:after="100"/>
      </w:pPr>
      <w:r>
        <w:rPr>
          <w:rFonts w:ascii="Calibri" w:hAnsi="Calibri"/>
          <w:color w:val="404040"/>
          <w:sz w:val="21"/>
        </w:rPr>
        <w:t>The full dataset contains 1,742 high-risk orders with a total expected loss exposure of $139,939. Reviewing all 1,742 orders may not be feasible in a resource-constrained environment. The strategy therefore prioritises orders by expected loss, ensuring that the intervention budget is allocated to the highest-impact cases first.</w:t>
      </w:r>
    </w:p>
    <w:p w14:paraId="23180471">
      <w:pPr>
        <w:spacing w:before="240" w:after="80"/>
      </w:pPr>
      <w:r>
        <w:rPr>
          <w:rFonts w:ascii="Calibri" w:hAnsi="Calibri"/>
          <w:b/>
          <w:color w:val="2E75B6"/>
          <w:sz w:val="24"/>
        </w:rPr>
        <w:t>22.1 Coverage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168"/>
        <w:gridCol w:w="3600"/>
      </w:tblGrid>
      <w:tr w14:paraId="0034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tcPr>
          <w:p w14:paraId="6B6F32EC">
            <w:pPr>
              <w:spacing w:after="0" w:line="240" w:lineRule="auto"/>
              <w:jc w:val="center"/>
            </w:pPr>
            <w:r>
              <w:rPr>
                <w:rFonts w:ascii="Calibri" w:hAnsi="Calibri"/>
                <w:b/>
                <w:color w:val="FFFFFF"/>
                <w:sz w:val="19"/>
              </w:rPr>
              <w:t>Intervention Size</w:t>
            </w:r>
          </w:p>
        </w:tc>
        <w:tc>
          <w:tcPr>
            <w:tcW w:w="3168" w:type="dxa"/>
            <w:shd w:val="clear" w:color="auto" w:fill="1F4E79"/>
          </w:tcPr>
          <w:p w14:paraId="240179B4">
            <w:pPr>
              <w:spacing w:after="0" w:line="240" w:lineRule="auto"/>
              <w:jc w:val="center"/>
            </w:pPr>
            <w:r>
              <w:rPr>
                <w:rFonts w:ascii="Calibri" w:hAnsi="Calibri"/>
                <w:b/>
                <w:color w:val="FFFFFF"/>
                <w:sz w:val="19"/>
              </w:rPr>
              <w:t>Expected Loss Prevented ($)</w:t>
            </w:r>
          </w:p>
        </w:tc>
        <w:tc>
          <w:tcPr>
            <w:tcW w:w="3600" w:type="dxa"/>
            <w:shd w:val="clear" w:color="auto" w:fill="1F4E79"/>
          </w:tcPr>
          <w:p w14:paraId="67A6AC81">
            <w:pPr>
              <w:spacing w:after="0" w:line="240" w:lineRule="auto"/>
              <w:jc w:val="center"/>
            </w:pPr>
            <w:r>
              <w:rPr>
                <w:rFonts w:ascii="Calibri" w:hAnsi="Calibri"/>
                <w:b/>
                <w:color w:val="FFFFFF"/>
                <w:sz w:val="19"/>
              </w:rPr>
              <w:t>% of Total Exposure Addressed</w:t>
            </w:r>
          </w:p>
        </w:tc>
      </w:tr>
      <w:tr w14:paraId="3F43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BF3FB"/>
          </w:tcPr>
          <w:p w14:paraId="02DB46A8">
            <w:pPr>
              <w:spacing w:after="0" w:line="240" w:lineRule="auto"/>
            </w:pPr>
            <w:r>
              <w:rPr>
                <w:rFonts w:ascii="Calibri" w:hAnsi="Calibri"/>
                <w:color w:val="404040"/>
                <w:sz w:val="19"/>
              </w:rPr>
              <w:t>Top 100 orders</w:t>
            </w:r>
          </w:p>
        </w:tc>
        <w:tc>
          <w:tcPr>
            <w:tcW w:w="3168" w:type="dxa"/>
            <w:shd w:val="clear" w:color="auto" w:fill="EBF3FB"/>
          </w:tcPr>
          <w:p w14:paraId="313251BB">
            <w:pPr>
              <w:spacing w:after="0" w:line="240" w:lineRule="auto"/>
              <w:jc w:val="center"/>
            </w:pPr>
            <w:r>
              <w:rPr>
                <w:rFonts w:ascii="Calibri" w:hAnsi="Calibri"/>
                <w:color w:val="404040"/>
                <w:sz w:val="19"/>
              </w:rPr>
              <w:t>~$65,211</w:t>
            </w:r>
          </w:p>
        </w:tc>
        <w:tc>
          <w:tcPr>
            <w:tcW w:w="3600" w:type="dxa"/>
            <w:shd w:val="clear" w:color="auto" w:fill="EBF3FB"/>
          </w:tcPr>
          <w:p w14:paraId="72764BB6">
            <w:pPr>
              <w:spacing w:after="0" w:line="240" w:lineRule="auto"/>
              <w:jc w:val="center"/>
            </w:pPr>
            <w:r>
              <w:rPr>
                <w:rFonts w:ascii="Calibri" w:hAnsi="Calibri"/>
                <w:color w:val="404040"/>
                <w:sz w:val="19"/>
              </w:rPr>
              <w:t>~46%</w:t>
            </w:r>
          </w:p>
        </w:tc>
      </w:tr>
      <w:tr w14:paraId="3AC9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Pr>
          <w:p w14:paraId="180A4E5B">
            <w:pPr>
              <w:spacing w:after="0" w:line="240" w:lineRule="auto"/>
            </w:pPr>
            <w:r>
              <w:rPr>
                <w:rFonts w:ascii="Calibri" w:hAnsi="Calibri"/>
                <w:color w:val="404040"/>
                <w:sz w:val="19"/>
              </w:rPr>
              <w:t>Top 200 orders</w:t>
            </w:r>
          </w:p>
        </w:tc>
        <w:tc>
          <w:tcPr>
            <w:tcW w:w="3168" w:type="dxa"/>
            <w:shd w:val="clear" w:color="auto" w:fill="FFFFFF"/>
          </w:tcPr>
          <w:p w14:paraId="5E6CBF57">
            <w:pPr>
              <w:spacing w:after="0" w:line="240" w:lineRule="auto"/>
              <w:jc w:val="center"/>
            </w:pPr>
            <w:r>
              <w:rPr>
                <w:rFonts w:ascii="Calibri" w:hAnsi="Calibri"/>
                <w:color w:val="404040"/>
                <w:sz w:val="19"/>
              </w:rPr>
              <w:t>~$87,784</w:t>
            </w:r>
          </w:p>
        </w:tc>
        <w:tc>
          <w:tcPr>
            <w:tcW w:w="3600" w:type="dxa"/>
            <w:shd w:val="clear" w:color="auto" w:fill="FFFFFF"/>
          </w:tcPr>
          <w:p w14:paraId="0CF554FC">
            <w:pPr>
              <w:spacing w:after="0" w:line="240" w:lineRule="auto"/>
              <w:jc w:val="center"/>
            </w:pPr>
            <w:r>
              <w:rPr>
                <w:rFonts w:ascii="Calibri" w:hAnsi="Calibri"/>
                <w:color w:val="404040"/>
                <w:sz w:val="19"/>
              </w:rPr>
              <w:t>~62%</w:t>
            </w:r>
          </w:p>
        </w:tc>
      </w:tr>
      <w:tr w14:paraId="2D2A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BF3FB"/>
          </w:tcPr>
          <w:p w14:paraId="71D5452B">
            <w:pPr>
              <w:spacing w:after="0" w:line="240" w:lineRule="auto"/>
            </w:pPr>
            <w:r>
              <w:rPr>
                <w:rFonts w:ascii="Calibri" w:hAnsi="Calibri"/>
                <w:color w:val="404040"/>
                <w:sz w:val="19"/>
              </w:rPr>
              <w:t>Top 500 orders</w:t>
            </w:r>
          </w:p>
        </w:tc>
        <w:tc>
          <w:tcPr>
            <w:tcW w:w="3168" w:type="dxa"/>
            <w:shd w:val="clear" w:color="auto" w:fill="EBF3FB"/>
          </w:tcPr>
          <w:p w14:paraId="1DCB732A">
            <w:pPr>
              <w:spacing w:after="0" w:line="240" w:lineRule="auto"/>
              <w:jc w:val="center"/>
            </w:pPr>
            <w:r>
              <w:rPr>
                <w:rFonts w:ascii="Calibri" w:hAnsi="Calibri"/>
                <w:color w:val="404040"/>
                <w:sz w:val="19"/>
              </w:rPr>
              <w:t>$125,406</w:t>
            </w:r>
          </w:p>
        </w:tc>
        <w:tc>
          <w:tcPr>
            <w:tcW w:w="3600" w:type="dxa"/>
            <w:shd w:val="clear" w:color="auto" w:fill="EBF3FB"/>
          </w:tcPr>
          <w:p w14:paraId="210DE581">
            <w:pPr>
              <w:spacing w:after="0" w:line="240" w:lineRule="auto"/>
              <w:jc w:val="center"/>
            </w:pPr>
            <w:r>
              <w:rPr>
                <w:rFonts w:ascii="Calibri" w:hAnsi="Calibri"/>
                <w:color w:val="404040"/>
                <w:sz w:val="19"/>
              </w:rPr>
              <w:t>90%</w:t>
            </w:r>
          </w:p>
        </w:tc>
      </w:tr>
      <w:tr w14:paraId="1F78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tcPr>
          <w:p w14:paraId="4C83FB20">
            <w:pPr>
              <w:spacing w:after="0" w:line="240" w:lineRule="auto"/>
            </w:pPr>
            <w:r>
              <w:rPr>
                <w:rFonts w:ascii="Calibri" w:hAnsi="Calibri"/>
                <w:color w:val="404040"/>
                <w:sz w:val="19"/>
              </w:rPr>
              <w:t>All high-risk orders</w:t>
            </w:r>
          </w:p>
        </w:tc>
        <w:tc>
          <w:tcPr>
            <w:tcW w:w="3168" w:type="dxa"/>
            <w:shd w:val="clear" w:color="auto" w:fill="FFFFFF"/>
          </w:tcPr>
          <w:p w14:paraId="7E45CE3E">
            <w:pPr>
              <w:spacing w:after="0" w:line="240" w:lineRule="auto"/>
              <w:jc w:val="center"/>
            </w:pPr>
            <w:r>
              <w:rPr>
                <w:rFonts w:ascii="Calibri" w:hAnsi="Calibri"/>
                <w:color w:val="404040"/>
                <w:sz w:val="19"/>
              </w:rPr>
              <w:t>$139,939</w:t>
            </w:r>
          </w:p>
        </w:tc>
        <w:tc>
          <w:tcPr>
            <w:tcW w:w="3600" w:type="dxa"/>
            <w:shd w:val="clear" w:color="auto" w:fill="FFFFFF"/>
          </w:tcPr>
          <w:p w14:paraId="570615A3">
            <w:pPr>
              <w:spacing w:after="0" w:line="240" w:lineRule="auto"/>
              <w:jc w:val="center"/>
            </w:pPr>
            <w:r>
              <w:rPr>
                <w:rFonts w:ascii="Calibri" w:hAnsi="Calibri"/>
                <w:color w:val="404040"/>
                <w:sz w:val="19"/>
              </w:rPr>
              <w:t>100%</w:t>
            </w:r>
          </w:p>
        </w:tc>
      </w:tr>
    </w:tbl>
    <w:p w14:paraId="7BE138F6">
      <w:pPr>
        <w:spacing w:after="120"/>
      </w:pPr>
    </w:p>
    <w:p w14:paraId="0A533B1E">
      <w:pPr>
        <w:spacing w:before="40" w:after="100"/>
      </w:pPr>
      <w:r>
        <w:rPr>
          <w:rFonts w:ascii="Calibri" w:hAnsi="Calibri"/>
          <w:color w:val="404040"/>
          <w:sz w:val="21"/>
        </w:rPr>
        <w:t>Reviewing just the top 500 highest-risk orders addresses 90% of total expected loss exposure ($125,406 of $139,939), while covering only 28.7% of the total high-risk order volume. This represents the optimal balance between intervention effort and financial return.</w:t>
      </w:r>
    </w:p>
    <w:p w14:paraId="360FAA37">
      <w:pPr>
        <w:spacing w:before="240" w:after="80"/>
      </w:pPr>
      <w:r>
        <w:rPr>
          <w:rFonts w:ascii="Calibri" w:hAnsi="Calibri"/>
          <w:b/>
          <w:color w:val="2E75B6"/>
          <w:sz w:val="24"/>
        </w:rPr>
        <w:t>22.2 Expected Loss by Sub-Category</w:t>
      </w:r>
    </w:p>
    <w:p w14:paraId="1201E24A">
      <w:pPr>
        <w:spacing w:before="120"/>
        <w:jc w:val="center"/>
      </w:pPr>
      <w:r>
        <w:drawing>
          <wp:inline distT="0" distB="0" distL="0" distR="0">
            <wp:extent cx="5486400" cy="2990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86400" cy="2990707"/>
                    </a:xfrm>
                    <a:prstGeom prst="rect">
                      <a:avLst/>
                    </a:prstGeom>
                  </pic:spPr>
                </pic:pic>
              </a:graphicData>
            </a:graphic>
          </wp:inline>
        </w:drawing>
      </w:r>
    </w:p>
    <w:p w14:paraId="6D52F058">
      <w:pPr>
        <w:spacing w:before="40"/>
        <w:jc w:val="center"/>
      </w:pPr>
      <w:r>
        <w:rPr>
          <w:rFonts w:ascii="Calibri" w:hAnsi="Calibri"/>
          <w:i/>
          <w:color w:val="707070"/>
          <w:sz w:val="18"/>
        </w:rPr>
        <w:t>Figure 10: Top 10 Sub-Categories by Expected Loss Exposure ($). Binders (Central) and Machines (East) represent the largest intervention priorities.</w:t>
      </w:r>
    </w:p>
    <w:p w14:paraId="21DB5A67">
      <w:pPr>
        <w:spacing w:before="360" w:after="120"/>
      </w:pPr>
      <w:r>
        <w:rPr>
          <w:rFonts w:ascii="Calibri" w:hAnsi="Calibri"/>
          <w:b/>
          <w:color w:val="1F4E79"/>
          <w:sz w:val="30"/>
        </w:rPr>
        <w:t>23. Business Recommendations</w:t>
      </w:r>
    </w:p>
    <w:p w14:paraId="7727F3C3">
      <w:pPr>
        <w:pBdr>
          <w:bottom w:val="single" w:color="1F4E79" w:sz="8" w:space="1"/>
        </w:pBdr>
        <w:spacing w:after="40"/>
      </w:pPr>
    </w:p>
    <w:p w14:paraId="52BF7195">
      <w:pPr>
        <w:spacing w:before="240" w:after="80"/>
      </w:pPr>
      <w:r>
        <w:rPr>
          <w:rFonts w:ascii="Calibri" w:hAnsi="Calibri"/>
          <w:b/>
          <w:color w:val="2E75B6"/>
          <w:sz w:val="24"/>
        </w:rPr>
        <w:t>23.1  Enforce discount caps by sub-category</w:t>
      </w:r>
    </w:p>
    <w:p w14:paraId="157530C8">
      <w:pPr>
        <w:spacing w:before="40" w:after="100"/>
      </w:pPr>
      <w:r>
        <w:rPr>
          <w:rFonts w:ascii="Calibri" w:hAnsi="Calibri"/>
          <w:color w:val="404040"/>
          <w:sz w:val="21"/>
        </w:rPr>
        <w:t>Implement hard discount limits in the order management system: Tables ≤ 30%, Supplies ≤ 10%, all other categories ≤ 50%. These thresholds are derived from the historical break-even analysis and are consistent with the model's feature importance findings. Expected impact: eliminate the majority of the 1,871 annual loss transactions.</w:t>
      </w:r>
    </w:p>
    <w:p w14:paraId="4BDD1F5A">
      <w:pPr>
        <w:spacing w:before="240" w:after="80"/>
      </w:pPr>
      <w:r>
        <w:rPr>
          <w:rFonts w:ascii="Calibri" w:hAnsi="Calibri"/>
          <w:b/>
          <w:color w:val="2E75B6"/>
          <w:sz w:val="24"/>
        </w:rPr>
        <w:t>23.2  Require manager approval for Discount &gt; 40%</w:t>
      </w:r>
    </w:p>
    <w:p w14:paraId="7D08B076">
      <w:pPr>
        <w:spacing w:before="40" w:after="100"/>
      </w:pPr>
      <w:r>
        <w:rPr>
          <w:rFonts w:ascii="Calibri" w:hAnsi="Calibri"/>
          <w:color w:val="404040"/>
          <w:sz w:val="21"/>
        </w:rPr>
        <w:t>The data is unambiguous: no transaction above 40% discount has ever been profitable in the four-year historical record. A mandatory approval gate at 40% would intercept the near-certain loss segment before it reaches fulfilment.</w:t>
      </w:r>
    </w:p>
    <w:p w14:paraId="516686DE">
      <w:pPr>
        <w:spacing w:before="240" w:after="80"/>
      </w:pPr>
      <w:r>
        <w:rPr>
          <w:rFonts w:ascii="Calibri" w:hAnsi="Calibri"/>
          <w:b/>
          <w:color w:val="2E75B6"/>
          <w:sz w:val="24"/>
        </w:rPr>
        <w:t>23.3  Reject all Binder and Appliance orders with 80% discount in the Central region</w:t>
      </w:r>
    </w:p>
    <w:p w14:paraId="6550D0FB">
      <w:pPr>
        <w:spacing w:before="40" w:after="100"/>
      </w:pPr>
      <w:r>
        <w:rPr>
          <w:rFonts w:ascii="Calibri" w:hAnsi="Calibri"/>
          <w:color w:val="404040"/>
          <w:sz w:val="21"/>
        </w:rPr>
        <w:t>The 300 orders at the 0.8 discount level represent a structural pricing anomaly. These transactions result in 100% loss rate and contribute ~$21,000 to annual losses. Automatic rejection of this combination should be implemented as a hard system rule.</w:t>
      </w:r>
    </w:p>
    <w:p w14:paraId="686E2152">
      <w:pPr>
        <w:spacing w:before="240" w:after="80"/>
      </w:pPr>
      <w:r>
        <w:rPr>
          <w:rFonts w:ascii="Calibri" w:hAnsi="Calibri"/>
          <w:b/>
          <w:color w:val="2E75B6"/>
          <w:sz w:val="24"/>
        </w:rPr>
        <w:t>23.4  Grow Technology — Copiers and Accessories</w:t>
      </w:r>
    </w:p>
    <w:p w14:paraId="64013575">
      <w:pPr>
        <w:spacing w:before="40" w:after="100"/>
      </w:pPr>
      <w:r>
        <w:rPr>
          <w:rFonts w:ascii="Calibri" w:hAnsi="Calibri"/>
          <w:color w:val="404040"/>
          <w:sz w:val="21"/>
        </w:rPr>
        <w:t>Technology generates the highest profit margin at 17.4% with the lowest loss rate in the West and East regions at low discount levels. Sales strategy should prioritise Technology revenue growth, particularly Copiers and Accessories which rank as the top two most profitable sub-categories.</w:t>
      </w:r>
    </w:p>
    <w:p w14:paraId="1D6CAE36">
      <w:pPr>
        <w:spacing w:before="240" w:after="80"/>
      </w:pPr>
      <w:r>
        <w:rPr>
          <w:rFonts w:ascii="Calibri" w:hAnsi="Calibri"/>
          <w:b/>
          <w:color w:val="2E75B6"/>
          <w:sz w:val="24"/>
        </w:rPr>
        <w:t>23.5  Audit Central region pricing policy</w:t>
      </w:r>
    </w:p>
    <w:p w14:paraId="6D6405E3">
      <w:pPr>
        <w:spacing w:before="40" w:after="100"/>
      </w:pPr>
      <w:r>
        <w:rPr>
          <w:rFonts w:ascii="Calibri" w:hAnsi="Calibri"/>
          <w:color w:val="404040"/>
          <w:sz w:val="21"/>
        </w:rPr>
        <w:t>The Central region's 31.9% loss rate — more than triple that of the West (9.9%) — indicates a systematic pricing problem rather than a product mix issue. A regional pricing audit should investigate whether discount authority thresholds differ by region and whether Central sales staff have been granted excessive discount latitude.</w:t>
      </w:r>
    </w:p>
    <w:p w14:paraId="3142BF1D">
      <w:pPr>
        <w:spacing w:before="240" w:after="80"/>
      </w:pPr>
      <w:r>
        <w:rPr>
          <w:rFonts w:ascii="Calibri" w:hAnsi="Calibri"/>
          <w:b/>
          <w:color w:val="2E75B6"/>
          <w:sz w:val="24"/>
        </w:rPr>
        <w:t>23.6  Deploy the Streamlit dashboard for sales team use</w:t>
      </w:r>
    </w:p>
    <w:p w14:paraId="68AA99DE">
      <w:pPr>
        <w:spacing w:before="40" w:after="100"/>
      </w:pPr>
      <w:r>
        <w:rPr>
          <w:rFonts w:ascii="Calibri" w:hAnsi="Calibri"/>
          <w:color w:val="404040"/>
          <w:sz w:val="21"/>
        </w:rPr>
        <w:t>The trained Random Forest model is available via an interactive dashboard (streamlit run app.py). Sales representatives can enter order parameters and receive an instant loss probability with a recommended action before submission, enabling proactive loss prevention at the point of sale.</w:t>
      </w:r>
    </w:p>
    <w:p w14:paraId="73DDCDC9">
      <w:r>
        <w:br w:type="page"/>
      </w:r>
    </w:p>
    <w:p w14:paraId="1F2C86B1">
      <w:pPr>
        <w:spacing w:before="360" w:after="120"/>
      </w:pPr>
      <w:r>
        <w:rPr>
          <w:rFonts w:ascii="Calibri" w:hAnsi="Calibri"/>
          <w:b/>
          <w:color w:val="1F4E79"/>
          <w:sz w:val="30"/>
        </w:rPr>
        <w:t>24. Limitations</w:t>
      </w:r>
    </w:p>
    <w:p w14:paraId="0A37F2B8">
      <w:pPr>
        <w:pBdr>
          <w:bottom w:val="single" w:color="1F4E79" w:sz="8" w:space="1"/>
        </w:pBdr>
        <w:spacing w:after="40"/>
      </w:pPr>
    </w:p>
    <w:p w14:paraId="1F673C16">
      <w:pPr>
        <w:pStyle w:val="23"/>
        <w:spacing w:before="20" w:after="40"/>
        <w:ind w:left="340"/>
      </w:pPr>
      <w:r>
        <w:rPr>
          <w:rFonts w:ascii="Calibri" w:hAnsi="Calibri"/>
          <w:color w:val="404040"/>
          <w:sz w:val="21"/>
        </w:rPr>
        <w:t>Temporal scope: The dataset covers 2011–2014 only. Pricing dynamics, product mix, and competitive conditions in contemporary retail may differ substantially. The model should be periodically retrained on current data before deployment.</w:t>
      </w:r>
    </w:p>
    <w:p w14:paraId="5678D728">
      <w:pPr>
        <w:pStyle w:val="23"/>
        <w:spacing w:before="20" w:after="40"/>
        <w:ind w:left="340"/>
      </w:pPr>
      <w:r>
        <w:rPr>
          <w:rFonts w:ascii="Calibri" w:hAnsi="Calibri"/>
          <w:color w:val="404040"/>
          <w:sz w:val="21"/>
        </w:rPr>
        <w:t>No cost-of-goods column: Profit is provided as a pre-computed value. The methodology used to calculate it (whether fully allocated or contribution margin) is not documented in the dataset. This limits the ability to validate profit figures independently or to decompose loss drivers into cost versus revenue components.</w:t>
      </w:r>
    </w:p>
    <w:p w14:paraId="74E2F816">
      <w:pPr>
        <w:pStyle w:val="23"/>
        <w:spacing w:before="20" w:after="40"/>
        <w:ind w:left="340"/>
      </w:pPr>
      <w:r>
        <w:rPr>
          <w:rFonts w:ascii="Calibri" w:hAnsi="Calibri"/>
          <w:color w:val="404040"/>
          <w:sz w:val="21"/>
        </w:rPr>
        <w:t>Geographic granularity: City and State-level analysis is unreliable because 438 ZIP codes have lost their leading zeros. Region is the finest reliable geographic dimension available.</w:t>
      </w:r>
    </w:p>
    <w:p w14:paraId="42546D09">
      <w:pPr>
        <w:pStyle w:val="23"/>
        <w:spacing w:before="20" w:after="40"/>
        <w:ind w:left="340"/>
      </w:pPr>
      <w:r>
        <w:rPr>
          <w:rFonts w:ascii="Calibri" w:hAnsi="Calibri"/>
          <w:color w:val="404040"/>
          <w:sz w:val="21"/>
        </w:rPr>
        <w:t>Customer behaviour: Customer ID, purchase history, and lifetime value were excluded from the baseline model as raw identifiers. A richer model incorporating customer-level features (e.g. historical loss rate per customer, average discount requested) could improve predictive performance.</w:t>
      </w:r>
    </w:p>
    <w:p w14:paraId="3BE7D4A7">
      <w:pPr>
        <w:pStyle w:val="23"/>
        <w:spacing w:before="20" w:after="40"/>
        <w:ind w:left="340"/>
      </w:pPr>
      <w:r>
        <w:rPr>
          <w:rFonts w:ascii="Calibri" w:hAnsi="Calibri"/>
          <w:color w:val="404040"/>
          <w:sz w:val="21"/>
        </w:rPr>
        <w:t>Single dataset: All analysis is based on one retailer's data. The discount thresholds and sub-category risk patterns identified here are specific to this store's cost structure and may not generalise to other retailers.</w:t>
      </w:r>
    </w:p>
    <w:p w14:paraId="47D5D11A">
      <w:pPr>
        <w:pStyle w:val="23"/>
        <w:spacing w:before="20" w:after="40"/>
        <w:ind w:left="340"/>
      </w:pPr>
      <w:r>
        <w:rPr>
          <w:rFonts w:ascii="Calibri" w:hAnsi="Calibri"/>
          <w:color w:val="404040"/>
          <w:sz w:val="21"/>
        </w:rPr>
        <w:t>Model interpretability: While feature importance from the Random Forest provides high-level interpretability, individual prediction explanations (e.g. SHAP values) were not computed in this project. These would be valuable for communicating specific order-level rationale to business users.</w:t>
      </w:r>
    </w:p>
    <w:p w14:paraId="70C3A264">
      <w:pPr>
        <w:pStyle w:val="23"/>
        <w:spacing w:before="20" w:after="40"/>
        <w:ind w:left="340"/>
      </w:pPr>
      <w:r>
        <w:rPr>
          <w:rFonts w:ascii="Calibri" w:hAnsi="Calibri"/>
          <w:color w:val="404040"/>
          <w:sz w:val="21"/>
        </w:rPr>
        <w:t>Near-deterministic target: The extremely high ROC-AUC (&gt;0.98) partly reflects the near-deterministic relationship between Discount ≥ 0.4 and Loss = 1. In a real-world setting with more cost variability, this signal would be weaker and model performance would be more modest.</w:t>
      </w:r>
    </w:p>
    <w:p w14:paraId="1C39CF44">
      <w:pPr>
        <w:spacing w:before="360" w:after="120"/>
      </w:pPr>
      <w:r>
        <w:rPr>
          <w:rFonts w:ascii="Calibri" w:hAnsi="Calibri"/>
          <w:b/>
          <w:color w:val="1F4E79"/>
          <w:sz w:val="30"/>
        </w:rPr>
        <w:t>25. Future Improvements</w:t>
      </w:r>
    </w:p>
    <w:p w14:paraId="70D11DC5">
      <w:pPr>
        <w:pBdr>
          <w:bottom w:val="single" w:color="1F4E79" w:sz="8" w:space="1"/>
        </w:pBdr>
        <w:spacing w:after="40"/>
      </w:pPr>
    </w:p>
    <w:p w14:paraId="21700601">
      <w:pPr>
        <w:pStyle w:val="23"/>
        <w:spacing w:before="20" w:after="40"/>
        <w:ind w:left="340"/>
      </w:pPr>
      <w:r>
        <w:rPr>
          <w:rFonts w:ascii="Calibri" w:hAnsi="Calibri"/>
          <w:color w:val="404040"/>
          <w:sz w:val="21"/>
        </w:rPr>
        <w:t>SHAP value integration: Implement SHAP (SHapley Additive exPlanations) to provide per-prediction feature contribution explanations, enabling sales managers to understand exactly why a specific order was flagged as high-risk.</w:t>
      </w:r>
    </w:p>
    <w:p w14:paraId="61A31C84">
      <w:pPr>
        <w:pStyle w:val="23"/>
        <w:spacing w:before="20" w:after="40"/>
        <w:ind w:left="340"/>
      </w:pPr>
      <w:r>
        <w:rPr>
          <w:rFonts w:ascii="Calibri" w:hAnsi="Calibri"/>
          <w:color w:val="404040"/>
          <w:sz w:val="21"/>
        </w:rPr>
        <w:t>Customer-level features: Engineer customer history features — historical loss rate, average discount requested, CLV — and incorporate them as additional predictors to capture customer-specific risk patterns.</w:t>
      </w:r>
    </w:p>
    <w:p w14:paraId="4989F115">
      <w:pPr>
        <w:pStyle w:val="23"/>
        <w:spacing w:before="20" w:after="40"/>
        <w:ind w:left="340"/>
      </w:pPr>
      <w:r>
        <w:rPr>
          <w:rFonts w:ascii="Calibri" w:hAnsi="Calibri"/>
          <w:color w:val="404040"/>
          <w:sz w:val="21"/>
        </w:rPr>
        <w:t>Real-time pipeline: Wrap the model in a REST API (FastAPI or Flask) to enable integration with order management systems, triggering automatic risk scores as orders are entered rather than requiring dashboard interaction.</w:t>
      </w:r>
    </w:p>
    <w:p w14:paraId="4BF29981">
      <w:pPr>
        <w:pStyle w:val="23"/>
        <w:spacing w:before="20" w:after="40"/>
        <w:ind w:left="340"/>
      </w:pPr>
      <w:r>
        <w:rPr>
          <w:rFonts w:ascii="Calibri" w:hAnsi="Calibri"/>
          <w:color w:val="404040"/>
          <w:sz w:val="21"/>
        </w:rPr>
        <w:t>Profit regression: In addition to the binary classifier, train a regression model to predict the exact profit dollar value. This would enable more precise expected loss computation and finer-grained intervention prioritisation.</w:t>
      </w:r>
    </w:p>
    <w:p w14:paraId="34F7D2C4">
      <w:pPr>
        <w:pStyle w:val="23"/>
        <w:spacing w:before="20" w:after="40"/>
        <w:ind w:left="340"/>
      </w:pPr>
      <w:r>
        <w:rPr>
          <w:rFonts w:ascii="Calibri" w:hAnsi="Calibri"/>
          <w:color w:val="404040"/>
          <w:sz w:val="21"/>
        </w:rPr>
        <w:t>Hyperparameter optimisation: Apply Bayesian optimisation or RandomizedSearchCV to tune the Random Forest hyperparameters, potentially improving recall on the minority class.</w:t>
      </w:r>
    </w:p>
    <w:p w14:paraId="225D6812">
      <w:pPr>
        <w:pStyle w:val="23"/>
        <w:spacing w:before="20" w:after="40"/>
        <w:ind w:left="340"/>
      </w:pPr>
      <w:r>
        <w:rPr>
          <w:rFonts w:ascii="Calibri" w:hAnsi="Calibri"/>
          <w:color w:val="404040"/>
          <w:sz w:val="21"/>
        </w:rPr>
        <w:t>Time-series validation: Replace the random 80/20 split with a time-ordered split (train on 2011–2013, test on 2014) to simulate a more realistic deployment scenario and test the model's ability to generalise to unseen future transactions.</w:t>
      </w:r>
    </w:p>
    <w:p w14:paraId="746E3D39">
      <w:pPr>
        <w:pStyle w:val="23"/>
        <w:spacing w:before="20" w:after="40"/>
        <w:ind w:left="340"/>
      </w:pPr>
      <w:r>
        <w:rPr>
          <w:rFonts w:ascii="Calibri" w:hAnsi="Calibri"/>
          <w:color w:val="404040"/>
          <w:sz w:val="21"/>
        </w:rPr>
        <w:t>Multi-class target: Extend Loss_Flag to a three-class target (High Loss / Marginal / Profitable) for finer intervention granularity.</w:t>
      </w:r>
    </w:p>
    <w:p w14:paraId="442FA6DF">
      <w:pPr>
        <w:pStyle w:val="23"/>
        <w:spacing w:before="20" w:after="40"/>
        <w:ind w:left="340"/>
      </w:pPr>
      <w:r>
        <w:rPr>
          <w:rFonts w:ascii="Calibri" w:hAnsi="Calibri"/>
          <w:color w:val="404040"/>
          <w:sz w:val="21"/>
        </w:rPr>
        <w:t>NLP on Product Name: Apply TF-IDF or sentence embeddings to the Product Name free-text column to capture product-level pricing signals not captured by the 17-value Sub-Category grouping.</w:t>
      </w:r>
    </w:p>
    <w:p w14:paraId="732199E4">
      <w:pPr>
        <w:spacing w:before="360" w:after="120"/>
      </w:pPr>
      <w:r>
        <w:rPr>
          <w:rFonts w:ascii="Calibri" w:hAnsi="Calibri"/>
          <w:b/>
          <w:color w:val="1F4E79"/>
          <w:sz w:val="30"/>
        </w:rPr>
        <w:t>26. Conclusion</w:t>
      </w:r>
    </w:p>
    <w:p w14:paraId="6B19BAB5">
      <w:pPr>
        <w:pBdr>
          <w:bottom w:val="single" w:color="1F4E79" w:sz="8" w:space="1"/>
        </w:pBdr>
        <w:spacing w:after="40"/>
      </w:pPr>
    </w:p>
    <w:p w14:paraId="551CADC2">
      <w:pPr>
        <w:spacing w:before="40" w:after="100"/>
      </w:pPr>
      <w:r>
        <w:rPr>
          <w:rFonts w:ascii="Calibri" w:hAnsi="Calibri"/>
          <w:color w:val="404040"/>
          <w:sz w:val="21"/>
        </w:rPr>
        <w:t>This project demonstrates that a data-driven approach to retail loss prevention is both feasible and highly effective when applied to transactional order data. The four-tier analytics framework — from descriptive statistics through to prescriptive intervention strategy — provides a complete pipeline from raw data to actionable business decision.</w:t>
      </w:r>
    </w:p>
    <w:p w14:paraId="4842DCFE">
      <w:pPr>
        <w:spacing w:before="40" w:after="100"/>
      </w:pPr>
      <w:r>
        <w:rPr>
          <w:rFonts w:ascii="Calibri" w:hAnsi="Calibri"/>
          <w:color w:val="404040"/>
          <w:sz w:val="21"/>
        </w:rPr>
        <w:t>The core finding is structurally simple but commercially significant: discount level is the dominant driver of transaction profitability, and enforcing discount guardrails by sub-category would address the majority of the 1,871 annual loss transactions. The Random Forest classifier quantifies this relationship with 93.95% accuracy and 98.49% ROC-AUC, providing a reliable, scalable tool for prospective loss prevention.</w:t>
      </w:r>
    </w:p>
    <w:p w14:paraId="4824DD3B">
      <w:pPr>
        <w:spacing w:before="40" w:after="100"/>
      </w:pPr>
      <w:r>
        <w:rPr>
          <w:rFonts w:ascii="Calibri" w:hAnsi="Calibri"/>
          <w:color w:val="404040"/>
          <w:sz w:val="21"/>
        </w:rPr>
        <w:t>The prescriptive analytics tier translates model output into a prioritised, resource-efficient action plan: reviewing just the top 500 highest-risk orders can prevent $125,406 of expected losses — 90% of total high-risk exposure — through targeted discount capping, pricing reviews, and order rejections.</w:t>
      </w:r>
    </w:p>
    <w:p w14:paraId="4947FBEC">
      <w:pPr>
        <w:spacing w:before="40" w:after="100"/>
      </w:pPr>
      <w:r>
        <w:rPr>
          <w:rFonts w:ascii="Calibri" w:hAnsi="Calibri"/>
          <w:color w:val="404040"/>
          <w:sz w:val="21"/>
        </w:rPr>
        <w:t>The project delivers five production artefacts: a complete Jupyter notebook (Rithika_SuperstoreRetailAnalytics.ipynb), a trained Random Forest model (models/loss_classifier.joblib), an interactive Streamlit dashboard (app.py), this project report, and a README with complete setup and run instructions.</w:t>
      </w:r>
    </w:p>
    <w:p w14:paraId="69985E41">
      <w:r>
        <w:br w:type="page"/>
      </w:r>
    </w:p>
    <w:p w14:paraId="1564D56F">
      <w:pPr>
        <w:spacing w:before="360" w:after="120"/>
      </w:pPr>
      <w:r>
        <w:rPr>
          <w:rFonts w:ascii="Calibri" w:hAnsi="Calibri"/>
          <w:b/>
          <w:color w:val="1F4E79"/>
          <w:sz w:val="30"/>
        </w:rPr>
        <w:t>27. References</w:t>
      </w:r>
    </w:p>
    <w:p w14:paraId="585CB36D">
      <w:pPr>
        <w:pBdr>
          <w:bottom w:val="single" w:color="1F4E79" w:sz="8" w:space="1"/>
        </w:pBdr>
        <w:spacing w:after="40"/>
      </w:pPr>
    </w:p>
    <w:p w14:paraId="775C4DF6">
      <w:pPr>
        <w:spacing w:before="60" w:after="80"/>
        <w:ind w:left="567" w:hanging="567"/>
      </w:pPr>
      <w:r>
        <w:rPr>
          <w:rFonts w:ascii="Calibri" w:hAnsi="Calibri"/>
          <w:b/>
          <w:color w:val="1F4E79"/>
          <w:sz w:val="20"/>
        </w:rPr>
        <w:t xml:space="preserve">[1] Dataset: </w:t>
      </w:r>
      <w:r>
        <w:rPr>
          <w:rFonts w:ascii="Calibri" w:hAnsi="Calibri"/>
          <w:color w:val="404040"/>
          <w:sz w:val="20"/>
        </w:rPr>
        <w:t>Superstore Sales Dataset. Fictional US retail order data (2011–2014). Accessed from project workspace: Superstore.csv.</w:t>
      </w:r>
    </w:p>
    <w:p w14:paraId="2B27CFC1">
      <w:pPr>
        <w:spacing w:before="60" w:after="80"/>
        <w:ind w:left="567" w:hanging="567"/>
      </w:pPr>
      <w:r>
        <w:rPr>
          <w:rFonts w:ascii="Calibri" w:hAnsi="Calibri"/>
          <w:b/>
          <w:color w:val="1F4E79"/>
          <w:sz w:val="20"/>
        </w:rPr>
        <w:t xml:space="preserve">[2] Scikit-learn: </w:t>
      </w:r>
      <w:r>
        <w:rPr>
          <w:rFonts w:ascii="Calibri" w:hAnsi="Calibri"/>
          <w:color w:val="404040"/>
          <w:sz w:val="20"/>
        </w:rPr>
        <w:t>Pedregosa, F. et al. (2011). Scikit-learn: Machine Learning in Python. Journal of Machine Learning Research, 12, 2825–2830. https://scikit-learn.org</w:t>
      </w:r>
    </w:p>
    <w:p w14:paraId="3159DC7B">
      <w:pPr>
        <w:spacing w:before="60" w:after="80"/>
        <w:ind w:left="567" w:hanging="567"/>
      </w:pPr>
      <w:r>
        <w:rPr>
          <w:rFonts w:ascii="Calibri" w:hAnsi="Calibri"/>
          <w:b/>
          <w:color w:val="1F4E79"/>
          <w:sz w:val="20"/>
        </w:rPr>
        <w:t xml:space="preserve">[3] Random Forest: </w:t>
      </w:r>
      <w:r>
        <w:rPr>
          <w:rFonts w:ascii="Calibri" w:hAnsi="Calibri"/>
          <w:color w:val="404040"/>
          <w:sz w:val="20"/>
        </w:rPr>
        <w:t>Breiman, L. (2001). Random Forests. Machine Learning, 45(1), 5–32. Springer.</w:t>
      </w:r>
    </w:p>
    <w:p w14:paraId="5F6C2B74">
      <w:pPr>
        <w:spacing w:before="60" w:after="80"/>
        <w:ind w:left="567" w:hanging="567"/>
      </w:pPr>
      <w:r>
        <w:rPr>
          <w:rFonts w:ascii="Calibri" w:hAnsi="Calibri"/>
          <w:b/>
          <w:color w:val="1F4E79"/>
          <w:sz w:val="20"/>
        </w:rPr>
        <w:t xml:space="preserve">[4] Pandas: </w:t>
      </w:r>
      <w:r>
        <w:rPr>
          <w:rFonts w:ascii="Calibri" w:hAnsi="Calibri"/>
          <w:color w:val="404040"/>
          <w:sz w:val="20"/>
        </w:rPr>
        <w:t>McKinney, W. (2010). Data Structures for Statistical Computing in Python. Proceedings of the 9th Python in Science Conference, 51–56.</w:t>
      </w:r>
    </w:p>
    <w:p w14:paraId="53CBFA00">
      <w:pPr>
        <w:spacing w:before="60" w:after="80"/>
        <w:ind w:left="567" w:hanging="567"/>
      </w:pPr>
      <w:r>
        <w:rPr>
          <w:rFonts w:ascii="Calibri" w:hAnsi="Calibri"/>
          <w:b/>
          <w:color w:val="1F4E79"/>
          <w:sz w:val="20"/>
        </w:rPr>
        <w:t xml:space="preserve">[5] Matplotlib: </w:t>
      </w:r>
      <w:r>
        <w:rPr>
          <w:rFonts w:ascii="Calibri" w:hAnsi="Calibri"/>
          <w:color w:val="404040"/>
          <w:sz w:val="20"/>
        </w:rPr>
        <w:t>Hunter, J.D. (2007). Matplotlib: A 2D Graphics Environment. Computing in Science and Engineering, 9(3), 90–95.</w:t>
      </w:r>
    </w:p>
    <w:p w14:paraId="5342AB50">
      <w:pPr>
        <w:spacing w:before="60" w:after="80"/>
        <w:ind w:left="567" w:hanging="567"/>
      </w:pPr>
      <w:r>
        <w:rPr>
          <w:rFonts w:ascii="Calibri" w:hAnsi="Calibri"/>
          <w:b/>
          <w:color w:val="1F4E79"/>
          <w:sz w:val="20"/>
        </w:rPr>
        <w:t xml:space="preserve">[6] Seaborn: </w:t>
      </w:r>
      <w:r>
        <w:rPr>
          <w:rFonts w:ascii="Calibri" w:hAnsi="Calibri"/>
          <w:color w:val="404040"/>
          <w:sz w:val="20"/>
        </w:rPr>
        <w:t>Waskom, M.L. (2021). Seaborn: Statistical Data Visualization. Journal of Open Source Software, 6(60), 3021.</w:t>
      </w:r>
    </w:p>
    <w:p w14:paraId="3FB309AF">
      <w:pPr>
        <w:spacing w:before="60" w:after="80"/>
        <w:ind w:left="567" w:hanging="567"/>
      </w:pPr>
      <w:r>
        <w:rPr>
          <w:rFonts w:ascii="Calibri" w:hAnsi="Calibri"/>
          <w:b/>
          <w:color w:val="1F4E79"/>
          <w:sz w:val="20"/>
        </w:rPr>
        <w:t xml:space="preserve">[7] Streamlit: </w:t>
      </w:r>
      <w:r>
        <w:rPr>
          <w:rFonts w:ascii="Calibri" w:hAnsi="Calibri"/>
          <w:color w:val="404040"/>
          <w:sz w:val="20"/>
        </w:rPr>
        <w:t>Streamlit Inc. (2023). Streamlit: The fastest way to build and share data apps. https://streamlit.io</w:t>
      </w:r>
    </w:p>
    <w:p w14:paraId="52874E72">
      <w:pPr>
        <w:spacing w:before="60" w:after="80"/>
        <w:ind w:left="567" w:hanging="567"/>
      </w:pPr>
      <w:r>
        <w:rPr>
          <w:rFonts w:ascii="Calibri" w:hAnsi="Calibri"/>
          <w:b/>
          <w:color w:val="1F4E79"/>
          <w:sz w:val="20"/>
        </w:rPr>
        <w:t xml:space="preserve">[8] SMOTE / Imbalanced Learning: </w:t>
      </w:r>
      <w:r>
        <w:rPr>
          <w:rFonts w:ascii="Calibri" w:hAnsi="Calibri"/>
          <w:color w:val="404040"/>
          <w:sz w:val="20"/>
        </w:rPr>
        <w:t>Lemaître, G., Nogueira, F., &amp; Aridas, C.K. (2017). Imbalanced-learn: A Python Toolbox to Tackle the Curse of Imbalanced Datasets in Machine Learning. JMLR, 18(17), 1–5.</w:t>
      </w:r>
    </w:p>
    <w:p w14:paraId="2BD95D62">
      <w:pPr>
        <w:spacing w:before="60" w:after="80"/>
        <w:ind w:left="567" w:hanging="567"/>
      </w:pPr>
      <w:r>
        <w:rPr>
          <w:rFonts w:ascii="Calibri" w:hAnsi="Calibri"/>
          <w:b/>
          <w:color w:val="1F4E79"/>
          <w:sz w:val="20"/>
        </w:rPr>
        <w:t xml:space="preserve">[9] IBM DS Certificate: </w:t>
      </w:r>
      <w:r>
        <w:rPr>
          <w:rFonts w:ascii="Calibri" w:hAnsi="Calibri"/>
          <w:color w:val="404040"/>
          <w:sz w:val="20"/>
        </w:rPr>
        <w:t>IBM. (2023). IBM Data Science Professional Certificate. Coursera. https://www.coursera.org/professional-certificates/ibm-data-science</w:t>
      </w:r>
    </w:p>
    <w:p w14:paraId="4CE036A4">
      <w:pPr>
        <w:spacing w:before="60" w:after="80"/>
        <w:ind w:left="567" w:hanging="567"/>
      </w:pPr>
      <w:r>
        <w:rPr>
          <w:rFonts w:ascii="Calibri" w:hAnsi="Calibri"/>
          <w:b/>
          <w:color w:val="1F4E79"/>
          <w:sz w:val="20"/>
        </w:rPr>
        <w:t xml:space="preserve">[10] Analytics Framework: </w:t>
      </w:r>
      <w:r>
        <w:rPr>
          <w:rFonts w:ascii="Calibri" w:hAnsi="Calibri"/>
          <w:color w:val="404040"/>
          <w:sz w:val="20"/>
        </w:rPr>
        <w:t>Gartner. (2012). The Four Levels of Analytics: Descriptive, Diagnostic, Predictive, Prescriptive. Gartner Research.</w:t>
      </w:r>
    </w:p>
    <w:p w14:paraId="509D1AB4">
      <w:pPr>
        <w:spacing w:after="240"/>
      </w:pPr>
    </w:p>
    <w:p w14:paraId="36163F29">
      <w:pPr>
        <w:pBdr>
          <w:bottom w:val="single" w:color="1F4E79" w:sz="6" w:space="1"/>
        </w:pBdr>
        <w:spacing w:after="40"/>
      </w:pPr>
    </w:p>
    <w:p w14:paraId="0E81E496">
      <w:pPr>
        <w:spacing w:before="160"/>
        <w:jc w:val="center"/>
      </w:pPr>
      <w:r>
        <w:rPr>
          <w:rFonts w:ascii="Calibri" w:hAnsi="Calibri"/>
          <w:i/>
          <w:color w:val="707070"/>
          <w:sz w:val="18"/>
        </w:rPr>
        <w:t>Rithika  ·  Superstore Retail Sales Analytics and Profitability Prediction  ·  IBM Data Science Project</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4AB2"/>
    <w:rsid w:val="00326F90"/>
    <w:rsid w:val="00AA1D8D"/>
    <w:rsid w:val="00B47730"/>
    <w:rsid w:val="00CB0664"/>
    <w:rsid w:val="00EC31BC"/>
    <w:rsid w:val="00FB4A96"/>
    <w:rsid w:val="00FC693F"/>
    <w:rsid w:val="37402A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3099</Words>
  <Characters>18599</Characters>
  <Lines>267</Lines>
  <Paragraphs>75</Paragraphs>
  <TotalTime>3</TotalTime>
  <ScaleCrop>false</ScaleCrop>
  <LinksUpToDate>false</LinksUpToDate>
  <CharactersWithSpaces>21221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rithika kannan</cp:lastModifiedBy>
  <dcterms:modified xsi:type="dcterms:W3CDTF">2026-09-19T11:43:41Z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eyJoZGlkIjoiMzkwNTA4NzMzMjVhYWI1ODI2YWZlZjY1MjNkZGM3ZWIiLCJ1c2VySWQiOiI1Njc2MDMzODk1NDQifQ==</vt:lpwstr>
  </property>
  <property fmtid="{D5CDD505-2E9C-101B-9397-08002B2CF9AE}" pid="3" name="KSOProductBuildVer">
    <vt:lpwstr>1033-12.1.0.27458</vt:lpwstr>
  </property>
  <property fmtid="{D5CDD505-2E9C-101B-9397-08002B2CF9AE}" pid="4" name="ICV">
    <vt:lpwstr>4933B96CF9E84670ADF6357576E42EE2_12</vt:lpwstr>
  </property>
</Properties>
</file>