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4F46E5"/>
          <w:sz w:val="18"/>
        </w:rPr>
        <w:t>ACADEMIC &amp; INDUSTRY TECHNICAL DOCUMENTATION • 2025–2026</w:t>
      </w:r>
    </w:p>
    <w:p>
      <w:pPr>
        <w:spacing w:after="160"/>
      </w:pPr>
      <w:r>
        <w:rPr>
          <w:rFonts w:ascii="Calibri" w:hAnsi="Calibri"/>
          <w:b/>
          <w:color w:val="0F172A"/>
          <w:sz w:val="52"/>
        </w:rPr>
        <w:t>Next-Gen AI Employee Preparation &amp;</w:t>
        <w:br/>
        <w:t>Placement Readiness Platform</w:t>
      </w:r>
    </w:p>
    <w:p>
      <w:pPr>
        <w:spacing w:after="360"/>
      </w:pPr>
      <w:r>
        <w:rPr>
          <w:i/>
          <w:color w:val="475569"/>
          <w:sz w:val="26"/>
        </w:rPr>
        <w:t>Comprehensive Final Project Report, System Architecture Blueprint &amp; Viva Defense Guide</w:t>
      </w:r>
    </w:p>
    <w:tbl>
      <w:tblPr>
        <w:tblW w:type="auto" w:w="0"/>
        <w:jc w:val="center"/>
        <w:tblLayout w:type="fixed"/>
        <w:tblLook w:firstColumn="1" w:firstRow="1" w:lastColumn="0" w:lastRow="0" w:noHBand="0" w:noVBand="1" w:val="04A0"/>
      </w:tblPr>
      <w:tblGrid>
        <w:gridCol w:w="4680"/>
        <w:gridCol w:w="4680"/>
      </w:tblGrid>
      <w:tr>
        <w:tc>
          <w:tcPr>
            <w:tcW w:type="dxa" w:w="4608"/>
            <w:shd w:fill="F8FAFC"/>
            <w:tcMar>
              <w:top w:w="80" w:type="dxa"/>
              <w:bottom w:w="80" w:type="dxa"/>
              <w:left w:w="120" w:type="dxa"/>
              <w:right w:w="120" w:type="dxa"/>
            </w:tcMar>
          </w:tcPr>
          <w:p>
            <w:pPr>
              <w:spacing w:after="40"/>
            </w:pPr>
            <w:r>
              <w:rPr>
                <w:b/>
                <w:color w:val="475569"/>
                <w:sz w:val="17"/>
              </w:rPr>
              <w:t>SYSTEM VERSION</w:t>
              <w:br/>
            </w:r>
            <w:r>
              <w:rPr>
                <w:b/>
                <w:color w:val="0F172A"/>
                <w:sz w:val="20"/>
              </w:rPr>
              <w:t>v2.0 (2026 Enterprise Edition)</w:t>
            </w:r>
          </w:p>
        </w:tc>
        <w:tc>
          <w:tcPr>
            <w:tcW w:type="dxa" w:w="4608"/>
            <w:shd w:fill="F8FAFC"/>
            <w:tcMar>
              <w:top w:w="80" w:type="dxa"/>
              <w:bottom w:w="80" w:type="dxa"/>
              <w:left w:w="120" w:type="dxa"/>
              <w:right w:w="120" w:type="dxa"/>
            </w:tcMar>
          </w:tcPr>
          <w:p>
            <w:pPr>
              <w:spacing w:after="40"/>
            </w:pPr>
            <w:r>
              <w:rPr>
                <w:b/>
                <w:color w:val="475569"/>
                <w:sz w:val="17"/>
              </w:rPr>
              <w:t>ACADEMIC YEAR</w:t>
              <w:br/>
            </w:r>
            <w:r>
              <w:rPr>
                <w:b/>
                <w:color w:val="0F172A"/>
                <w:sz w:val="20"/>
              </w:rPr>
              <w:t>2025 – 2026</w:t>
            </w:r>
          </w:p>
        </w:tc>
      </w:tr>
      <w:tr>
        <w:tc>
          <w:tcPr>
            <w:tcW w:type="dxa" w:w="4608"/>
            <w:shd w:fill="F8FAFC"/>
            <w:tcMar>
              <w:top w:w="80" w:type="dxa"/>
              <w:bottom w:w="80" w:type="dxa"/>
              <w:left w:w="120" w:type="dxa"/>
              <w:right w:w="120" w:type="dxa"/>
            </w:tcMar>
          </w:tcPr>
          <w:p>
            <w:pPr>
              <w:spacing w:after="40"/>
            </w:pPr>
            <w:r>
              <w:rPr>
                <w:b/>
                <w:color w:val="475569"/>
                <w:sz w:val="17"/>
              </w:rPr>
              <w:t>ARCHITECTURE</w:t>
              <w:br/>
            </w:r>
            <w:r>
              <w:rPr>
                <w:b/>
                <w:color w:val="0F172A"/>
                <w:sz w:val="20"/>
              </w:rPr>
              <w:t>Dual Flask WSGI (5000) &amp; FastAPI ASGI (8000)</w:t>
            </w:r>
          </w:p>
        </w:tc>
        <w:tc>
          <w:tcPr>
            <w:tcW w:type="dxa" w:w="4608"/>
            <w:shd w:fill="F8FAFC"/>
            <w:tcMar>
              <w:top w:w="80" w:type="dxa"/>
              <w:bottom w:w="80" w:type="dxa"/>
              <w:left w:w="120" w:type="dxa"/>
              <w:right w:w="120" w:type="dxa"/>
            </w:tcMar>
          </w:tcPr>
          <w:p>
            <w:pPr>
              <w:spacing w:after="40"/>
            </w:pPr>
            <w:r>
              <w:rPr>
                <w:b/>
                <w:color w:val="475569"/>
                <w:sz w:val="17"/>
              </w:rPr>
              <w:t>DATABASE</w:t>
              <w:br/>
            </w:r>
            <w:r>
              <w:rPr>
                <w:b/>
                <w:color w:val="0F172A"/>
                <w:sz w:val="20"/>
              </w:rPr>
              <w:t>SQLite3 Relational &amp; SQLAlchemy ORM</w:t>
            </w:r>
          </w:p>
        </w:tc>
      </w:tr>
      <w:tr>
        <w:tc>
          <w:tcPr>
            <w:tcW w:type="dxa" w:w="4608"/>
            <w:shd w:fill="F8FAFC"/>
            <w:tcMar>
              <w:top w:w="80" w:type="dxa"/>
              <w:bottom w:w="80" w:type="dxa"/>
              <w:left w:w="120" w:type="dxa"/>
              <w:right w:w="120" w:type="dxa"/>
            </w:tcMar>
          </w:tcPr>
          <w:p>
            <w:pPr>
              <w:spacing w:after="40"/>
            </w:pPr>
            <w:r>
              <w:rPr>
                <w:b/>
                <w:color w:val="475569"/>
                <w:sz w:val="17"/>
              </w:rPr>
              <w:t>FRONTEND TECH STACK</w:t>
              <w:br/>
            </w:r>
            <w:r>
              <w:rPr>
                <w:b/>
                <w:color w:val="0F172A"/>
                <w:sz w:val="20"/>
              </w:rPr>
              <w:t>Semantic HTML5, CSS3 Tokens, Vanilla JS (ES6+)</w:t>
            </w:r>
          </w:p>
        </w:tc>
        <w:tc>
          <w:tcPr>
            <w:tcW w:type="dxa" w:w="4608"/>
            <w:shd w:fill="F8FAFC"/>
            <w:tcMar>
              <w:top w:w="80" w:type="dxa"/>
              <w:bottom w:w="80" w:type="dxa"/>
              <w:left w:w="120" w:type="dxa"/>
              <w:right w:w="120" w:type="dxa"/>
            </w:tcMar>
          </w:tcPr>
          <w:p>
            <w:pPr>
              <w:spacing w:after="40"/>
            </w:pPr>
            <w:r>
              <w:rPr>
                <w:b/>
                <w:color w:val="475569"/>
                <w:sz w:val="17"/>
              </w:rPr>
              <w:t>TEST SUITE VERIFICATION</w:t>
              <w:br/>
            </w:r>
            <w:r>
              <w:rPr>
                <w:b/>
                <w:color w:val="0F172A"/>
                <w:sz w:val="20"/>
              </w:rPr>
              <w:t>100% Passed (7/7 Suites Verified)</w:t>
            </w:r>
          </w:p>
        </w:tc>
      </w:tr>
    </w:tbl>
    <w:p>
      <w:pPr>
        <w:spacing w:after="280"/>
      </w:pPr>
    </w:p>
    <w:p>
      <w:pPr>
        <w:spacing w:before="360" w:after="120"/>
      </w:pPr>
      <w:r>
        <w:rPr>
          <w:rFonts w:ascii="Calibri" w:hAnsi="Calibri"/>
          <w:b/>
          <w:color w:val="1E1B4B"/>
          <w:sz w:val="32"/>
        </w:rPr>
        <w:t>1. Abstract &amp; Executive Summary</w:t>
      </w:r>
    </w:p>
    <w:p>
      <w:r>
        <w:t>In the contemporary hiring landscape of 2026, traditional candidate preparation methodologies have become severely disconnected from enterprise evaluation standards. Tier-1 enterprise recruiters—including Google, Microsoft, Amazon, Tata Consultancy Services (TCS), and Infosys—have fundamentally transformed their screening funnels.</w:t>
      </w:r>
    </w:p>
    <w:p>
      <w:r>
        <w:t>Over 75% of candidate resumes are filtered out by algorithmic Applicant Tracking Systems (ATS) prior to human evaluation due to parsing errors or keyword deficits. Furthermore, top organizations now conduct dedicated 'AI Fluency' rounds to evaluate how developers prompt and verify AI coding tools with automated test suites.</w:t>
      </w:r>
    </w:p>
    <w:p>
      <w:r>
        <w:t>The AI Employee Preparation &amp; Placement Readiness Platform is an integrated career preparation system. It introduces an objective 5-Pillar Readiness Score Engine, enterprise-calibrated smart roadmaps, single-column ATS resume engineering with AI STAR bullet enhancement, a 60-second verbal pitch builder, and a comprehensive real-time Admin CMS.</w:t>
      </w:r>
    </w:p>
    <w:p>
      <w:pPr>
        <w:spacing w:before="360" w:after="120"/>
      </w:pPr>
      <w:r>
        <w:rPr>
          <w:rFonts w:ascii="Calibri" w:hAnsi="Calibri"/>
          <w:b/>
          <w:color w:val="1E1B4B"/>
          <w:sz w:val="32"/>
        </w:rPr>
        <w:t>2. Problem Statement &amp; Objectives</w:t>
      </w:r>
    </w:p>
    <w:tbl>
      <w:tblPr>
        <w:tblW w:type="auto" w:w="0"/>
        <w:jc w:val="center"/>
        <w:tblLook w:firstColumn="1" w:firstRow="1" w:lastColumn="0" w:lastRow="0" w:noHBand="0" w:noVBand="1" w:val="04A0"/>
      </w:tblPr>
      <w:tblGrid>
        <w:gridCol w:w="9360"/>
      </w:tblGrid>
      <w:tr>
        <w:tc>
          <w:tcPr>
            <w:tcW w:type="dxa" w:w="9360"/>
            <w:shd w:fill="EEF2FF"/>
            <w:tcMar>
              <w:top w:w="120" w:type="dxa"/>
              <w:bottom w:w="120" w:type="dxa"/>
              <w:left w:w="160" w:type="dxa"/>
              <w:right w:w="160" w:type="dxa"/>
            </w:tcMar>
          </w:tcPr>
          <w:p>
            <w:pPr>
              <w:spacing w:after="40"/>
            </w:pPr>
            <w:r>
              <w:rPr>
                <w:b/>
                <w:color w:val="1E1B4B"/>
                <w:sz w:val="21"/>
              </w:rPr>
              <w:t>📌 The Core Preparation Bottleneck</w:t>
              <w:br/>
            </w:r>
            <w:r>
              <w:rPr>
                <w:color w:val="334155"/>
                <w:sz w:val="20"/>
              </w:rPr>
              <w:t>Students currently juggle fragmented tools: LeetCode for coding, IndiaBIX for aptitude, and Canva for unparsable multi-column resumes. As a result, candidates lack holistic visibility into their true readiness and fail first-round screenings.</w:t>
            </w:r>
          </w:p>
        </w:tc>
      </w:tr>
    </w:tbl>
    <w:p>
      <w:pPr>
        <w:spacing w:after="120"/>
      </w:pPr>
    </w:p>
    <w:p>
      <w:r>
        <w:t>Key Project Objectives:</w:t>
      </w:r>
    </w:p>
    <w:p>
      <w:r>
        <w:t>• Consolidate quantitative aptitude, algorithmic coding, resume engineering, behavioral pitches, and AI fluency into a unified environment.</w:t>
      </w:r>
    </w:p>
    <w:p>
      <w:r>
        <w:t>• Provide a transparent 5-Pillar Readiness Score (0–100%) to measure true corporate employability.</w:t>
      </w:r>
    </w:p>
    <w:p>
      <w:r>
        <w:t>• Generate adaptive roadmaps tailored to specific target companies (e.g. TCS vs Amazon) across 7, 14, 30, or 60 days.</w:t>
      </w:r>
    </w:p>
    <w:p>
      <w:r>
        <w:t>• Provide single-column ATS templates compliant with 2026 enterprise parsers.</w:t>
      </w:r>
    </w:p>
    <w:p>
      <w:r>
        <w:t>• Deliver sub-100ms response times and zero-friction 1-click test logins for academic viva evaluators.</w:t>
      </w:r>
    </w:p>
    <w:p>
      <w:pPr>
        <w:spacing w:before="360" w:after="120"/>
      </w:pPr>
      <w:r>
        <w:rPr>
          <w:rFonts w:ascii="Calibri" w:hAnsi="Calibri"/>
          <w:b/>
          <w:color w:val="1E1B4B"/>
          <w:sz w:val="32"/>
        </w:rPr>
        <w:t>3. System Architecture &amp; Technical Design</w:t>
      </w:r>
    </w:p>
    <w:p>
      <w:r>
        <w:t>The platform utilizes a modular, layered client-server architecture with strict separation of presentation, business services, and relational data persistence.</w:t>
      </w:r>
    </w:p>
    <w:tbl>
      <w:tblPr>
        <w:tblW w:type="auto" w:w="0"/>
        <w:jc w:val="center"/>
        <w:tblLook w:firstColumn="1" w:firstRow="1" w:lastColumn="0" w:lastRow="0" w:noHBand="0" w:noVBand="1" w:val="04A0"/>
      </w:tblPr>
      <w:tblGrid>
        <w:gridCol w:w="4680"/>
        <w:gridCol w:w="4680"/>
      </w:tblGrid>
      <w:tr>
        <w:tc>
          <w:tcPr>
            <w:tcW w:type="dxa" w:w="3168"/>
            <w:shd w:fill="1E1B4B"/>
            <w:tcMar>
              <w:top w:w="70" w:type="dxa"/>
              <w:bottom w:w="70" w:type="dxa"/>
              <w:left w:w="100" w:type="dxa"/>
              <w:right w:w="100" w:type="dxa"/>
            </w:tcMar>
          </w:tcPr>
          <w:p>
            <w:r>
              <w:rPr>
                <w:b/>
                <w:color w:val="FFFFFF"/>
              </w:rPr>
              <w:t>Layer</w:t>
            </w:r>
          </w:p>
        </w:tc>
        <w:tc>
          <w:tcPr>
            <w:tcW w:type="dxa" w:w="6192"/>
            <w:shd w:fill="1E1B4B"/>
            <w:tcMar>
              <w:top w:w="70" w:type="dxa"/>
              <w:bottom w:w="70" w:type="dxa"/>
              <w:left w:w="100" w:type="dxa"/>
              <w:right w:w="100" w:type="dxa"/>
            </w:tcMar>
          </w:tcPr>
          <w:p>
            <w:r>
              <w:rPr>
                <w:b/>
                <w:color w:val="FFFFFF"/>
              </w:rPr>
              <w:t>Components &amp; Responsibilities</w:t>
            </w:r>
          </w:p>
        </w:tc>
      </w:tr>
      <w:tr>
        <w:tc>
          <w:tcPr>
            <w:tcW w:type="dxa" w:w="3168"/>
            <w:shd w:fill="F1F5F9"/>
            <w:tcMar>
              <w:top w:w="70" w:type="dxa"/>
              <w:bottom w:w="70" w:type="dxa"/>
              <w:left w:w="100" w:type="dxa"/>
              <w:right w:w="100" w:type="dxa"/>
            </w:tcMar>
          </w:tcPr>
          <w:p>
            <w:r>
              <w:rPr>
                <w:b/>
                <w:sz w:val="20"/>
              </w:rPr>
              <w:t>1. Presentation Layer</w:t>
            </w:r>
          </w:p>
        </w:tc>
        <w:tc>
          <w:tcPr>
            <w:tcW w:type="dxa" w:w="6192"/>
            <w:shd w:fill="F8FAFC"/>
            <w:tcMar>
              <w:top w:w="70" w:type="dxa"/>
              <w:bottom w:w="70" w:type="dxa"/>
              <w:left w:w="100" w:type="dxa"/>
              <w:right w:w="100" w:type="dxa"/>
            </w:tcMar>
          </w:tcPr>
          <w:p>
            <w:r>
              <w:rPr>
                <w:sz w:val="19"/>
              </w:rPr>
              <w:t>Semantic HTML5, Vanilla CSS3 Design Tokens (Dark Theme default), Modular ES6+ JavaScript Controllers. Zero heavy frontend framework dependencies for ultra-fast loading.</w:t>
            </w:r>
          </w:p>
        </w:tc>
      </w:tr>
      <w:tr>
        <w:tc>
          <w:tcPr>
            <w:tcW w:type="dxa" w:w="3168"/>
            <w:shd w:fill="FFFFFF"/>
            <w:tcMar>
              <w:top w:w="70" w:type="dxa"/>
              <w:bottom w:w="70" w:type="dxa"/>
              <w:left w:w="100" w:type="dxa"/>
              <w:right w:w="100" w:type="dxa"/>
            </w:tcMar>
          </w:tcPr>
          <w:p>
            <w:r>
              <w:rPr>
                <w:b/>
                <w:sz w:val="20"/>
              </w:rPr>
              <w:t>2. Application Server Layer</w:t>
            </w:r>
          </w:p>
        </w:tc>
        <w:tc>
          <w:tcPr>
            <w:tcW w:type="dxa" w:w="6192"/>
            <w:shd w:fill="FFFFFF"/>
            <w:tcMar>
              <w:top w:w="70" w:type="dxa"/>
              <w:bottom w:w="70" w:type="dxa"/>
              <w:left w:w="100" w:type="dxa"/>
              <w:right w:w="100" w:type="dxa"/>
            </w:tcMar>
          </w:tcPr>
          <w:p>
            <w:r>
              <w:rPr>
                <w:sz w:val="19"/>
              </w:rPr>
              <w:t>Dual engine capability: Flask WSGI running on Port 5000 (17 modular blueprints) and FastAPI ASGI running on Port 8000 via Uvicorn.</w:t>
            </w:r>
          </w:p>
        </w:tc>
      </w:tr>
      <w:tr>
        <w:tc>
          <w:tcPr>
            <w:tcW w:type="dxa" w:w="3168"/>
            <w:shd w:fill="F1F5F9"/>
            <w:tcMar>
              <w:top w:w="70" w:type="dxa"/>
              <w:bottom w:w="70" w:type="dxa"/>
              <w:left w:w="100" w:type="dxa"/>
              <w:right w:w="100" w:type="dxa"/>
            </w:tcMar>
          </w:tcPr>
          <w:p>
            <w:r>
              <w:rPr>
                <w:b/>
                <w:sz w:val="20"/>
              </w:rPr>
              <w:t>3. Business Logic Engines</w:t>
            </w:r>
          </w:p>
        </w:tc>
        <w:tc>
          <w:tcPr>
            <w:tcW w:type="dxa" w:w="6192"/>
            <w:shd w:fill="F8FAFC"/>
            <w:tcMar>
              <w:top w:w="70" w:type="dxa"/>
              <w:bottom w:w="70" w:type="dxa"/>
              <w:left w:w="100" w:type="dxa"/>
              <w:right w:w="100" w:type="dxa"/>
            </w:tcMar>
          </w:tcPr>
          <w:p>
            <w:r>
              <w:rPr>
                <w:sz w:val="19"/>
              </w:rPr>
              <w:t>5-Pillar Readiness Calculator, Enterprise Smart Roadmap Generator, ATS Resume &amp; STAR Bullet Rewriter, 2026 AI Fluency 4-Pillar Grader, 60s Speech Duration Meter, and Admin CMS.</w:t>
            </w:r>
          </w:p>
        </w:tc>
      </w:tr>
      <w:tr>
        <w:tc>
          <w:tcPr>
            <w:tcW w:type="dxa" w:w="3168"/>
            <w:shd w:fill="FFFFFF"/>
            <w:tcMar>
              <w:top w:w="70" w:type="dxa"/>
              <w:bottom w:w="70" w:type="dxa"/>
              <w:left w:w="100" w:type="dxa"/>
              <w:right w:w="100" w:type="dxa"/>
            </w:tcMar>
          </w:tcPr>
          <w:p>
            <w:r>
              <w:rPr>
                <w:b/>
                <w:sz w:val="20"/>
              </w:rPr>
              <w:t>4. Persistence Layer</w:t>
            </w:r>
          </w:p>
        </w:tc>
        <w:tc>
          <w:tcPr>
            <w:tcW w:type="dxa" w:w="6192"/>
            <w:shd w:fill="FFFFFF"/>
            <w:tcMar>
              <w:top w:w="70" w:type="dxa"/>
              <w:bottom w:w="70" w:type="dxa"/>
              <w:left w:w="100" w:type="dxa"/>
              <w:right w:w="100" w:type="dxa"/>
            </w:tcMar>
          </w:tcPr>
          <w:p>
            <w:r>
              <w:rPr>
                <w:sz w:val="19"/>
              </w:rPr>
              <w:t>SQLite3 relational database (backend/database/employees.db) with foreign key cascade enforcement, parameterized queries, and SQLAlchemy declarative models.</w:t>
            </w:r>
          </w:p>
        </w:tc>
      </w:tr>
    </w:tbl>
    <w:p>
      <w:pPr>
        <w:spacing w:after="200"/>
      </w:pPr>
    </w:p>
    <w:p>
      <w:pPr>
        <w:spacing w:before="360" w:after="120"/>
      </w:pPr>
      <w:r>
        <w:rPr>
          <w:rFonts w:ascii="Calibri" w:hAnsi="Calibri"/>
          <w:b/>
          <w:color w:val="1E1B4B"/>
          <w:sz w:val="32"/>
        </w:rPr>
        <w:t>4. Database Design &amp; Entity Relationship Models</w:t>
      </w:r>
    </w:p>
    <w:p>
      <w:r>
        <w:t>The relational database schema is normalized and enforces referential integrity across student profiles, assessments, roadmaps, and resume versions:</w:t>
      </w:r>
    </w:p>
    <w:tbl>
      <w:tblPr>
        <w:tblW w:type="auto" w:w="0"/>
        <w:jc w:val="center"/>
        <w:tblLook w:firstColumn="1" w:firstRow="1" w:lastColumn="0" w:lastRow="0" w:noHBand="0" w:noVBand="1" w:val="04A0"/>
      </w:tblPr>
      <w:tblGrid>
        <w:gridCol w:w="3120"/>
        <w:gridCol w:w="3120"/>
        <w:gridCol w:w="3120"/>
      </w:tblGrid>
      <w:tr>
        <w:tc>
          <w:tcPr>
            <w:tcW w:type="dxa" w:w="2592"/>
            <w:shd w:fill="312E81"/>
            <w:tcMar>
              <w:top w:w="60" w:type="dxa"/>
              <w:bottom w:w="60" w:type="dxa"/>
              <w:left w:w="90" w:type="dxa"/>
              <w:right w:w="90" w:type="dxa"/>
            </w:tcMar>
          </w:tcPr>
          <w:p>
            <w:r>
              <w:rPr>
                <w:b/>
                <w:color w:val="FFFFFF"/>
              </w:rPr>
              <w:t>Table Name</w:t>
            </w:r>
          </w:p>
        </w:tc>
        <w:tc>
          <w:tcPr>
            <w:tcW w:type="dxa" w:w="2592"/>
            <w:shd w:fill="312E81"/>
            <w:tcMar>
              <w:top w:w="60" w:type="dxa"/>
              <w:bottom w:w="60" w:type="dxa"/>
              <w:left w:w="90" w:type="dxa"/>
              <w:right w:w="90" w:type="dxa"/>
            </w:tcMar>
          </w:tcPr>
          <w:p>
            <w:r>
              <w:rPr>
                <w:b/>
                <w:color w:val="FFFFFF"/>
              </w:rPr>
              <w:t>Primary / Foreign Keys</w:t>
            </w:r>
          </w:p>
        </w:tc>
        <w:tc>
          <w:tcPr>
            <w:tcW w:type="dxa" w:w="4176"/>
            <w:shd w:fill="312E81"/>
            <w:tcMar>
              <w:top w:w="60" w:type="dxa"/>
              <w:bottom w:w="60" w:type="dxa"/>
              <w:left w:w="90" w:type="dxa"/>
              <w:right w:w="90" w:type="dxa"/>
            </w:tcMar>
          </w:tcPr>
          <w:p>
            <w:r>
              <w:rPr>
                <w:b/>
                <w:color w:val="FFFFFF"/>
              </w:rPr>
              <w:t>Description &amp; Attributes</w:t>
            </w:r>
          </w:p>
        </w:tc>
      </w:tr>
      <w:tr>
        <w:tc>
          <w:tcPr>
            <w:tcW w:type="dxa" w:w="2592"/>
            <w:shd w:fill="F8FAFC"/>
            <w:tcMar>
              <w:top w:w="60" w:type="dxa"/>
              <w:bottom w:w="60" w:type="dxa"/>
              <w:left w:w="90" w:type="dxa"/>
              <w:right w:w="90" w:type="dxa"/>
            </w:tcMar>
          </w:tcPr>
          <w:p>
            <w:r>
              <w:rPr>
                <w:b/>
              </w:rPr>
              <w:t>employees</w:t>
            </w:r>
          </w:p>
        </w:tc>
        <w:tc>
          <w:tcPr>
            <w:tcW w:type="dxa" w:w="2592"/>
            <w:shd w:fill="F8FAFC"/>
            <w:tcMar>
              <w:top w:w="60" w:type="dxa"/>
              <w:bottom w:w="60" w:type="dxa"/>
              <w:left w:w="90" w:type="dxa"/>
              <w:right w:w="90" w:type="dxa"/>
            </w:tcMar>
          </w:tcPr>
          <w:p>
            <w:r>
              <w:rPr>
                <w:sz w:val="19"/>
              </w:rPr>
              <w:t>PK: id</w:t>
            </w:r>
          </w:p>
        </w:tc>
        <w:tc>
          <w:tcPr>
            <w:tcW w:type="dxa" w:w="4176"/>
            <w:shd w:fill="F8FAFC"/>
            <w:tcMar>
              <w:top w:w="60" w:type="dxa"/>
              <w:bottom w:w="60" w:type="dxa"/>
              <w:left w:w="90" w:type="dxa"/>
              <w:right w:w="90" w:type="dxa"/>
            </w:tcMar>
          </w:tcPr>
          <w:p>
            <w:r>
              <w:rPr>
                <w:sz w:val="19"/>
              </w:rPr>
              <w:t>User account, hashed password, qualifications, target enterprise &amp; role, admin status.</w:t>
            </w:r>
          </w:p>
        </w:tc>
      </w:tr>
      <w:tr>
        <w:tc>
          <w:tcPr>
            <w:tcW w:type="dxa" w:w="2592"/>
            <w:shd w:fill="FFFFFF"/>
            <w:tcMar>
              <w:top w:w="60" w:type="dxa"/>
              <w:bottom w:w="60" w:type="dxa"/>
              <w:left w:w="90" w:type="dxa"/>
              <w:right w:w="90" w:type="dxa"/>
            </w:tcMar>
          </w:tcPr>
          <w:p>
            <w:r>
              <w:rPr>
                <w:b/>
              </w:rPr>
              <w:t>smart_roadmaps</w:t>
            </w:r>
          </w:p>
        </w:tc>
        <w:tc>
          <w:tcPr>
            <w:tcW w:type="dxa" w:w="2592"/>
            <w:shd w:fill="FFFFFF"/>
            <w:tcMar>
              <w:top w:w="60" w:type="dxa"/>
              <w:bottom w:w="60" w:type="dxa"/>
              <w:left w:w="90" w:type="dxa"/>
              <w:right w:w="90" w:type="dxa"/>
            </w:tcMar>
          </w:tcPr>
          <w:p>
            <w:r>
              <w:rPr>
                <w:sz w:val="19"/>
              </w:rPr>
              <w:t>PK: id | FK: employee_id</w:t>
            </w:r>
          </w:p>
        </w:tc>
        <w:tc>
          <w:tcPr>
            <w:tcW w:type="dxa" w:w="4176"/>
            <w:shd w:fill="FFFFFF"/>
            <w:tcMar>
              <w:top w:w="60" w:type="dxa"/>
              <w:bottom w:w="60" w:type="dxa"/>
              <w:left w:w="90" w:type="dxa"/>
              <w:right w:w="90" w:type="dxa"/>
            </w:tcMar>
          </w:tcPr>
          <w:p>
            <w:r>
              <w:rPr>
                <w:sz w:val="19"/>
              </w:rPr>
              <w:t>Company-specific roadmap metadata, total tasks, duration, progress %.</w:t>
            </w:r>
          </w:p>
        </w:tc>
      </w:tr>
      <w:tr>
        <w:tc>
          <w:tcPr>
            <w:tcW w:type="dxa" w:w="2592"/>
            <w:shd w:fill="F8FAFC"/>
            <w:tcMar>
              <w:top w:w="60" w:type="dxa"/>
              <w:bottom w:w="60" w:type="dxa"/>
              <w:left w:w="90" w:type="dxa"/>
              <w:right w:w="90" w:type="dxa"/>
            </w:tcMar>
          </w:tcPr>
          <w:p>
            <w:r>
              <w:rPr>
                <w:b/>
              </w:rPr>
              <w:t>roadmap_tasks</w:t>
            </w:r>
          </w:p>
        </w:tc>
        <w:tc>
          <w:tcPr>
            <w:tcW w:type="dxa" w:w="2592"/>
            <w:shd w:fill="F8FAFC"/>
            <w:tcMar>
              <w:top w:w="60" w:type="dxa"/>
              <w:bottom w:w="60" w:type="dxa"/>
              <w:left w:w="90" w:type="dxa"/>
              <w:right w:w="90" w:type="dxa"/>
            </w:tcMar>
          </w:tcPr>
          <w:p>
            <w:r>
              <w:rPr>
                <w:sz w:val="19"/>
              </w:rPr>
              <w:t>PK: id | FK: roadmap_id</w:t>
            </w:r>
          </w:p>
        </w:tc>
        <w:tc>
          <w:tcPr>
            <w:tcW w:type="dxa" w:w="4176"/>
            <w:shd w:fill="F8FAFC"/>
            <w:tcMar>
              <w:top w:w="60" w:type="dxa"/>
              <w:bottom w:w="60" w:type="dxa"/>
              <w:left w:w="90" w:type="dxa"/>
              <w:right w:w="90" w:type="dxa"/>
            </w:tcMar>
          </w:tcPr>
          <w:p>
            <w:r>
              <w:rPr>
                <w:sz w:val="19"/>
              </w:rPr>
              <w:t>Day-by-day tasks, phase name, time estimate, completion status.</w:t>
            </w:r>
          </w:p>
        </w:tc>
      </w:tr>
      <w:tr>
        <w:tc>
          <w:tcPr>
            <w:tcW w:type="dxa" w:w="2592"/>
            <w:shd w:fill="FFFFFF"/>
            <w:tcMar>
              <w:top w:w="60" w:type="dxa"/>
              <w:bottom w:w="60" w:type="dxa"/>
              <w:left w:w="90" w:type="dxa"/>
              <w:right w:w="90" w:type="dxa"/>
            </w:tcMar>
          </w:tcPr>
          <w:p>
            <w:r>
              <w:rPr>
                <w:b/>
              </w:rPr>
              <w:t>resume_versions</w:t>
            </w:r>
          </w:p>
        </w:tc>
        <w:tc>
          <w:tcPr>
            <w:tcW w:type="dxa" w:w="2592"/>
            <w:shd w:fill="FFFFFF"/>
            <w:tcMar>
              <w:top w:w="60" w:type="dxa"/>
              <w:bottom w:w="60" w:type="dxa"/>
              <w:left w:w="90" w:type="dxa"/>
              <w:right w:w="90" w:type="dxa"/>
            </w:tcMar>
          </w:tcPr>
          <w:p>
            <w:r>
              <w:rPr>
                <w:sz w:val="19"/>
              </w:rPr>
              <w:t>PK: id | FK: employee_id</w:t>
            </w:r>
          </w:p>
        </w:tc>
        <w:tc>
          <w:tcPr>
            <w:tcW w:type="dxa" w:w="4176"/>
            <w:shd w:fill="FFFFFF"/>
            <w:tcMar>
              <w:top w:w="60" w:type="dxa"/>
              <w:bottom w:w="60" w:type="dxa"/>
              <w:left w:w="90" w:type="dxa"/>
              <w:right w:w="90" w:type="dxa"/>
            </w:tcMar>
          </w:tcPr>
          <w:p>
            <w:r>
              <w:rPr>
                <w:sz w:val="19"/>
              </w:rPr>
              <w:t>Saved customized resumes, template ID, keyword match score %.</w:t>
            </w:r>
          </w:p>
        </w:tc>
      </w:tr>
      <w:tr>
        <w:tc>
          <w:tcPr>
            <w:tcW w:type="dxa" w:w="2592"/>
            <w:shd w:fill="F8FAFC"/>
            <w:tcMar>
              <w:top w:w="60" w:type="dxa"/>
              <w:bottom w:w="60" w:type="dxa"/>
              <w:left w:w="90" w:type="dxa"/>
              <w:right w:w="90" w:type="dxa"/>
            </w:tcMar>
          </w:tcPr>
          <w:p>
            <w:r>
              <w:rPr>
                <w:b/>
              </w:rPr>
              <w:t>ai_fluency_attempts</w:t>
            </w:r>
          </w:p>
        </w:tc>
        <w:tc>
          <w:tcPr>
            <w:tcW w:type="dxa" w:w="2592"/>
            <w:shd w:fill="F8FAFC"/>
            <w:tcMar>
              <w:top w:w="60" w:type="dxa"/>
              <w:bottom w:w="60" w:type="dxa"/>
              <w:left w:w="90" w:type="dxa"/>
              <w:right w:w="90" w:type="dxa"/>
            </w:tcMar>
          </w:tcPr>
          <w:p>
            <w:r>
              <w:rPr>
                <w:sz w:val="19"/>
              </w:rPr>
              <w:t>PK: id | FK: employee_id</w:t>
            </w:r>
          </w:p>
        </w:tc>
        <w:tc>
          <w:tcPr>
            <w:tcW w:type="dxa" w:w="4176"/>
            <w:shd w:fill="F8FAFC"/>
            <w:tcMar>
              <w:top w:w="60" w:type="dxa"/>
              <w:bottom w:w="60" w:type="dxa"/>
              <w:left w:w="90" w:type="dxa"/>
              <w:right w:w="90" w:type="dxa"/>
            </w:tcMar>
          </w:tcPr>
          <w:p>
            <w:r>
              <w:rPr>
                <w:sz w:val="19"/>
              </w:rPr>
              <w:t>Candidate AI interview responses, 4-pillar sub-scores, feedback, rewrite.</w:t>
            </w:r>
          </w:p>
        </w:tc>
      </w:tr>
      <w:tr>
        <w:tc>
          <w:tcPr>
            <w:tcW w:type="dxa" w:w="2592"/>
            <w:shd w:fill="FFFFFF"/>
            <w:tcMar>
              <w:top w:w="60" w:type="dxa"/>
              <w:bottom w:w="60" w:type="dxa"/>
              <w:left w:w="90" w:type="dxa"/>
              <w:right w:w="90" w:type="dxa"/>
            </w:tcMar>
          </w:tcPr>
          <w:p>
            <w:r>
              <w:rPr>
                <w:b/>
              </w:rPr>
              <w:t>structured_answers</w:t>
            </w:r>
          </w:p>
        </w:tc>
        <w:tc>
          <w:tcPr>
            <w:tcW w:type="dxa" w:w="2592"/>
            <w:shd w:fill="FFFFFF"/>
            <w:tcMar>
              <w:top w:w="60" w:type="dxa"/>
              <w:bottom w:w="60" w:type="dxa"/>
              <w:left w:w="90" w:type="dxa"/>
              <w:right w:w="90" w:type="dxa"/>
            </w:tcMar>
          </w:tcPr>
          <w:p>
            <w:r>
              <w:rPr>
                <w:sz w:val="19"/>
              </w:rPr>
              <w:t>PK: id | FK: employee_id</w:t>
            </w:r>
          </w:p>
        </w:tc>
        <w:tc>
          <w:tcPr>
            <w:tcW w:type="dxa" w:w="4176"/>
            <w:shd w:fill="FFFFFF"/>
            <w:tcMar>
              <w:top w:w="60" w:type="dxa"/>
              <w:bottom w:w="60" w:type="dxa"/>
              <w:left w:w="90" w:type="dxa"/>
              <w:right w:w="90" w:type="dxa"/>
            </w:tcMar>
          </w:tcPr>
          <w:p>
            <w:r>
              <w:rPr>
                <w:sz w:val="19"/>
              </w:rPr>
              <w:t>3-box pitches (Present, Past, Future), word counts, and spoken seconds.</w:t>
            </w:r>
          </w:p>
        </w:tc>
      </w:tr>
      <w:tr>
        <w:tc>
          <w:tcPr>
            <w:tcW w:type="dxa" w:w="2592"/>
            <w:shd w:fill="F8FAFC"/>
            <w:tcMar>
              <w:top w:w="60" w:type="dxa"/>
              <w:bottom w:w="60" w:type="dxa"/>
              <w:left w:w="90" w:type="dxa"/>
              <w:right w:w="90" w:type="dxa"/>
            </w:tcMar>
          </w:tcPr>
          <w:p>
            <w:r>
              <w:rPr>
                <w:b/>
              </w:rPr>
              <w:t>gamification</w:t>
            </w:r>
          </w:p>
        </w:tc>
        <w:tc>
          <w:tcPr>
            <w:tcW w:type="dxa" w:w="2592"/>
            <w:shd w:fill="F8FAFC"/>
            <w:tcMar>
              <w:top w:w="60" w:type="dxa"/>
              <w:bottom w:w="60" w:type="dxa"/>
              <w:left w:w="90" w:type="dxa"/>
              <w:right w:w="90" w:type="dxa"/>
            </w:tcMar>
          </w:tcPr>
          <w:p>
            <w:r>
              <w:rPr>
                <w:sz w:val="19"/>
              </w:rPr>
              <w:t>PK, FK: employee_id</w:t>
            </w:r>
          </w:p>
        </w:tc>
        <w:tc>
          <w:tcPr>
            <w:tcW w:type="dxa" w:w="4176"/>
            <w:shd w:fill="F8FAFC"/>
            <w:tcMar>
              <w:top w:w="60" w:type="dxa"/>
              <w:bottom w:w="60" w:type="dxa"/>
              <w:left w:w="90" w:type="dxa"/>
              <w:right w:w="90" w:type="dxa"/>
            </w:tcMar>
          </w:tcPr>
          <w:p>
            <w:r>
              <w:rPr>
                <w:sz w:val="19"/>
              </w:rPr>
              <w:t>Experience points (XP), player level, streak days, unlocked badge JSON.</w:t>
            </w:r>
          </w:p>
        </w:tc>
      </w:tr>
    </w:tbl>
    <w:p>
      <w:pPr>
        <w:spacing w:after="200"/>
      </w:pPr>
    </w:p>
    <w:p>
      <w:pPr>
        <w:spacing w:before="360" w:after="120"/>
      </w:pPr>
      <w:r>
        <w:rPr>
          <w:rFonts w:ascii="Calibri" w:hAnsi="Calibri"/>
          <w:b/>
          <w:color w:val="1E1B4B"/>
          <w:sz w:val="32"/>
        </w:rPr>
        <w:t>5. The 5-Pillar Employee Readiness Score Engine</w:t>
      </w:r>
    </w:p>
    <w:p>
      <w:r>
        <w:t>Employability is computed through a transparent mathematical formulation with weighted benchmarks:</w:t>
      </w:r>
    </w:p>
    <w:tbl>
      <w:tblPr>
        <w:tblW w:type="auto" w:w="0"/>
        <w:jc w:val="center"/>
        <w:tblLook w:firstColumn="1" w:firstRow="1" w:lastColumn="0" w:lastRow="0" w:noHBand="0" w:noVBand="1" w:val="04A0"/>
      </w:tblPr>
      <w:tblGrid>
        <w:gridCol w:w="9360"/>
      </w:tblGrid>
      <w:tr>
        <w:tc>
          <w:tcPr>
            <w:tcW w:type="dxa" w:w="9360"/>
            <w:shd w:fill="EEF2FF"/>
            <w:tcMar>
              <w:top w:w="120" w:type="dxa"/>
              <w:bottom w:w="120" w:type="dxa"/>
              <w:left w:w="160" w:type="dxa"/>
              <w:right w:w="160" w:type="dxa"/>
            </w:tcMar>
          </w:tcPr>
          <w:p>
            <w:pPr>
              <w:spacing w:after="40"/>
            </w:pPr>
            <w:r>
              <w:rPr>
                <w:b/>
                <w:color w:val="1E1B4B"/>
                <w:sz w:val="21"/>
              </w:rPr>
              <w:t>📌 Mathematical Readiness Formula</w:t>
              <w:br/>
            </w:r>
            <w:r>
              <w:rPr>
                <w:color w:val="334155"/>
                <w:sz w:val="20"/>
              </w:rPr>
              <w:t>Readiness Score = (0.25 × Aptitude) + (0.25 × Coding) + (0.20 × Technical Domain) + (0.15 × Mock Interview) + (0.15 × Resume ATS)</w:t>
              <w:br/>
              <w:br/>
              <w:t>• ≥ 75%: Job Ready 🚀</w:t>
              <w:br/>
              <w:t>• 60% – 74%: Almost Ready ⚡</w:t>
              <w:br/>
              <w:t>• &lt; 60%: Needs Focused Work 📚</w:t>
            </w:r>
          </w:p>
        </w:tc>
      </w:tr>
    </w:tbl>
    <w:p>
      <w:pPr>
        <w:spacing w:after="120"/>
      </w:pPr>
    </w:p>
    <w:p>
      <w:pPr>
        <w:spacing w:before="360" w:after="120"/>
      </w:pPr>
      <w:r>
        <w:rPr>
          <w:rFonts w:ascii="Calibri" w:hAnsi="Calibri"/>
          <w:b/>
          <w:color w:val="1E1B4B"/>
          <w:sz w:val="32"/>
        </w:rPr>
        <w:t>6. 2026 AI Fluency &amp; 60-Second Pitch Engines</w:t>
      </w:r>
    </w:p>
    <w:p>
      <w:pPr>
        <w:spacing w:before="240" w:after="80"/>
      </w:pPr>
      <w:r>
        <w:rPr>
          <w:rFonts w:ascii="Calibri" w:hAnsi="Calibri"/>
          <w:b/>
          <w:color w:val="4338CA"/>
          <w:sz w:val="26"/>
        </w:rPr>
        <w:t>A. The 2026 AI Fluency Round</w:t>
      </w:r>
    </w:p>
    <w:p>
      <w:r>
        <w:t>Top engineering organizations test whether candidates can use AI assistants without compromising software correctness. The system grades candidates across 4 dimensions:</w:t>
      </w:r>
    </w:p>
    <w:p>
      <w:r>
        <w:t>• Tool Integration (25%): Effective prompting for scaffolding and exploration.</w:t>
      </w:r>
    </w:p>
    <w:p>
      <w:r>
        <w:t>• Verification Mindset (35% - Highest Weight): Enforcing automated unit tests, invariant assertions, and edge-case validation.</w:t>
      </w:r>
    </w:p>
    <w:p>
      <w:r>
        <w:t>• Workflow Velocity (20%): Demonstrating measurable sprint time-savings.</w:t>
      </w:r>
    </w:p>
    <w:p>
      <w:r>
        <w:t>• Authenticity &amp; Communication (20%): Articulating architecture like an engineer rather than reciting raw bot outputs.</w:t>
      </w:r>
    </w:p>
    <w:p>
      <w:pPr>
        <w:spacing w:before="240" w:after="80"/>
      </w:pPr>
      <w:r>
        <w:rPr>
          <w:rFonts w:ascii="Calibri" w:hAnsi="Calibri"/>
          <w:b/>
          <w:color w:val="4338CA"/>
          <w:sz w:val="26"/>
        </w:rPr>
        <w:t>B. Present-Past-Future 60-Second Pitch Builder</w:t>
      </w:r>
    </w:p>
    <w:p>
      <w:r>
        <w:t>The introductory elevator pitch is calibrated to a standard professional speaking rate of 140 words per minute (WPM):</w:t>
      </w:r>
    </w:p>
    <w:p>
      <w:r>
        <w:t>• Box 1: Present — Current technical stack, active responsibilities, and current projects.</w:t>
      </w:r>
    </w:p>
    <w:p>
      <w:r>
        <w:t>• Box 2: Past — Quantifiable past accomplishments, metrics, and measurable impact.</w:t>
      </w:r>
    </w:p>
    <w:p>
      <w:r>
        <w:t>• Box 3: Future — Strategic enterprise alignment and initial 90-day contribution goals.</w:t>
      </w:r>
    </w:p>
    <w:p>
      <w:r>
        <w:t>• Live Speaking Duration Gauge: Real-time feedback guides candidates toward the optimal 50–70 second sweet spot (120–165 words).</w:t>
      </w:r>
    </w:p>
    <w:p>
      <w:pPr>
        <w:spacing w:before="360" w:after="120"/>
      </w:pPr>
      <w:r>
        <w:rPr>
          <w:rFonts w:ascii="Calibri" w:hAnsi="Calibri"/>
          <w:b/>
          <w:color w:val="1E1B4B"/>
          <w:sz w:val="32"/>
        </w:rPr>
        <w:t>7. Quality Assurance &amp; Automated Verification</w:t>
      </w:r>
    </w:p>
    <w:p>
      <w:r>
        <w:t>The entire platform was tested via the automated end-to-end verification script (verify_all_endpoints.py), achieving a 100% pass rate across all 7 core modules and CMS services:</w:t>
      </w:r>
    </w:p>
    <w:p>
      <w:r>
        <w:t>✔ Module 1: Dashboard Summary &amp; 5-Pillar Aggregation — PASSED [OK]</w:t>
      </w:r>
    </w:p>
    <w:p>
      <w:r>
        <w:t>✔ Module 2: Smart Prep Roadmap Generation &amp; Task Toggle — PASSED [OK]</w:t>
      </w:r>
    </w:p>
    <w:p>
      <w:r>
        <w:t>✔ Module 3: Trending Resume Templates &amp; ATS Keyword Scoring — PASSED [OK]</w:t>
      </w:r>
    </w:p>
    <w:p>
      <w:r>
        <w:t>✔ Module 4: 2026 AI Fluency Round 4-Pillar Evaluation — PASSED [OK]</w:t>
      </w:r>
    </w:p>
    <w:p>
      <w:r>
        <w:t>✔ Module 5: Present-Past-Future 60-Second Pitch Builder — PASSED [OK]</w:t>
      </w:r>
    </w:p>
    <w:p>
      <w:r>
        <w:t>✔ Module 6: Admin CMS Endpoints (Trends, Templates, Fluency) — PASSED [OK]</w:t>
      </w:r>
    </w:p>
    <w:p>
      <w:r>
        <w:t>✔ Module 7: Core Modules Compatibility (Aptitude, Coding, Company Hub) — PASSED [OK]</w:t>
      </w:r>
    </w:p>
    <w:p>
      <w:pPr>
        <w:spacing w:before="360" w:after="120"/>
      </w:pPr>
      <w:r>
        <w:rPr>
          <w:rFonts w:ascii="Calibri" w:hAnsi="Calibri"/>
          <w:b/>
          <w:color w:val="1E1B4B"/>
          <w:sz w:val="32"/>
        </w:rPr>
        <w:t>8. Viva Voce Defense Guide (Key Questions &amp; Prepared Answers)</w:t>
      </w:r>
    </w:p>
    <w:p>
      <w:pPr>
        <w:spacing w:before="160" w:after="40"/>
      </w:pPr>
      <w:r>
        <w:rPr>
          <w:b/>
          <w:color w:val="4338CA"/>
        </w:rPr>
        <w:t>Q1: What makes this platform fundamentally different from existing portals?</w:t>
      </w:r>
    </w:p>
    <w:p>
      <w:pPr>
        <w:spacing w:after="120"/>
      </w:pPr>
      <w:r>
        <w:rPr>
          <w:sz w:val="20"/>
        </w:rPr>
        <w:t>Answer: Existing platforms are isolated—LeetCode tests coding, IndiaBIX tests aptitude, and Canva produces non-ATS resumes. Our platform unifies all preparation areas into an objective 5-Pillar Readiness Score and introduces 2026 enterprise recruitment standards: company-calibrated roadmaps, single-column ATS resume scoring, the AI Fluency Round, and the 60-Second Pitch Builder.</w:t>
      </w:r>
    </w:p>
    <w:p>
      <w:pPr>
        <w:spacing w:before="160" w:after="40"/>
      </w:pPr>
      <w:r>
        <w:rPr>
          <w:b/>
          <w:color w:val="4338CA"/>
        </w:rPr>
        <w:t>Q2: Why is the AI Fluency Round critical for 2026 placements?</w:t>
      </w:r>
    </w:p>
    <w:p>
      <w:pPr>
        <w:spacing w:after="120"/>
      </w:pPr>
      <w:r>
        <w:rPr>
          <w:sz w:val="20"/>
        </w:rPr>
        <w:t>Answer: Enterprise recruiters recognize that developers use AI coding tools. They no longer test syntax memorization; they test whether a candidate uses AI as a multiplier while enforcing automated unit testing, boundary checks, and git diff scrutiny to avoid introducing hallucinated code into production.</w:t>
      </w:r>
    </w:p>
    <w:p>
      <w:pPr>
        <w:spacing w:before="160" w:after="40"/>
      </w:pPr>
      <w:r>
        <w:rPr>
          <w:b/>
          <w:color w:val="4338CA"/>
        </w:rPr>
        <w:t>Q3: How does the system handle security and anti-cheating?</w:t>
      </w:r>
    </w:p>
    <w:p>
      <w:pPr>
        <w:spacing w:after="120"/>
      </w:pPr>
      <w:r>
        <w:rPr>
          <w:sz w:val="20"/>
        </w:rPr>
        <w:t>Answer: Test sessions generate cryptographic session tokens. The frontend listens for browser tab switches and window blur events, flagging infractions. Server-side timestamps prevent client-side timer manipulation, and all queries use parameterized SQL execution to eliminate injection vulnerabilities.</w:t>
      </w:r>
    </w:p>
    <w:p>
      <w:pPr>
        <w:spacing w:before="360" w:after="120"/>
      </w:pPr>
      <w:r>
        <w:rPr>
          <w:rFonts w:ascii="Calibri" w:hAnsi="Calibri"/>
          <w:b/>
          <w:color w:val="1E1B4B"/>
          <w:sz w:val="32"/>
        </w:rPr>
        <w:t>9. Conclusion</w:t>
      </w:r>
    </w:p>
    <w:p>
      <w:r>
        <w:t>The Next-Gen AI Employee Preparation &amp; Placement Readiness Platform is a production-ready, academically sound system. It bridges the critical gap between academic training and enterprise hiring requirements in 2026, equipping engineering graduates with measurable, verifiable readiness.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